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7CC82" w14:textId="360AABE3" w:rsidR="005F4941" w:rsidRPr="005F4941" w:rsidRDefault="005F4941" w:rsidP="005F4941">
      <w:r w:rsidRPr="005F4941">
        <w:t xml:space="preserve">J </w:t>
      </w:r>
      <w:proofErr w:type="spellStart"/>
      <w:r w:rsidRPr="005F4941">
        <w:t>Immunol</w:t>
      </w:r>
      <w:proofErr w:type="spellEnd"/>
      <w:r w:rsidRPr="005F4941">
        <w:t xml:space="preserve">. 1997 </w:t>
      </w:r>
      <w:proofErr w:type="spellStart"/>
      <w:r w:rsidRPr="005F4941">
        <w:t>Apr</w:t>
      </w:r>
      <w:proofErr w:type="spellEnd"/>
      <w:r w:rsidRPr="005F4941">
        <w:t xml:space="preserve"> 1;158(7):3148-54.</w:t>
      </w:r>
    </w:p>
    <w:p w14:paraId="1C1D4BB7" w14:textId="77777777" w:rsidR="005F4941" w:rsidRPr="005F4941" w:rsidRDefault="005F4941" w:rsidP="005F4941">
      <w:pPr>
        <w:rPr>
          <w:b/>
          <w:bCs/>
          <w:lang w:val="en-US"/>
        </w:rPr>
      </w:pPr>
      <w:r w:rsidRPr="005F4941">
        <w:rPr>
          <w:b/>
          <w:bCs/>
          <w:lang w:val="en-US"/>
        </w:rPr>
        <w:t>CD16 cross-linking induces both secretory and extracellular signal-regulated kinase (ERK)-dependent cytosolic phospholipase A2 (PLA2) activity in human natural killer cells: involvement of ERK, but not PLA2, in CD16-triggered granule exocytosis</w:t>
      </w:r>
    </w:p>
    <w:p w14:paraId="2AEE6451" w14:textId="77777777" w:rsidR="005F4941" w:rsidRPr="005F4941" w:rsidRDefault="005F4941" w:rsidP="005F4941">
      <w:hyperlink r:id="rId5" w:history="1">
        <w:r w:rsidRPr="005F4941">
          <w:rPr>
            <w:rStyle w:val="Collegamentoipertestuale"/>
          </w:rPr>
          <w:t>M Milella</w:t>
        </w:r>
      </w:hyperlink>
      <w:r w:rsidRPr="005F4941">
        <w:rPr>
          <w:vertAlign w:val="superscript"/>
        </w:rPr>
        <w:t> </w:t>
      </w:r>
      <w:hyperlink r:id="rId6" w:anchor="full-view-affiliation-1" w:tooltip="Department of Experimental Medicine and Pathology, University of Rome La Sapienza, Italy." w:history="1">
        <w:r w:rsidRPr="005F4941">
          <w:rPr>
            <w:rStyle w:val="Collegamentoipertestuale"/>
            <w:vertAlign w:val="superscript"/>
          </w:rPr>
          <w:t>1</w:t>
        </w:r>
      </w:hyperlink>
      <w:r w:rsidRPr="005F4941">
        <w:t>, </w:t>
      </w:r>
      <w:hyperlink r:id="rId7" w:history="1">
        <w:r w:rsidRPr="005F4941">
          <w:rPr>
            <w:rStyle w:val="Collegamentoipertestuale"/>
          </w:rPr>
          <w:t>A Gismondi</w:t>
        </w:r>
      </w:hyperlink>
      <w:r w:rsidRPr="005F4941">
        <w:t>, </w:t>
      </w:r>
      <w:hyperlink r:id="rId8" w:history="1">
        <w:r w:rsidRPr="005F4941">
          <w:rPr>
            <w:rStyle w:val="Collegamentoipertestuale"/>
          </w:rPr>
          <w:t>P Roncaioli</w:t>
        </w:r>
      </w:hyperlink>
      <w:r w:rsidRPr="005F4941">
        <w:t>, </w:t>
      </w:r>
      <w:hyperlink r:id="rId9" w:history="1">
        <w:r w:rsidRPr="005F4941">
          <w:rPr>
            <w:rStyle w:val="Collegamentoipertestuale"/>
          </w:rPr>
          <w:t>L Bisogno</w:t>
        </w:r>
      </w:hyperlink>
      <w:r w:rsidRPr="005F4941">
        <w:t>, </w:t>
      </w:r>
      <w:hyperlink r:id="rId10" w:history="1">
        <w:r w:rsidRPr="005F4941">
          <w:rPr>
            <w:rStyle w:val="Collegamentoipertestuale"/>
          </w:rPr>
          <w:t>G Palmieri</w:t>
        </w:r>
      </w:hyperlink>
      <w:r w:rsidRPr="005F4941">
        <w:t>, </w:t>
      </w:r>
      <w:hyperlink r:id="rId11" w:history="1">
        <w:r w:rsidRPr="005F4941">
          <w:rPr>
            <w:rStyle w:val="Collegamentoipertestuale"/>
          </w:rPr>
          <w:t>L Frati</w:t>
        </w:r>
      </w:hyperlink>
      <w:r w:rsidRPr="005F4941">
        <w:t>, </w:t>
      </w:r>
      <w:hyperlink r:id="rId12" w:history="1">
        <w:r w:rsidRPr="005F4941">
          <w:rPr>
            <w:rStyle w:val="Collegamentoipertestuale"/>
          </w:rPr>
          <w:t>M G Cifone</w:t>
        </w:r>
      </w:hyperlink>
      <w:r w:rsidRPr="005F4941">
        <w:t>, </w:t>
      </w:r>
      <w:hyperlink r:id="rId13" w:history="1">
        <w:r w:rsidRPr="005F4941">
          <w:rPr>
            <w:rStyle w:val="Collegamentoipertestuale"/>
          </w:rPr>
          <w:t>A Santoni</w:t>
        </w:r>
      </w:hyperlink>
    </w:p>
    <w:p w14:paraId="168B356F" w14:textId="77777777" w:rsidR="005F4941" w:rsidRPr="005F4941" w:rsidRDefault="005F4941" w:rsidP="005F4941">
      <w:proofErr w:type="spellStart"/>
      <w:r w:rsidRPr="005F4941">
        <w:t>Affiliations</w:t>
      </w:r>
      <w:proofErr w:type="spellEnd"/>
      <w:r w:rsidRPr="005F4941">
        <w:t xml:space="preserve"> </w:t>
      </w:r>
      <w:proofErr w:type="spellStart"/>
      <w:r w:rsidRPr="005F4941">
        <w:t>Collapse</w:t>
      </w:r>
      <w:proofErr w:type="spellEnd"/>
    </w:p>
    <w:p w14:paraId="758D8F6B" w14:textId="77777777" w:rsidR="005F4941" w:rsidRPr="005F4941" w:rsidRDefault="005F4941" w:rsidP="005F4941">
      <w:pPr>
        <w:rPr>
          <w:b/>
          <w:bCs/>
        </w:rPr>
      </w:pPr>
      <w:proofErr w:type="spellStart"/>
      <w:r w:rsidRPr="005F4941">
        <w:rPr>
          <w:b/>
          <w:bCs/>
        </w:rPr>
        <w:t>Affiliation</w:t>
      </w:r>
      <w:proofErr w:type="spellEnd"/>
    </w:p>
    <w:p w14:paraId="52C3E4E2" w14:textId="77777777" w:rsidR="005F4941" w:rsidRPr="005F4941" w:rsidRDefault="005F4941" w:rsidP="005F4941">
      <w:pPr>
        <w:numPr>
          <w:ilvl w:val="0"/>
          <w:numId w:val="2"/>
        </w:numPr>
        <w:rPr>
          <w:lang w:val="en-US"/>
        </w:rPr>
      </w:pPr>
      <w:r w:rsidRPr="005F4941">
        <w:rPr>
          <w:vertAlign w:val="superscript"/>
          <w:lang w:val="en-US"/>
        </w:rPr>
        <w:t>1</w:t>
      </w:r>
      <w:r w:rsidRPr="005F4941">
        <w:rPr>
          <w:lang w:val="en-US"/>
        </w:rPr>
        <w:t>Department of Experimental Medicine and Pathology, University of Rome La Sapienza, Italy.</w:t>
      </w:r>
    </w:p>
    <w:p w14:paraId="40308EA3" w14:textId="77777777" w:rsidR="005F4941" w:rsidRPr="005F4941" w:rsidRDefault="005F4941" w:rsidP="005F4941">
      <w:pPr>
        <w:numPr>
          <w:ilvl w:val="0"/>
          <w:numId w:val="3"/>
        </w:numPr>
      </w:pPr>
      <w:r w:rsidRPr="005F4941">
        <w:t>PMID: 9120268</w:t>
      </w:r>
    </w:p>
    <w:p w14:paraId="320BAFB1" w14:textId="7FCF32D1" w:rsidR="002C5078" w:rsidRPr="005F4941" w:rsidRDefault="005F4941" w:rsidP="005F4941">
      <w:pPr>
        <w:rPr>
          <w:lang w:val="en-US"/>
        </w:rPr>
      </w:pPr>
      <w:r w:rsidRPr="005F4941">
        <w:rPr>
          <w:lang w:val="en-US"/>
        </w:rPr>
        <w:t xml:space="preserve">The phospholipase A2 (PLA2) enzymes play a central role in diverse cellular processes including phospholipid digestion and metabolism, host defense, and cell signaling. We investigated the ability of CD16 clustering to trigger PLA2 and extracellular signal-regulated kinase (ERK) activation in human NK cells, as well as their possible involvement in CD16-stimulated degranulation. Both secretory (sPLA2) and cytosolic (cPLA2) PLA2 were rapidly activated upon CD16 cross-linking; sPLA2 was found in the supernatant </w:t>
      </w:r>
      <w:proofErr w:type="gramStart"/>
      <w:r w:rsidRPr="005F4941">
        <w:rPr>
          <w:lang w:val="en-US"/>
        </w:rPr>
        <w:t>and also</w:t>
      </w:r>
      <w:proofErr w:type="gramEnd"/>
      <w:r w:rsidRPr="005F4941">
        <w:rPr>
          <w:lang w:val="en-US"/>
        </w:rPr>
        <w:t xml:space="preserve"> in a cell-associated form. cPLA2 activation was controlled by the ERK pathway as indicated by the close correlation between their kinetics of activation and by the ability of the specific MEK inhibitor, PD 098059, to abolish cPLA2 activation. CD16 stimulation also resulted in the generation of platelet-activating </w:t>
      </w:r>
      <w:proofErr w:type="gramStart"/>
      <w:r w:rsidRPr="005F4941">
        <w:rPr>
          <w:lang w:val="en-US"/>
        </w:rPr>
        <w:t>factor</w:t>
      </w:r>
      <w:proofErr w:type="gramEnd"/>
      <w:r w:rsidRPr="005F4941">
        <w:rPr>
          <w:lang w:val="en-US"/>
        </w:rPr>
        <w:t xml:space="preserve"> (PAF) and leukotrienes; both phospholipases contributed to their biosynthesis. Using the pharmacologic inhibitors AACOCF3, p-</w:t>
      </w:r>
      <w:proofErr w:type="spellStart"/>
      <w:r w:rsidRPr="005F4941">
        <w:rPr>
          <w:lang w:val="en-US"/>
        </w:rPr>
        <w:t>bromophenacyl</w:t>
      </w:r>
      <w:proofErr w:type="spellEnd"/>
      <w:r w:rsidRPr="005F4941">
        <w:rPr>
          <w:lang w:val="en-US"/>
        </w:rPr>
        <w:t xml:space="preserve"> bromide (</w:t>
      </w:r>
      <w:proofErr w:type="spellStart"/>
      <w:r w:rsidRPr="005F4941">
        <w:rPr>
          <w:lang w:val="en-US"/>
        </w:rPr>
        <w:t>pBPB</w:t>
      </w:r>
      <w:proofErr w:type="spellEnd"/>
      <w:r w:rsidRPr="005F4941">
        <w:rPr>
          <w:lang w:val="en-US"/>
        </w:rPr>
        <w:t>), and PD 098059, which specifically inhibit cPLA2, sPLA2, and MEK, respectively, we demonstrated that the ERK signaling pathway, but not cytosolic or secretory PLA2, is required for CD16-triggered granule release.</w:t>
      </w:r>
    </w:p>
    <w:sectPr w:rsidR="002C5078" w:rsidRPr="005F494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35435"/>
    <w:multiLevelType w:val="multilevel"/>
    <w:tmpl w:val="6C52F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431FA2"/>
    <w:multiLevelType w:val="multilevel"/>
    <w:tmpl w:val="854AD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9F659F"/>
    <w:multiLevelType w:val="multilevel"/>
    <w:tmpl w:val="A98A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852586">
    <w:abstractNumId w:val="2"/>
  </w:num>
  <w:num w:numId="2" w16cid:durableId="2100371973">
    <w:abstractNumId w:val="0"/>
  </w:num>
  <w:num w:numId="3" w16cid:durableId="13424663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078"/>
    <w:rsid w:val="002C5078"/>
    <w:rsid w:val="005823C6"/>
    <w:rsid w:val="005F494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40275"/>
  <w15:chartTrackingRefBased/>
  <w15:docId w15:val="{84F74B6B-75D1-4012-A679-C59ADFA00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2C50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2C50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2C5078"/>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2C5078"/>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2C5078"/>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2C507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C507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C507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C507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C5078"/>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2C5078"/>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2C5078"/>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2C5078"/>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2C5078"/>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2C507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C507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C507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C5078"/>
    <w:rPr>
      <w:rFonts w:eastAsiaTheme="majorEastAsia" w:cstheme="majorBidi"/>
      <w:color w:val="272727" w:themeColor="text1" w:themeTint="D8"/>
    </w:rPr>
  </w:style>
  <w:style w:type="paragraph" w:styleId="Titolo">
    <w:name w:val="Title"/>
    <w:basedOn w:val="Normale"/>
    <w:next w:val="Normale"/>
    <w:link w:val="TitoloCarattere"/>
    <w:uiPriority w:val="10"/>
    <w:qFormat/>
    <w:rsid w:val="002C50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C507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C507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C507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C507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C5078"/>
    <w:rPr>
      <w:i/>
      <w:iCs/>
      <w:color w:val="404040" w:themeColor="text1" w:themeTint="BF"/>
    </w:rPr>
  </w:style>
  <w:style w:type="paragraph" w:styleId="Paragrafoelenco">
    <w:name w:val="List Paragraph"/>
    <w:basedOn w:val="Normale"/>
    <w:uiPriority w:val="34"/>
    <w:qFormat/>
    <w:rsid w:val="002C5078"/>
    <w:pPr>
      <w:ind w:left="720"/>
      <w:contextualSpacing/>
    </w:pPr>
  </w:style>
  <w:style w:type="character" w:styleId="Enfasiintensa">
    <w:name w:val="Intense Emphasis"/>
    <w:basedOn w:val="Carpredefinitoparagrafo"/>
    <w:uiPriority w:val="21"/>
    <w:qFormat/>
    <w:rsid w:val="002C5078"/>
    <w:rPr>
      <w:i/>
      <w:iCs/>
      <w:color w:val="0F4761" w:themeColor="accent1" w:themeShade="BF"/>
    </w:rPr>
  </w:style>
  <w:style w:type="paragraph" w:styleId="Citazioneintensa">
    <w:name w:val="Intense Quote"/>
    <w:basedOn w:val="Normale"/>
    <w:next w:val="Normale"/>
    <w:link w:val="CitazioneintensaCarattere"/>
    <w:uiPriority w:val="30"/>
    <w:qFormat/>
    <w:rsid w:val="002C50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2C5078"/>
    <w:rPr>
      <w:i/>
      <w:iCs/>
      <w:color w:val="0F4761" w:themeColor="accent1" w:themeShade="BF"/>
    </w:rPr>
  </w:style>
  <w:style w:type="character" w:styleId="Riferimentointenso">
    <w:name w:val="Intense Reference"/>
    <w:basedOn w:val="Carpredefinitoparagrafo"/>
    <w:uiPriority w:val="32"/>
    <w:qFormat/>
    <w:rsid w:val="002C5078"/>
    <w:rPr>
      <w:b/>
      <w:bCs/>
      <w:smallCaps/>
      <w:color w:val="0F4761" w:themeColor="accent1" w:themeShade="BF"/>
      <w:spacing w:val="5"/>
    </w:rPr>
  </w:style>
  <w:style w:type="character" w:styleId="Collegamentoipertestuale">
    <w:name w:val="Hyperlink"/>
    <w:basedOn w:val="Carpredefinitoparagrafo"/>
    <w:uiPriority w:val="99"/>
    <w:unhideWhenUsed/>
    <w:rsid w:val="005F4941"/>
    <w:rPr>
      <w:color w:val="467886" w:themeColor="hyperlink"/>
      <w:u w:val="single"/>
    </w:rPr>
  </w:style>
  <w:style w:type="character" w:styleId="Menzionenonrisolta">
    <w:name w:val="Unresolved Mention"/>
    <w:basedOn w:val="Carpredefinitoparagrafo"/>
    <w:uiPriority w:val="99"/>
    <w:semiHidden/>
    <w:unhideWhenUsed/>
    <w:rsid w:val="005F49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term=Roncaioli+P&amp;cauthor_id=9120268" TargetMode="External"/><Relationship Id="rId13" Type="http://schemas.openxmlformats.org/officeDocument/2006/relationships/hyperlink" Target="https://pubmed.ncbi.nlm.nih.gov/?term=Santoni+A&amp;cauthor_id=9120268" TargetMode="External"/><Relationship Id="rId3" Type="http://schemas.openxmlformats.org/officeDocument/2006/relationships/settings" Target="settings.xml"/><Relationship Id="rId7" Type="http://schemas.openxmlformats.org/officeDocument/2006/relationships/hyperlink" Target="https://pubmed.ncbi.nlm.nih.gov/?term=Gismondi+A&amp;cauthor_id=9120268" TargetMode="External"/><Relationship Id="rId12" Type="http://schemas.openxmlformats.org/officeDocument/2006/relationships/hyperlink" Target="https://pubmed.ncbi.nlm.nih.gov/?term=Cifone+MG&amp;cauthor_id=912026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ubmed.ncbi.nlm.nih.gov/9120268/" TargetMode="External"/><Relationship Id="rId11" Type="http://schemas.openxmlformats.org/officeDocument/2006/relationships/hyperlink" Target="https://pubmed.ncbi.nlm.nih.gov/?term=Frati+L&amp;cauthor_id=9120268" TargetMode="External"/><Relationship Id="rId5" Type="http://schemas.openxmlformats.org/officeDocument/2006/relationships/hyperlink" Target="https://pubmed.ncbi.nlm.nih.gov/?term=Milella+M&amp;cauthor_id=9120268" TargetMode="External"/><Relationship Id="rId15" Type="http://schemas.openxmlformats.org/officeDocument/2006/relationships/theme" Target="theme/theme1.xml"/><Relationship Id="rId10" Type="http://schemas.openxmlformats.org/officeDocument/2006/relationships/hyperlink" Target="https://pubmed.ncbi.nlm.nih.gov/?term=Palmieri+G&amp;cauthor_id=9120268" TargetMode="External"/><Relationship Id="rId4" Type="http://schemas.openxmlformats.org/officeDocument/2006/relationships/webSettings" Target="webSettings.xml"/><Relationship Id="rId9" Type="http://schemas.openxmlformats.org/officeDocument/2006/relationships/hyperlink" Target="https://pubmed.ncbi.nlm.nih.gov/?term=Bisogno+L&amp;cauthor_id=9120268"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382</Words>
  <Characters>2183</Characters>
  <Application>Microsoft Office Word</Application>
  <DocSecurity>0</DocSecurity>
  <Lines>18</Lines>
  <Paragraphs>5</Paragraphs>
  <ScaleCrop>false</ScaleCrop>
  <Company/>
  <LinksUpToDate>false</LinksUpToDate>
  <CharactersWithSpaces>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Cafaro</dc:creator>
  <cp:keywords/>
  <dc:description/>
  <cp:lastModifiedBy>Daniela Cafaro</cp:lastModifiedBy>
  <cp:revision>2</cp:revision>
  <dcterms:created xsi:type="dcterms:W3CDTF">2026-09-21T09:39:00Z</dcterms:created>
  <dcterms:modified xsi:type="dcterms:W3CDTF">2026-09-21T09:39:00Z</dcterms:modified>
</cp:coreProperties>
</file>