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A3237F" w14:textId="719D673F" w:rsidR="006204CD" w:rsidRPr="00F71F57" w:rsidRDefault="008941C2" w:rsidP="006204CD">
      <w:pPr>
        <w:spacing w:after="0" w:line="240" w:lineRule="auto"/>
        <w:rPr>
          <w:rFonts w:ascii="Times New Roman" w:eastAsia="Times New Roman" w:hAnsi="Times New Roman" w:cs="Times New Roman"/>
          <w:sz w:val="36"/>
          <w:szCs w:val="36"/>
          <w:lang w:val="en-GB" w:eastAsia="it-IT"/>
        </w:rPr>
      </w:pPr>
      <w:bookmarkStart w:id="0" w:name="_Hlk207621889"/>
      <w:r>
        <w:rPr>
          <w:rFonts w:ascii="Times New Roman" w:eastAsia="Times New Roman" w:hAnsi="Times New Roman" w:cs="Times New Roman"/>
          <w:noProof/>
          <w:sz w:val="36"/>
          <w:szCs w:val="36"/>
          <w:lang w:val="en-GB" w:eastAsia="it-IT"/>
        </w:rPr>
        <w:drawing>
          <wp:anchor distT="0" distB="0" distL="114300" distR="114300" simplePos="0" relativeHeight="251666432" behindDoc="1" locked="0" layoutInCell="1" allowOverlap="1" wp14:anchorId="4065EA1D" wp14:editId="4D03E446">
            <wp:simplePos x="0" y="0"/>
            <wp:positionH relativeFrom="page">
              <wp:align>center</wp:align>
            </wp:positionH>
            <wp:positionV relativeFrom="paragraph">
              <wp:posOffset>-893869</wp:posOffset>
            </wp:positionV>
            <wp:extent cx="1054735" cy="92075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4735" cy="920750"/>
                    </a:xfrm>
                    <a:prstGeom prst="rect">
                      <a:avLst/>
                    </a:prstGeom>
                    <a:noFill/>
                  </pic:spPr>
                </pic:pic>
              </a:graphicData>
            </a:graphic>
          </wp:anchor>
        </w:drawing>
      </w:r>
    </w:p>
    <w:p w14:paraId="7195A02B" w14:textId="77777777" w:rsidR="006204CD" w:rsidRPr="00914260" w:rsidRDefault="006204CD" w:rsidP="006204CD">
      <w:pPr>
        <w:spacing w:after="0" w:line="240" w:lineRule="auto"/>
        <w:jc w:val="center"/>
        <w:rPr>
          <w:rFonts w:ascii="Times New Roman" w:eastAsia="Times New Roman" w:hAnsi="Times New Roman" w:cs="Times New Roman"/>
          <w:sz w:val="36"/>
          <w:szCs w:val="36"/>
          <w:lang w:val="it-IT" w:eastAsia="it-IT"/>
        </w:rPr>
      </w:pPr>
      <w:r w:rsidRPr="00914260">
        <w:rPr>
          <w:rFonts w:ascii="Times New Roman" w:eastAsia="Times New Roman" w:hAnsi="Times New Roman" w:cs="Times New Roman"/>
          <w:sz w:val="36"/>
          <w:szCs w:val="36"/>
          <w:lang w:val="it-IT" w:eastAsia="it-IT"/>
        </w:rPr>
        <w:t>UNIVERSITA’ DEGLI STUDI DI VERONA</w:t>
      </w:r>
    </w:p>
    <w:p w14:paraId="142E7414" w14:textId="77777777" w:rsidR="006204CD" w:rsidRPr="00914260" w:rsidRDefault="006204CD" w:rsidP="006204CD">
      <w:pPr>
        <w:spacing w:after="0" w:line="240" w:lineRule="auto"/>
        <w:jc w:val="center"/>
        <w:rPr>
          <w:rFonts w:ascii="Times New Roman" w:eastAsia="Times New Roman" w:hAnsi="Times New Roman" w:cs="Times New Roman"/>
          <w:sz w:val="40"/>
          <w:szCs w:val="40"/>
          <w:lang w:val="it-IT" w:eastAsia="it-IT"/>
        </w:rPr>
      </w:pPr>
    </w:p>
    <w:p w14:paraId="5527F0D1" w14:textId="77777777" w:rsidR="006204CD" w:rsidRPr="00914260" w:rsidRDefault="006204CD" w:rsidP="006204CD">
      <w:pPr>
        <w:spacing w:after="0" w:line="240" w:lineRule="auto"/>
        <w:jc w:val="center"/>
        <w:rPr>
          <w:rFonts w:ascii="Times New Roman" w:eastAsia="Times New Roman" w:hAnsi="Times New Roman" w:cs="Times New Roman"/>
          <w:i/>
          <w:sz w:val="24"/>
          <w:szCs w:val="24"/>
          <w:lang w:val="it-IT" w:eastAsia="it-IT"/>
        </w:rPr>
      </w:pPr>
    </w:p>
    <w:p w14:paraId="784E5BB0" w14:textId="77777777" w:rsidR="006204CD" w:rsidRPr="00914260" w:rsidRDefault="006204CD" w:rsidP="006204CD">
      <w:pPr>
        <w:spacing w:after="0" w:line="240" w:lineRule="auto"/>
        <w:jc w:val="center"/>
        <w:rPr>
          <w:rFonts w:ascii="Times New Roman" w:eastAsia="Times New Roman" w:hAnsi="Times New Roman" w:cs="Times New Roman"/>
          <w:i/>
          <w:lang w:val="it-IT" w:eastAsia="it-IT"/>
        </w:rPr>
      </w:pPr>
      <w:r w:rsidRPr="00914260">
        <w:rPr>
          <w:rFonts w:ascii="Times New Roman" w:eastAsia="Times New Roman" w:hAnsi="Times New Roman" w:cs="Times New Roman"/>
          <w:i/>
          <w:lang w:val="it-IT" w:eastAsia="it-IT"/>
        </w:rPr>
        <w:t xml:space="preserve">DEPARTMENT OF </w:t>
      </w:r>
    </w:p>
    <w:p w14:paraId="71206000" w14:textId="77777777" w:rsidR="006204CD" w:rsidRPr="00914260" w:rsidRDefault="006204CD" w:rsidP="006204CD">
      <w:pPr>
        <w:spacing w:after="0" w:line="240" w:lineRule="auto"/>
        <w:jc w:val="center"/>
        <w:rPr>
          <w:rFonts w:ascii="Times New Roman" w:eastAsia="Times New Roman" w:hAnsi="Times New Roman" w:cs="Times New Roman"/>
          <w:i/>
          <w:lang w:val="it-IT" w:eastAsia="it-IT"/>
        </w:rPr>
      </w:pPr>
    </w:p>
    <w:p w14:paraId="020FE3F4" w14:textId="77777777" w:rsidR="006204CD" w:rsidRPr="00F71F57" w:rsidRDefault="006204CD" w:rsidP="006204CD">
      <w:pPr>
        <w:spacing w:after="0" w:line="240" w:lineRule="auto"/>
        <w:jc w:val="center"/>
        <w:rPr>
          <w:rFonts w:ascii="Times New Roman" w:eastAsia="Times New Roman" w:hAnsi="Times New Roman" w:cs="Times New Roman"/>
          <w:i/>
          <w:lang w:val="en-GB" w:eastAsia="it-IT"/>
        </w:rPr>
      </w:pPr>
      <w:r w:rsidRPr="00F71F57">
        <w:rPr>
          <w:rFonts w:ascii="Times New Roman" w:eastAsia="Times New Roman" w:hAnsi="Times New Roman" w:cs="Times New Roman"/>
          <w:i/>
          <w:lang w:val="en-GB" w:eastAsia="it-IT"/>
        </w:rPr>
        <w:t>Neurosciences, Biomedicine and Movement Sciences</w:t>
      </w:r>
    </w:p>
    <w:p w14:paraId="36A8B62C" w14:textId="77777777" w:rsidR="006204CD" w:rsidRPr="00F71F57" w:rsidRDefault="006204CD" w:rsidP="006204CD">
      <w:pPr>
        <w:spacing w:after="0" w:line="240" w:lineRule="auto"/>
        <w:jc w:val="center"/>
        <w:rPr>
          <w:rFonts w:ascii="Times New Roman" w:eastAsia="Times New Roman" w:hAnsi="Times New Roman" w:cs="Times New Roman"/>
          <w:b/>
          <w:i/>
          <w:lang w:val="en-GB" w:eastAsia="it-IT"/>
        </w:rPr>
      </w:pPr>
    </w:p>
    <w:p w14:paraId="0161881D" w14:textId="77777777" w:rsidR="006204CD" w:rsidRPr="00F71427" w:rsidRDefault="006204CD" w:rsidP="006204CD">
      <w:pPr>
        <w:spacing w:after="0" w:line="240" w:lineRule="auto"/>
        <w:jc w:val="center"/>
        <w:rPr>
          <w:rFonts w:ascii="Times New Roman" w:eastAsia="Times New Roman" w:hAnsi="Times New Roman" w:cs="Times New Roman"/>
          <w:b/>
          <w:i/>
          <w:lang w:val="en-GB" w:eastAsia="it-IT"/>
        </w:rPr>
      </w:pPr>
    </w:p>
    <w:p w14:paraId="15AF67A7" w14:textId="77777777" w:rsidR="006204CD" w:rsidRPr="00F71427" w:rsidRDefault="006204CD" w:rsidP="006204CD">
      <w:pPr>
        <w:spacing w:after="0" w:line="240" w:lineRule="auto"/>
        <w:jc w:val="center"/>
        <w:rPr>
          <w:rFonts w:ascii="Times New Roman" w:eastAsia="Times New Roman" w:hAnsi="Times New Roman" w:cs="Times New Roman"/>
          <w:i/>
          <w:lang w:val="en-GB" w:eastAsia="it-IT"/>
        </w:rPr>
      </w:pPr>
      <w:r w:rsidRPr="00F71427">
        <w:rPr>
          <w:rFonts w:ascii="Times New Roman" w:eastAsia="Times New Roman" w:hAnsi="Times New Roman" w:cs="Times New Roman"/>
          <w:i/>
          <w:lang w:val="en-GB" w:eastAsia="it-IT"/>
        </w:rPr>
        <w:t xml:space="preserve">DOCTORAL PROGRAM IN </w:t>
      </w:r>
    </w:p>
    <w:p w14:paraId="05281E1B" w14:textId="77777777" w:rsidR="006204CD" w:rsidRPr="00F71427" w:rsidRDefault="006204CD" w:rsidP="006204CD">
      <w:pPr>
        <w:spacing w:after="0" w:line="240" w:lineRule="auto"/>
        <w:jc w:val="center"/>
        <w:rPr>
          <w:rFonts w:ascii="Times New Roman" w:eastAsia="Times New Roman" w:hAnsi="Times New Roman" w:cs="Times New Roman"/>
          <w:i/>
          <w:lang w:val="en-GB" w:eastAsia="it-IT"/>
        </w:rPr>
      </w:pPr>
    </w:p>
    <w:p w14:paraId="6F17A5C5" w14:textId="77777777" w:rsidR="006204CD" w:rsidRPr="00F71F57" w:rsidRDefault="006204CD" w:rsidP="006204CD">
      <w:pPr>
        <w:spacing w:after="0" w:line="240" w:lineRule="auto"/>
        <w:jc w:val="center"/>
        <w:rPr>
          <w:rFonts w:ascii="Times New Roman" w:eastAsia="Times New Roman" w:hAnsi="Times New Roman" w:cs="Times New Roman"/>
          <w:i/>
          <w:lang w:val="en-GB" w:eastAsia="it-IT"/>
        </w:rPr>
      </w:pPr>
      <w:r w:rsidRPr="00F71F57">
        <w:rPr>
          <w:rFonts w:ascii="Times New Roman" w:eastAsia="Times New Roman" w:hAnsi="Times New Roman" w:cs="Times New Roman"/>
          <w:i/>
          <w:lang w:val="en-GB" w:eastAsia="it-IT"/>
        </w:rPr>
        <w:t>Neuroscience, Psychological and Psychiatric Sciences and Movement Sciences</w:t>
      </w:r>
    </w:p>
    <w:p w14:paraId="793F6259" w14:textId="77777777" w:rsidR="006204CD" w:rsidRPr="00F71F57" w:rsidRDefault="006204CD" w:rsidP="006204CD">
      <w:pPr>
        <w:spacing w:after="0" w:line="240" w:lineRule="auto"/>
        <w:jc w:val="center"/>
        <w:rPr>
          <w:rFonts w:ascii="Times New Roman" w:eastAsia="Times New Roman" w:hAnsi="Times New Roman" w:cs="Times New Roman"/>
          <w:i/>
          <w:lang w:val="en-GB" w:eastAsia="it-IT"/>
        </w:rPr>
      </w:pPr>
    </w:p>
    <w:p w14:paraId="0FACE898" w14:textId="77777777" w:rsidR="006204CD" w:rsidRPr="00F71427" w:rsidRDefault="006204CD" w:rsidP="006204CD">
      <w:pPr>
        <w:spacing w:after="0" w:line="240" w:lineRule="auto"/>
        <w:jc w:val="center"/>
        <w:rPr>
          <w:rFonts w:ascii="Times New Roman" w:eastAsia="Times New Roman" w:hAnsi="Times New Roman" w:cs="Times New Roman"/>
          <w:i/>
          <w:lang w:val="en-GB" w:eastAsia="it-IT"/>
        </w:rPr>
      </w:pPr>
    </w:p>
    <w:p w14:paraId="7763D739" w14:textId="77777777" w:rsidR="006204CD" w:rsidRPr="00F71427" w:rsidRDefault="006204CD" w:rsidP="006204CD">
      <w:pPr>
        <w:spacing w:after="0" w:line="240" w:lineRule="auto"/>
        <w:jc w:val="center"/>
        <w:rPr>
          <w:rFonts w:ascii="Times New Roman" w:eastAsia="Times New Roman" w:hAnsi="Times New Roman" w:cs="Times New Roman"/>
          <w:i/>
          <w:lang w:val="en-GB" w:eastAsia="it-IT"/>
        </w:rPr>
      </w:pPr>
      <w:r w:rsidRPr="00F71427">
        <w:rPr>
          <w:rFonts w:ascii="Times New Roman" w:eastAsia="Times New Roman" w:hAnsi="Times New Roman" w:cs="Times New Roman"/>
          <w:i/>
          <w:lang w:val="en-GB" w:eastAsia="it-IT"/>
        </w:rPr>
        <w:t xml:space="preserve">WITH THE FINANCIAL CONTRIBUTION OF </w:t>
      </w:r>
    </w:p>
    <w:p w14:paraId="4C4494E6" w14:textId="61D41947" w:rsidR="006204CD" w:rsidRPr="00F71427" w:rsidRDefault="006204CD" w:rsidP="00914260">
      <w:pPr>
        <w:spacing w:after="0" w:line="240" w:lineRule="auto"/>
        <w:jc w:val="center"/>
        <w:rPr>
          <w:rFonts w:ascii="Times New Roman" w:eastAsia="Times New Roman" w:hAnsi="Times New Roman" w:cs="Times New Roman"/>
          <w:i/>
          <w:lang w:val="en-GB" w:eastAsia="it-IT"/>
        </w:rPr>
      </w:pPr>
    </w:p>
    <w:p w14:paraId="7E112AAB" w14:textId="77777777" w:rsidR="006204CD" w:rsidRPr="00F71427" w:rsidRDefault="006204CD" w:rsidP="006204CD">
      <w:pPr>
        <w:spacing w:after="0" w:line="240" w:lineRule="auto"/>
        <w:jc w:val="center"/>
        <w:rPr>
          <w:rFonts w:ascii="Times New Roman" w:eastAsia="Times New Roman" w:hAnsi="Times New Roman" w:cs="Times New Roman"/>
          <w:i/>
          <w:lang w:val="en-GB" w:eastAsia="it-IT"/>
        </w:rPr>
      </w:pPr>
    </w:p>
    <w:p w14:paraId="739EF0A2" w14:textId="77777777" w:rsidR="006204CD" w:rsidRPr="00F71F57" w:rsidRDefault="006204CD" w:rsidP="006204CD">
      <w:pPr>
        <w:spacing w:after="0" w:line="240" w:lineRule="auto"/>
        <w:jc w:val="center"/>
        <w:rPr>
          <w:rFonts w:ascii="Times New Roman" w:eastAsia="Times New Roman" w:hAnsi="Times New Roman" w:cs="Times New Roman"/>
          <w:i/>
          <w:lang w:val="en-GB" w:eastAsia="it-IT"/>
        </w:rPr>
      </w:pPr>
      <w:r w:rsidRPr="00F71F57">
        <w:rPr>
          <w:rFonts w:ascii="Times New Roman" w:eastAsia="Times New Roman" w:hAnsi="Times New Roman" w:cs="Times New Roman"/>
          <w:i/>
          <w:lang w:val="en-GB" w:eastAsia="it-IT"/>
        </w:rPr>
        <w:t>National Recovery and Resilience Plan (PNRR)</w:t>
      </w:r>
    </w:p>
    <w:p w14:paraId="33826346" w14:textId="77777777" w:rsidR="006204CD" w:rsidRPr="00F71427" w:rsidRDefault="006204CD" w:rsidP="006204CD">
      <w:pPr>
        <w:spacing w:after="0" w:line="240" w:lineRule="auto"/>
        <w:jc w:val="center"/>
        <w:rPr>
          <w:rFonts w:ascii="Times New Roman" w:eastAsia="Times New Roman" w:hAnsi="Times New Roman" w:cs="Times New Roman"/>
          <w:lang w:val="en-GB" w:eastAsia="it-IT"/>
        </w:rPr>
      </w:pPr>
    </w:p>
    <w:p w14:paraId="2C2747FA" w14:textId="79410AD4" w:rsidR="006204CD" w:rsidRPr="00F71427" w:rsidRDefault="006204CD" w:rsidP="006204CD">
      <w:pPr>
        <w:spacing w:after="0" w:line="240" w:lineRule="auto"/>
        <w:jc w:val="center"/>
        <w:rPr>
          <w:rFonts w:ascii="Times New Roman" w:eastAsia="Times New Roman" w:hAnsi="Times New Roman" w:cs="Times New Roman"/>
          <w:lang w:val="en-GB" w:eastAsia="it-IT"/>
        </w:rPr>
      </w:pPr>
      <w:r w:rsidRPr="00F71F57">
        <w:rPr>
          <w:rFonts w:ascii="Times New Roman" w:eastAsia="Times New Roman" w:hAnsi="Times New Roman" w:cs="Times New Roman"/>
          <w:lang w:val="en-GB" w:eastAsia="it-IT"/>
        </w:rPr>
        <w:t>XXXVIII</w:t>
      </w:r>
      <w:r w:rsidRPr="00F71F57">
        <w:rPr>
          <w:rFonts w:ascii="Times New Roman" w:eastAsia="Times New Roman" w:hAnsi="Times New Roman" w:cs="Times New Roman"/>
          <w:b/>
          <w:bCs/>
          <w:lang w:val="en-GB" w:eastAsia="it-IT"/>
        </w:rPr>
        <w:t xml:space="preserve"> /</w:t>
      </w:r>
      <w:r w:rsidRPr="00F71427">
        <w:rPr>
          <w:rFonts w:ascii="Times New Roman" w:eastAsia="Times New Roman" w:hAnsi="Times New Roman" w:cs="Times New Roman"/>
          <w:lang w:val="en-GB" w:eastAsia="it-IT"/>
        </w:rPr>
        <w:t xml:space="preserve"> 2022/2023</w:t>
      </w:r>
    </w:p>
    <w:p w14:paraId="7A010999" w14:textId="77777777" w:rsidR="006204CD" w:rsidRPr="00F71427" w:rsidRDefault="006204CD" w:rsidP="006204CD">
      <w:pPr>
        <w:spacing w:after="0" w:line="240" w:lineRule="auto"/>
        <w:jc w:val="center"/>
        <w:rPr>
          <w:rFonts w:ascii="Times New Roman" w:eastAsia="Times New Roman" w:hAnsi="Times New Roman" w:cs="Times New Roman"/>
          <w:lang w:val="en-GB" w:eastAsia="it-IT"/>
        </w:rPr>
      </w:pPr>
    </w:p>
    <w:p w14:paraId="14DA333D" w14:textId="77777777" w:rsidR="006204CD" w:rsidRPr="00F71F57" w:rsidRDefault="006204CD" w:rsidP="006204CD">
      <w:pPr>
        <w:spacing w:after="0" w:line="240" w:lineRule="auto"/>
        <w:jc w:val="center"/>
        <w:rPr>
          <w:rFonts w:ascii="Times New Roman" w:eastAsia="Times New Roman" w:hAnsi="Times New Roman" w:cs="Times New Roman"/>
          <w:lang w:val="en-GB" w:eastAsia="it-IT"/>
        </w:rPr>
      </w:pPr>
      <w:r w:rsidRPr="00F71F57">
        <w:rPr>
          <w:rFonts w:ascii="Times New Roman" w:eastAsia="Times New Roman" w:hAnsi="Times New Roman" w:cs="Times New Roman"/>
          <w:lang w:val="en-GB" w:eastAsia="it-IT"/>
        </w:rPr>
        <w:t>TITLE OF THE DOCTORAL THESIS</w:t>
      </w:r>
    </w:p>
    <w:p w14:paraId="11EC59FE" w14:textId="77777777" w:rsidR="006204CD" w:rsidRPr="00F71F57" w:rsidRDefault="006204CD" w:rsidP="006204CD">
      <w:pPr>
        <w:spacing w:after="0" w:line="240" w:lineRule="auto"/>
        <w:jc w:val="center"/>
        <w:rPr>
          <w:rFonts w:ascii="Times New Roman" w:eastAsia="Times New Roman" w:hAnsi="Times New Roman" w:cs="Times New Roman"/>
          <w:lang w:val="en-GB" w:eastAsia="it-IT"/>
        </w:rPr>
      </w:pPr>
    </w:p>
    <w:p w14:paraId="7FD88CA1" w14:textId="60BB4DD8" w:rsidR="006204CD" w:rsidRDefault="00983F6A" w:rsidP="00983F6A">
      <w:pPr>
        <w:spacing w:after="0" w:line="240" w:lineRule="auto"/>
        <w:jc w:val="center"/>
        <w:rPr>
          <w:rFonts w:ascii="Times New Roman" w:eastAsia="Times New Roman" w:hAnsi="Times New Roman" w:cs="Times New Roman"/>
          <w:lang w:val="en-GB" w:eastAsia="it-IT"/>
        </w:rPr>
      </w:pPr>
      <w:r w:rsidRPr="00983F6A">
        <w:rPr>
          <w:rFonts w:ascii="Times New Roman" w:eastAsia="Times New Roman" w:hAnsi="Times New Roman" w:cs="Times New Roman"/>
          <w:lang w:val="en-GB" w:eastAsia="it-IT"/>
        </w:rPr>
        <w:t>Validation of an Innovative Touchscreen System to Assess Neurocognitive Functions in Rodents</w:t>
      </w:r>
    </w:p>
    <w:p w14:paraId="0CA64910" w14:textId="77777777" w:rsidR="00983F6A" w:rsidRPr="00F71F57" w:rsidRDefault="00983F6A" w:rsidP="00983F6A">
      <w:pPr>
        <w:spacing w:after="0" w:line="240" w:lineRule="auto"/>
        <w:jc w:val="center"/>
        <w:rPr>
          <w:rFonts w:ascii="Times New Roman" w:eastAsia="Times New Roman" w:hAnsi="Times New Roman" w:cs="Times New Roman"/>
          <w:lang w:val="en-GB" w:eastAsia="it-IT"/>
        </w:rPr>
      </w:pPr>
    </w:p>
    <w:p w14:paraId="31980037" w14:textId="77777777" w:rsidR="006204CD" w:rsidRPr="00F71F57" w:rsidRDefault="006204CD" w:rsidP="006204CD">
      <w:pPr>
        <w:spacing w:after="0" w:line="240" w:lineRule="auto"/>
        <w:rPr>
          <w:rFonts w:ascii="Times New Roman" w:eastAsia="Times New Roman" w:hAnsi="Times New Roman" w:cs="Times New Roman"/>
          <w:lang w:val="en-GB" w:eastAsia="it-IT"/>
        </w:rPr>
      </w:pPr>
    </w:p>
    <w:p w14:paraId="2F4CFE0C" w14:textId="77777777" w:rsidR="006204CD" w:rsidRPr="00914260" w:rsidRDefault="006204CD" w:rsidP="006204CD">
      <w:pPr>
        <w:spacing w:after="0" w:line="240" w:lineRule="auto"/>
        <w:jc w:val="center"/>
        <w:rPr>
          <w:rFonts w:ascii="Times New Roman" w:eastAsia="Times New Roman" w:hAnsi="Times New Roman" w:cs="Times New Roman"/>
          <w:lang w:val="it-IT" w:eastAsia="it-IT"/>
        </w:rPr>
      </w:pPr>
      <w:r w:rsidRPr="00914260">
        <w:rPr>
          <w:rFonts w:ascii="Times New Roman" w:eastAsia="Times New Roman" w:hAnsi="Times New Roman" w:cs="Times New Roman"/>
          <w:lang w:val="it-IT" w:eastAsia="it-IT"/>
        </w:rPr>
        <w:t>S.S.D. BIO14/FARMACOLOGIA</w:t>
      </w:r>
    </w:p>
    <w:p w14:paraId="37BAD173" w14:textId="77777777" w:rsidR="006204CD" w:rsidRPr="00914260" w:rsidRDefault="006204CD" w:rsidP="006204CD">
      <w:pPr>
        <w:spacing w:after="0" w:line="240" w:lineRule="auto"/>
        <w:jc w:val="center"/>
        <w:rPr>
          <w:rFonts w:ascii="Times New Roman" w:eastAsia="Times New Roman" w:hAnsi="Times New Roman" w:cs="Times New Roman"/>
          <w:lang w:val="it-IT" w:eastAsia="it-IT"/>
        </w:rPr>
      </w:pPr>
      <w:r w:rsidRPr="00914260">
        <w:rPr>
          <w:rFonts w:ascii="Times New Roman" w:eastAsia="Times New Roman" w:hAnsi="Times New Roman" w:cs="Times New Roman"/>
          <w:lang w:val="it-IT" w:eastAsia="it-IT"/>
        </w:rPr>
        <w:t xml:space="preserve"> </w:t>
      </w:r>
    </w:p>
    <w:p w14:paraId="1502005F" w14:textId="77777777" w:rsidR="006204CD" w:rsidRPr="00914260" w:rsidRDefault="006204CD" w:rsidP="006204CD">
      <w:pPr>
        <w:spacing w:after="0" w:line="240" w:lineRule="auto"/>
        <w:rPr>
          <w:rFonts w:ascii="Times New Roman" w:eastAsia="Times New Roman" w:hAnsi="Times New Roman" w:cs="Times New Roman"/>
          <w:lang w:val="it-IT" w:eastAsia="it-IT"/>
        </w:rPr>
      </w:pPr>
    </w:p>
    <w:p w14:paraId="08D4FCF4" w14:textId="77777777" w:rsidR="006204CD" w:rsidRPr="00914260" w:rsidRDefault="006204CD" w:rsidP="006204CD">
      <w:pPr>
        <w:spacing w:after="0" w:line="240" w:lineRule="auto"/>
        <w:rPr>
          <w:rFonts w:ascii="Times New Roman" w:eastAsia="Times New Roman" w:hAnsi="Times New Roman" w:cs="Times New Roman"/>
          <w:lang w:val="it-IT" w:eastAsia="it-IT"/>
        </w:rPr>
      </w:pPr>
    </w:p>
    <w:p w14:paraId="6DF8D835" w14:textId="44D928ED" w:rsidR="006204CD" w:rsidRPr="00914260" w:rsidRDefault="00422602" w:rsidP="006204CD">
      <w:pPr>
        <w:spacing w:after="0" w:line="240" w:lineRule="auto"/>
        <w:rPr>
          <w:rFonts w:ascii="Times New Roman" w:eastAsia="Times New Roman" w:hAnsi="Times New Roman" w:cs="Times New Roman"/>
          <w:lang w:val="it-IT" w:eastAsia="it-IT"/>
        </w:rPr>
      </w:pPr>
      <w:r>
        <w:rPr>
          <w:rFonts w:ascii="Times New Roman" w:eastAsia="Times New Roman" w:hAnsi="Times New Roman" w:cs="Times New Roman" w:hint="cs"/>
          <w:rtl/>
          <w:lang w:val="it-IT" w:eastAsia="it-IT"/>
        </w:rPr>
        <w:t xml:space="preserve">     </w:t>
      </w:r>
      <w:r w:rsidR="006204CD" w:rsidRPr="00914260">
        <w:rPr>
          <w:rFonts w:ascii="Times New Roman" w:eastAsia="Times New Roman" w:hAnsi="Times New Roman" w:cs="Times New Roman"/>
          <w:lang w:val="it-IT" w:eastAsia="it-IT"/>
        </w:rPr>
        <w:t xml:space="preserve">Coordinator: </w:t>
      </w:r>
      <w:r w:rsidR="006204CD" w:rsidRPr="00914260">
        <w:rPr>
          <w:rFonts w:ascii="Times New Roman" w:eastAsia="Times New Roman" w:hAnsi="Times New Roman" w:cs="Times New Roman"/>
          <w:lang w:val="it-IT" w:eastAsia="it-IT"/>
        </w:rPr>
        <w:tab/>
        <w:t>Prof. Cristiano Chiamulera</w:t>
      </w:r>
    </w:p>
    <w:p w14:paraId="7E8B5299" w14:textId="77777777" w:rsidR="006204CD" w:rsidRPr="00914260" w:rsidRDefault="006204CD" w:rsidP="006204CD">
      <w:pPr>
        <w:spacing w:after="0" w:line="240" w:lineRule="auto"/>
        <w:rPr>
          <w:rFonts w:ascii="Times New Roman" w:eastAsia="Times New Roman" w:hAnsi="Times New Roman" w:cs="Times New Roman"/>
          <w:lang w:val="it-IT" w:eastAsia="it-IT"/>
        </w:rPr>
      </w:pPr>
    </w:p>
    <w:p w14:paraId="41ECC6C5" w14:textId="77777777" w:rsidR="006204CD" w:rsidRPr="00914260" w:rsidRDefault="006204CD" w:rsidP="006204CD">
      <w:pPr>
        <w:spacing w:after="0" w:line="240" w:lineRule="auto"/>
        <w:rPr>
          <w:rFonts w:ascii="Times New Roman" w:eastAsia="Times New Roman" w:hAnsi="Times New Roman" w:cs="Times New Roman"/>
          <w:lang w:val="it-IT" w:eastAsia="it-IT"/>
        </w:rPr>
      </w:pPr>
    </w:p>
    <w:p w14:paraId="339251E7" w14:textId="77777777" w:rsidR="006204CD" w:rsidRPr="00914260" w:rsidRDefault="006204CD" w:rsidP="006204CD">
      <w:pPr>
        <w:spacing w:after="0" w:line="240" w:lineRule="auto"/>
        <w:rPr>
          <w:rFonts w:ascii="Times New Roman" w:eastAsia="Times New Roman" w:hAnsi="Times New Roman" w:cs="Times New Roman"/>
          <w:lang w:val="it-IT" w:eastAsia="it-IT"/>
        </w:rPr>
      </w:pPr>
      <w:r w:rsidRPr="00914260">
        <w:rPr>
          <w:rFonts w:ascii="Times New Roman" w:eastAsia="Times New Roman" w:hAnsi="Times New Roman" w:cs="Times New Roman"/>
          <w:lang w:val="it-IT" w:eastAsia="it-IT"/>
        </w:rPr>
        <w:tab/>
        <w:t xml:space="preserve">        </w:t>
      </w:r>
      <w:r w:rsidRPr="00914260">
        <w:rPr>
          <w:rFonts w:ascii="Times New Roman" w:eastAsia="Times New Roman" w:hAnsi="Times New Roman" w:cs="Times New Roman"/>
          <w:lang w:val="it-IT" w:eastAsia="it-IT"/>
        </w:rPr>
        <w:tab/>
        <w:t>Signature __________________________</w:t>
      </w:r>
    </w:p>
    <w:p w14:paraId="0F5CD8B2" w14:textId="77777777" w:rsidR="006204CD" w:rsidRPr="00914260" w:rsidRDefault="006204CD" w:rsidP="006204CD">
      <w:pPr>
        <w:spacing w:after="0" w:line="240" w:lineRule="auto"/>
        <w:jc w:val="right"/>
        <w:rPr>
          <w:rFonts w:ascii="Times New Roman" w:eastAsia="Times New Roman" w:hAnsi="Times New Roman" w:cs="Times New Roman"/>
          <w:lang w:val="it-IT" w:eastAsia="it-IT"/>
        </w:rPr>
      </w:pPr>
    </w:p>
    <w:p w14:paraId="77F1ECF7" w14:textId="722A8003" w:rsidR="006204CD" w:rsidRPr="00914260" w:rsidRDefault="00422602" w:rsidP="006204CD">
      <w:pPr>
        <w:spacing w:after="0" w:line="240" w:lineRule="auto"/>
        <w:rPr>
          <w:rFonts w:ascii="Times New Roman" w:eastAsia="Times New Roman" w:hAnsi="Times New Roman" w:cs="Times New Roman"/>
          <w:lang w:val="it-IT" w:eastAsia="it-IT"/>
        </w:rPr>
      </w:pPr>
      <w:r>
        <w:rPr>
          <w:rFonts w:ascii="Times New Roman" w:eastAsia="Times New Roman" w:hAnsi="Times New Roman" w:cs="Times New Roman" w:hint="cs"/>
          <w:rtl/>
          <w:lang w:val="it-IT" w:eastAsia="it-IT"/>
        </w:rPr>
        <w:t xml:space="preserve">     </w:t>
      </w:r>
      <w:r w:rsidR="006204CD" w:rsidRPr="00914260">
        <w:rPr>
          <w:rFonts w:ascii="Times New Roman" w:eastAsia="Times New Roman" w:hAnsi="Times New Roman" w:cs="Times New Roman"/>
          <w:lang w:val="it-IT" w:eastAsia="it-IT"/>
        </w:rPr>
        <w:t xml:space="preserve">Tutor: </w:t>
      </w:r>
      <w:r w:rsidR="006204CD" w:rsidRPr="00914260">
        <w:rPr>
          <w:rFonts w:ascii="Times New Roman" w:eastAsia="Times New Roman" w:hAnsi="Times New Roman" w:cs="Times New Roman"/>
          <w:lang w:val="it-IT" w:eastAsia="it-IT"/>
        </w:rPr>
        <w:tab/>
      </w:r>
      <w:r w:rsidR="006204CD" w:rsidRPr="00914260">
        <w:rPr>
          <w:rFonts w:ascii="Times New Roman" w:eastAsia="Times New Roman" w:hAnsi="Times New Roman" w:cs="Times New Roman"/>
          <w:lang w:val="it-IT" w:eastAsia="it-IT"/>
        </w:rPr>
        <w:tab/>
        <w:t>Dr. Alessandro Piva</w:t>
      </w:r>
    </w:p>
    <w:p w14:paraId="092D2550" w14:textId="77777777" w:rsidR="00CA0237" w:rsidRPr="00914260" w:rsidRDefault="00CA0237" w:rsidP="006204CD">
      <w:pPr>
        <w:spacing w:after="0" w:line="240" w:lineRule="auto"/>
        <w:rPr>
          <w:rFonts w:ascii="Times New Roman" w:eastAsia="Times New Roman" w:hAnsi="Times New Roman" w:cs="Times New Roman"/>
          <w:lang w:val="it-IT" w:eastAsia="it-IT"/>
        </w:rPr>
      </w:pPr>
    </w:p>
    <w:p w14:paraId="171CCACD" w14:textId="77777777" w:rsidR="006204CD" w:rsidRPr="00914260" w:rsidRDefault="006204CD" w:rsidP="006204CD">
      <w:pPr>
        <w:spacing w:after="0" w:line="240" w:lineRule="auto"/>
        <w:rPr>
          <w:rFonts w:ascii="Times New Roman" w:eastAsia="Times New Roman" w:hAnsi="Times New Roman" w:cs="Times New Roman"/>
          <w:lang w:val="it-IT" w:eastAsia="it-IT"/>
        </w:rPr>
      </w:pPr>
    </w:p>
    <w:p w14:paraId="469CD2BE" w14:textId="71C15DA2" w:rsidR="006204CD" w:rsidRDefault="006204CD" w:rsidP="006204CD">
      <w:pPr>
        <w:spacing w:after="0" w:line="240" w:lineRule="auto"/>
        <w:rPr>
          <w:rFonts w:ascii="Times New Roman" w:eastAsia="Times New Roman" w:hAnsi="Times New Roman" w:cs="Times New Roman"/>
          <w:lang w:val="it-IT" w:eastAsia="it-IT"/>
        </w:rPr>
      </w:pPr>
      <w:r w:rsidRPr="00914260">
        <w:rPr>
          <w:rFonts w:ascii="Times New Roman" w:eastAsia="Times New Roman" w:hAnsi="Times New Roman" w:cs="Times New Roman"/>
          <w:lang w:val="it-IT" w:eastAsia="it-IT"/>
        </w:rPr>
        <w:tab/>
      </w:r>
      <w:r w:rsidRPr="00914260">
        <w:rPr>
          <w:rFonts w:ascii="Times New Roman" w:eastAsia="Times New Roman" w:hAnsi="Times New Roman" w:cs="Times New Roman"/>
          <w:lang w:val="it-IT" w:eastAsia="it-IT"/>
        </w:rPr>
        <w:tab/>
        <w:t>Signature __________________________</w:t>
      </w:r>
    </w:p>
    <w:p w14:paraId="2231FE99" w14:textId="7300F90A" w:rsidR="005F1745" w:rsidRDefault="005F1745" w:rsidP="006204CD">
      <w:pPr>
        <w:spacing w:after="0" w:line="240" w:lineRule="auto"/>
        <w:rPr>
          <w:rFonts w:ascii="Times New Roman" w:eastAsia="Times New Roman" w:hAnsi="Times New Roman" w:cs="Times New Roman"/>
          <w:lang w:val="it-IT" w:eastAsia="it-IT"/>
        </w:rPr>
      </w:pPr>
    </w:p>
    <w:p w14:paraId="075EDD16" w14:textId="77777777" w:rsidR="005F1745" w:rsidRPr="00914260" w:rsidRDefault="005F1745" w:rsidP="006204CD">
      <w:pPr>
        <w:spacing w:after="0" w:line="240" w:lineRule="auto"/>
        <w:rPr>
          <w:rFonts w:ascii="Times New Roman" w:eastAsia="Times New Roman" w:hAnsi="Times New Roman" w:cs="Times New Roman"/>
          <w:lang w:val="it-IT" w:eastAsia="it-IT"/>
        </w:rPr>
      </w:pPr>
    </w:p>
    <w:p w14:paraId="094DACAD" w14:textId="77777777" w:rsidR="006204CD" w:rsidRPr="00914260" w:rsidRDefault="006204CD" w:rsidP="006204CD">
      <w:pPr>
        <w:spacing w:after="0" w:line="240" w:lineRule="auto"/>
        <w:rPr>
          <w:rFonts w:ascii="Times New Roman" w:eastAsia="Times New Roman" w:hAnsi="Times New Roman" w:cs="Times New Roman"/>
          <w:lang w:val="it-IT" w:eastAsia="it-IT"/>
        </w:rPr>
      </w:pPr>
    </w:p>
    <w:p w14:paraId="054B0EB4" w14:textId="4C0F6709" w:rsidR="006204CD" w:rsidRPr="005F1745" w:rsidRDefault="006204CD" w:rsidP="005F1745">
      <w:pPr>
        <w:spacing w:after="0" w:line="240" w:lineRule="auto"/>
        <w:rPr>
          <w:rFonts w:ascii="Times New Roman" w:eastAsia="Times New Roman" w:hAnsi="Times New Roman" w:cs="Times New Roman"/>
          <w:lang w:eastAsia="it-IT"/>
        </w:rPr>
      </w:pPr>
      <w:r w:rsidRPr="00914260">
        <w:rPr>
          <w:rFonts w:ascii="Times New Roman" w:eastAsia="Times New Roman" w:hAnsi="Times New Roman" w:cs="Times New Roman"/>
          <w:lang w:val="it-IT" w:eastAsia="it-IT"/>
        </w:rPr>
        <w:tab/>
      </w:r>
      <w:r w:rsidRPr="00914260">
        <w:rPr>
          <w:rFonts w:ascii="Times New Roman" w:eastAsia="Times New Roman" w:hAnsi="Times New Roman" w:cs="Times New Roman"/>
          <w:lang w:val="it-IT" w:eastAsia="it-IT"/>
        </w:rPr>
        <w:tab/>
      </w:r>
      <w:r w:rsidRPr="00914260">
        <w:rPr>
          <w:rFonts w:ascii="Times New Roman" w:eastAsia="Times New Roman" w:hAnsi="Times New Roman" w:cs="Times New Roman"/>
          <w:lang w:val="it-IT" w:eastAsia="it-IT"/>
        </w:rPr>
        <w:tab/>
      </w:r>
      <w:r w:rsidRPr="00914260">
        <w:rPr>
          <w:rFonts w:ascii="Times New Roman" w:eastAsia="Times New Roman" w:hAnsi="Times New Roman" w:cs="Times New Roman"/>
          <w:lang w:val="it-IT" w:eastAsia="it-IT"/>
        </w:rPr>
        <w:tab/>
      </w:r>
      <w:r w:rsidRPr="00914260">
        <w:rPr>
          <w:rFonts w:ascii="Times New Roman" w:eastAsia="Times New Roman" w:hAnsi="Times New Roman" w:cs="Times New Roman"/>
          <w:lang w:val="it-IT" w:eastAsia="it-IT"/>
        </w:rPr>
        <w:tab/>
      </w:r>
      <w:r w:rsidR="005F1745" w:rsidRPr="0090743C">
        <w:rPr>
          <w:rFonts w:ascii="Times New Roman" w:eastAsia="Times New Roman" w:hAnsi="Times New Roman" w:cs="Times New Roman"/>
          <w:lang w:val="it-IT" w:eastAsia="it-IT"/>
        </w:rPr>
        <w:t xml:space="preserve">          </w:t>
      </w:r>
      <w:r w:rsidRPr="00F71F57">
        <w:rPr>
          <w:rFonts w:ascii="Times New Roman" w:eastAsia="Times New Roman" w:hAnsi="Times New Roman" w:cs="Times New Roman"/>
          <w:lang w:val="en-GB" w:eastAsia="it-IT"/>
        </w:rPr>
        <w:t>Doctoral Student: D</w:t>
      </w:r>
      <w:r w:rsidR="00A36EA9">
        <w:rPr>
          <w:rFonts w:ascii="Times New Roman" w:eastAsia="Times New Roman" w:hAnsi="Times New Roman" w:cs="Times New Roman"/>
          <w:lang w:val="en-GB" w:eastAsia="it-IT"/>
        </w:rPr>
        <w:t>r</w:t>
      </w:r>
      <w:r w:rsidRPr="00F71F57">
        <w:rPr>
          <w:rFonts w:ascii="Times New Roman" w:eastAsia="Times New Roman" w:hAnsi="Times New Roman" w:cs="Times New Roman"/>
          <w:lang w:val="en-GB" w:eastAsia="it-IT"/>
        </w:rPr>
        <w:t>. Ehsan Fesahat</w:t>
      </w:r>
    </w:p>
    <w:p w14:paraId="2B7FCCFC" w14:textId="399608C8" w:rsidR="006204CD" w:rsidRPr="00F71427" w:rsidRDefault="006204CD" w:rsidP="005F1745">
      <w:pPr>
        <w:spacing w:after="0" w:line="240" w:lineRule="auto"/>
        <w:rPr>
          <w:rFonts w:ascii="Times New Roman" w:eastAsia="Times New Roman" w:hAnsi="Times New Roman" w:cs="Times New Roman"/>
          <w:lang w:val="en-GB" w:eastAsia="it-IT"/>
        </w:rPr>
      </w:pPr>
      <w:r w:rsidRPr="00F71F57">
        <w:rPr>
          <w:rFonts w:ascii="Times New Roman" w:eastAsia="Times New Roman" w:hAnsi="Times New Roman" w:cs="Times New Roman"/>
          <w:lang w:val="en-GB" w:eastAsia="it-IT"/>
        </w:rPr>
        <w:tab/>
      </w:r>
      <w:r w:rsidRPr="00F71F57">
        <w:rPr>
          <w:rFonts w:ascii="Times New Roman" w:eastAsia="Times New Roman" w:hAnsi="Times New Roman" w:cs="Times New Roman"/>
          <w:lang w:val="en-GB" w:eastAsia="it-IT"/>
        </w:rPr>
        <w:tab/>
      </w:r>
      <w:r w:rsidRPr="00F71F57">
        <w:rPr>
          <w:rFonts w:ascii="Times New Roman" w:eastAsia="Times New Roman" w:hAnsi="Times New Roman" w:cs="Times New Roman"/>
          <w:lang w:val="en-GB" w:eastAsia="it-IT"/>
        </w:rPr>
        <w:tab/>
      </w:r>
      <w:r w:rsidRPr="00F71F57">
        <w:rPr>
          <w:rFonts w:ascii="Times New Roman" w:eastAsia="Times New Roman" w:hAnsi="Times New Roman" w:cs="Times New Roman"/>
          <w:lang w:val="en-GB" w:eastAsia="it-IT"/>
        </w:rPr>
        <w:tab/>
      </w:r>
      <w:r w:rsidRPr="00F71F57">
        <w:rPr>
          <w:rFonts w:ascii="Times New Roman" w:eastAsia="Times New Roman" w:hAnsi="Times New Roman" w:cs="Times New Roman"/>
          <w:lang w:val="en-GB" w:eastAsia="it-IT"/>
        </w:rPr>
        <w:tab/>
      </w:r>
      <w:r w:rsidR="005F1745">
        <w:rPr>
          <w:rFonts w:ascii="Times New Roman" w:eastAsia="Times New Roman" w:hAnsi="Times New Roman" w:cs="Times New Roman"/>
          <w:lang w:val="en-GB" w:eastAsia="it-IT"/>
        </w:rPr>
        <w:t xml:space="preserve">          </w:t>
      </w:r>
      <w:r w:rsidR="005F1745" w:rsidRPr="00F71427">
        <w:rPr>
          <w:rFonts w:ascii="Times New Roman" w:eastAsia="Times New Roman" w:hAnsi="Times New Roman" w:cs="Times New Roman"/>
          <w:lang w:val="en-GB" w:eastAsia="it-IT"/>
        </w:rPr>
        <w:t>Signature_____________________</w:t>
      </w:r>
      <w:r w:rsidR="005F1745">
        <w:rPr>
          <w:rFonts w:ascii="Times New Roman" w:eastAsia="Times New Roman" w:hAnsi="Times New Roman" w:cs="Times New Roman"/>
          <w:lang w:val="en-GB" w:eastAsia="it-IT"/>
        </w:rPr>
        <w:t xml:space="preserve">                                                           </w:t>
      </w:r>
    </w:p>
    <w:bookmarkEnd w:id="0"/>
    <w:p w14:paraId="60E79EDC" w14:textId="77777777" w:rsidR="006204CD" w:rsidRPr="00F71427" w:rsidRDefault="006204CD" w:rsidP="006204CD">
      <w:pPr>
        <w:spacing w:after="0" w:line="240" w:lineRule="auto"/>
        <w:rPr>
          <w:rFonts w:ascii="Times New Roman" w:eastAsia="Times New Roman" w:hAnsi="Times New Roman" w:cs="Times New Roman"/>
          <w:lang w:val="en-GB" w:eastAsia="it-IT"/>
        </w:rPr>
      </w:pPr>
    </w:p>
    <w:p w14:paraId="20086A07" w14:textId="2D6D0D0A" w:rsidR="00454F17" w:rsidRPr="00F71427" w:rsidRDefault="00454F17" w:rsidP="00BE7FC7">
      <w:pPr>
        <w:rPr>
          <w:rFonts w:asciiTheme="majorBidi" w:hAnsiTheme="majorBidi"/>
          <w:b/>
          <w:bCs/>
          <w:sz w:val="24"/>
          <w:szCs w:val="24"/>
          <w:lang w:val="en-GB" w:bidi="fa-IR"/>
        </w:rPr>
      </w:pPr>
    </w:p>
    <w:p w14:paraId="50654D8E" w14:textId="77777777" w:rsidR="005F1745" w:rsidRDefault="005F1745" w:rsidP="00BE7FC7">
      <w:pPr>
        <w:rPr>
          <w:rFonts w:asciiTheme="majorBidi" w:hAnsiTheme="majorBidi"/>
          <w:b/>
          <w:bCs/>
          <w:sz w:val="24"/>
          <w:szCs w:val="24"/>
          <w:lang w:val="en-GB" w:bidi="fa-IR"/>
        </w:rPr>
        <w:sectPr w:rsidR="005F1745" w:rsidSect="005F1745">
          <w:footerReference w:type="default" r:id="rId9"/>
          <w:pgSz w:w="11906" w:h="16838"/>
          <w:pgMar w:top="1701" w:right="1701" w:bottom="1701" w:left="2268" w:header="708" w:footer="708" w:gutter="0"/>
          <w:cols w:space="708"/>
          <w:titlePg/>
          <w:docGrid w:linePitch="360"/>
        </w:sectPr>
      </w:pPr>
    </w:p>
    <w:p w14:paraId="4B99FDB7" w14:textId="6D758467" w:rsidR="006204CD" w:rsidRPr="00F71F57" w:rsidRDefault="006204CD" w:rsidP="00BE7FC7">
      <w:pPr>
        <w:rPr>
          <w:rFonts w:asciiTheme="majorBidi" w:hAnsiTheme="majorBidi"/>
          <w:b/>
          <w:bCs/>
          <w:sz w:val="24"/>
          <w:szCs w:val="24"/>
          <w:rtl/>
          <w:lang w:val="en-GB" w:bidi="fa-IR"/>
        </w:rPr>
      </w:pPr>
    </w:p>
    <w:p w14:paraId="5098A8F7" w14:textId="440E8569" w:rsidR="006204CD" w:rsidRDefault="006204CD" w:rsidP="00BE7FC7">
      <w:pPr>
        <w:rPr>
          <w:rFonts w:asciiTheme="majorBidi" w:hAnsiTheme="majorBidi"/>
          <w:b/>
          <w:bCs/>
          <w:sz w:val="24"/>
          <w:szCs w:val="24"/>
          <w:rtl/>
          <w:lang w:val="en-GB" w:bidi="fa-IR"/>
        </w:rPr>
      </w:pPr>
    </w:p>
    <w:p w14:paraId="291B9D87" w14:textId="77777777" w:rsidR="005F1745" w:rsidRPr="00F71427" w:rsidRDefault="005F1745" w:rsidP="005F1745">
      <w:pPr>
        <w:spacing w:after="0" w:line="240" w:lineRule="auto"/>
        <w:rPr>
          <w:rFonts w:ascii="Times New Roman" w:eastAsia="Times New Roman" w:hAnsi="Times New Roman" w:cs="Times New Roman"/>
          <w:lang w:val="en-GB" w:eastAsia="it-IT"/>
        </w:rPr>
      </w:pPr>
    </w:p>
    <w:p w14:paraId="23770801" w14:textId="77777777" w:rsidR="005F1745" w:rsidRPr="00F71427" w:rsidRDefault="005F1745" w:rsidP="005F1745">
      <w:pPr>
        <w:rPr>
          <w:rFonts w:asciiTheme="majorBidi" w:hAnsiTheme="majorBidi"/>
          <w:b/>
          <w:bCs/>
          <w:sz w:val="24"/>
          <w:szCs w:val="24"/>
          <w:lang w:val="en-GB" w:bidi="fa-IR"/>
        </w:rPr>
      </w:pPr>
    </w:p>
    <w:p w14:paraId="287ADE8A" w14:textId="77777777" w:rsidR="005F1745" w:rsidRPr="00F71F57" w:rsidRDefault="005F1745" w:rsidP="005F1745">
      <w:pPr>
        <w:rPr>
          <w:rFonts w:asciiTheme="majorBidi" w:hAnsiTheme="majorBidi"/>
          <w:b/>
          <w:bCs/>
          <w:sz w:val="24"/>
          <w:szCs w:val="24"/>
          <w:lang w:val="en-GB" w:bidi="fa-IR"/>
        </w:rPr>
      </w:pPr>
    </w:p>
    <w:p w14:paraId="0CB81540" w14:textId="77777777" w:rsidR="005F1745" w:rsidRPr="00F71F57" w:rsidRDefault="005F1745" w:rsidP="005F1745">
      <w:pPr>
        <w:rPr>
          <w:rFonts w:asciiTheme="majorBidi" w:hAnsiTheme="majorBidi"/>
          <w:b/>
          <w:bCs/>
          <w:sz w:val="24"/>
          <w:szCs w:val="24"/>
          <w:lang w:val="en-GB" w:bidi="fa-IR"/>
        </w:rPr>
      </w:pPr>
    </w:p>
    <w:p w14:paraId="0D13E5CF" w14:textId="77777777" w:rsidR="005F1745" w:rsidRDefault="005F1745" w:rsidP="005F1745">
      <w:pPr>
        <w:rPr>
          <w:rFonts w:asciiTheme="majorBidi" w:hAnsiTheme="majorBidi"/>
          <w:b/>
          <w:bCs/>
          <w:sz w:val="24"/>
          <w:szCs w:val="24"/>
          <w:rtl/>
          <w:lang w:val="en-GB" w:bidi="fa-IR"/>
        </w:rPr>
      </w:pPr>
    </w:p>
    <w:p w14:paraId="4F63FA75"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498C468D"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257B6637"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0A0D2167"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34C72298"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5686E135"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0F7A8CBE"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6B760A5F"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2A78C4F1"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762810B6"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7A161B09"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3D183177"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642E6C2F"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63F92BA0"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690B902F"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7BA74CF6"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5C407D2A"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310EA194"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19598522"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6E09D1D2"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cs/>
          <w:lang w:val="en-GB" w:eastAsia="zh-CN" w:bidi="hi-IN"/>
        </w:rPr>
      </w:pPr>
    </w:p>
    <w:p w14:paraId="09C36100"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276CEC48"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658644C9"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cs/>
          <w:lang w:val="en-GB" w:eastAsia="zh-CN" w:bidi="hi-IN"/>
        </w:rPr>
      </w:pPr>
    </w:p>
    <w:p w14:paraId="6E169BA2"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kern w:val="3"/>
          <w:sz w:val="24"/>
          <w:szCs w:val="24"/>
          <w:lang w:val="en-GB" w:eastAsia="zh-CN" w:bidi="hi-IN"/>
        </w:rPr>
      </w:pPr>
    </w:p>
    <w:p w14:paraId="745D8B43"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color w:val="000000" w:themeColor="text1"/>
          <w:kern w:val="3"/>
          <w:sz w:val="24"/>
          <w:szCs w:val="24"/>
          <w:lang w:val="en-GB" w:eastAsia="zh-CN" w:bidi="hi-IN"/>
        </w:rPr>
      </w:pPr>
    </w:p>
    <w:p w14:paraId="43B47B75" w14:textId="77777777" w:rsidR="005F1745" w:rsidRPr="0021213A" w:rsidRDefault="005F1745" w:rsidP="005F1745">
      <w:pPr>
        <w:widowControl w:val="0"/>
        <w:suppressAutoHyphens/>
        <w:autoSpaceDN w:val="0"/>
        <w:spacing w:after="0" w:line="240" w:lineRule="auto"/>
        <w:jc w:val="center"/>
        <w:textAlignment w:val="baseline"/>
        <w:rPr>
          <w:rFonts w:ascii="Liberation Serif" w:eastAsia="Times New Roman" w:hAnsi="Liberation Serif" w:cs="Mangal"/>
          <w:color w:val="000000" w:themeColor="text1"/>
          <w:kern w:val="3"/>
          <w:sz w:val="16"/>
          <w:szCs w:val="16"/>
          <w:lang w:val="en-GB" w:eastAsia="zh-CN" w:bidi="hi-IN"/>
        </w:rPr>
      </w:pPr>
      <w:r w:rsidRPr="0021213A">
        <w:rPr>
          <w:rFonts w:ascii="Liberation Serif" w:eastAsia="Times New Roman" w:hAnsi="Liberation Serif" w:cs="Mangal"/>
          <w:color w:val="000000" w:themeColor="text1"/>
          <w:kern w:val="3"/>
          <w:sz w:val="16"/>
          <w:szCs w:val="16"/>
          <w:lang w:val="en-GB" w:eastAsia="zh-CN" w:bidi="hi-IN"/>
        </w:rPr>
        <w:t>This work is licensed under a Creative Commons Attribution-NonCommercial-</w:t>
      </w:r>
    </w:p>
    <w:p w14:paraId="7DF1038D" w14:textId="77777777" w:rsidR="005F1745" w:rsidRPr="0021213A" w:rsidRDefault="005F1745" w:rsidP="005F1745">
      <w:pPr>
        <w:widowControl w:val="0"/>
        <w:suppressAutoHyphens/>
        <w:autoSpaceDN w:val="0"/>
        <w:spacing w:after="0" w:line="240" w:lineRule="auto"/>
        <w:jc w:val="center"/>
        <w:textAlignment w:val="baseline"/>
        <w:rPr>
          <w:rFonts w:ascii="Liberation Serif" w:eastAsia="Times New Roman" w:hAnsi="Liberation Serif" w:cs="Mangal"/>
          <w:color w:val="000000" w:themeColor="text1"/>
          <w:kern w:val="3"/>
          <w:sz w:val="16"/>
          <w:szCs w:val="16"/>
          <w:lang w:val="en-GB" w:eastAsia="zh-CN" w:bidi="hi-IN"/>
        </w:rPr>
      </w:pPr>
      <w:r w:rsidRPr="0021213A">
        <w:rPr>
          <w:rFonts w:ascii="Liberation Serif" w:eastAsia="Times New Roman" w:hAnsi="Liberation Serif" w:cs="Mangal"/>
          <w:color w:val="000000" w:themeColor="text1"/>
          <w:kern w:val="3"/>
          <w:sz w:val="16"/>
          <w:szCs w:val="16"/>
          <w:lang w:val="en-GB" w:eastAsia="zh-CN" w:bidi="hi-IN"/>
        </w:rPr>
        <w:t>NoDerivs 3.0 Unported License, Italy. To read a copy of the licence, visit the web page:</w:t>
      </w:r>
    </w:p>
    <w:p w14:paraId="22224670" w14:textId="77777777" w:rsidR="005F1745" w:rsidRPr="0021213A" w:rsidRDefault="005F1745" w:rsidP="005F1745">
      <w:pPr>
        <w:widowControl w:val="0"/>
        <w:suppressAutoHyphens/>
        <w:autoSpaceDN w:val="0"/>
        <w:spacing w:after="0" w:line="240" w:lineRule="auto"/>
        <w:jc w:val="center"/>
        <w:textAlignment w:val="baseline"/>
        <w:rPr>
          <w:rFonts w:ascii="Mangal" w:eastAsia="Times New Roman" w:hAnsi="Liberation Serif" w:cs="Mangal"/>
          <w:color w:val="000000" w:themeColor="text1"/>
          <w:kern w:val="3"/>
          <w:sz w:val="16"/>
          <w:szCs w:val="16"/>
          <w:lang w:val="en-GB" w:eastAsia="zh-CN" w:bidi="hi-IN"/>
        </w:rPr>
      </w:pPr>
    </w:p>
    <w:p w14:paraId="17F5073D" w14:textId="77777777" w:rsidR="005F1745" w:rsidRPr="0021213A" w:rsidRDefault="00BF6ADA" w:rsidP="005F1745">
      <w:pPr>
        <w:widowControl w:val="0"/>
        <w:suppressAutoHyphens/>
        <w:autoSpaceDN w:val="0"/>
        <w:spacing w:after="0" w:line="240" w:lineRule="auto"/>
        <w:jc w:val="center"/>
        <w:textAlignment w:val="baseline"/>
        <w:rPr>
          <w:rFonts w:ascii="Liberation Serif" w:eastAsia="Times New Roman" w:hAnsi="Liberation Serif" w:cs="Mangal"/>
          <w:color w:val="000000" w:themeColor="text1"/>
          <w:kern w:val="3"/>
          <w:sz w:val="16"/>
          <w:szCs w:val="16"/>
          <w:lang w:val="en-GB" w:eastAsia="zh-CN" w:bidi="hi-IN"/>
        </w:rPr>
      </w:pPr>
      <w:hyperlink r:id="rId10" w:history="1">
        <w:r w:rsidR="005F1745" w:rsidRPr="0021213A">
          <w:rPr>
            <w:rFonts w:ascii="Liberation Serif" w:eastAsia="Times New Roman" w:hAnsi="Liberation Serif" w:cs="Mangal"/>
            <w:color w:val="000000" w:themeColor="text1"/>
            <w:kern w:val="3"/>
            <w:sz w:val="16"/>
            <w:szCs w:val="16"/>
            <w:u w:val="single"/>
            <w:lang w:val="en-GB" w:eastAsia="zh-CN" w:bidi="hi-IN"/>
          </w:rPr>
          <w:t>http://creativecommons.org/licenses/by-nc-nd/3.0/</w:t>
        </w:r>
      </w:hyperlink>
    </w:p>
    <w:p w14:paraId="2E236CC1"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color w:val="000000" w:themeColor="text1"/>
          <w:kern w:val="3"/>
          <w:sz w:val="16"/>
          <w:szCs w:val="16"/>
          <w:lang w:val="en-GB" w:eastAsia="zh-CN" w:bidi="hi-IN"/>
        </w:rPr>
      </w:pPr>
    </w:p>
    <w:p w14:paraId="200FE76E" w14:textId="77777777" w:rsidR="005F1745" w:rsidRPr="0021213A" w:rsidRDefault="005F1745" w:rsidP="005F1745">
      <w:pPr>
        <w:widowControl w:val="0"/>
        <w:suppressAutoHyphens/>
        <w:autoSpaceDN w:val="0"/>
        <w:spacing w:after="0" w:line="240" w:lineRule="auto"/>
        <w:textAlignment w:val="baseline"/>
        <w:rPr>
          <w:rFonts w:ascii="Liberation Serif" w:eastAsia="Times New Roman" w:hAnsi="Liberation Serif" w:cs="Mangal"/>
          <w:color w:val="000000" w:themeColor="text1"/>
          <w:kern w:val="3"/>
          <w:sz w:val="16"/>
          <w:szCs w:val="16"/>
          <w:lang w:val="en-GB" w:eastAsia="zh-CN" w:bidi="hi-IN"/>
        </w:rPr>
      </w:pPr>
      <w:r w:rsidRPr="0021213A">
        <w:rPr>
          <w:rFonts w:ascii="Liberation Serif" w:eastAsia="Times New Roman" w:hAnsi="Liberation Serif" w:cs="Mangal"/>
          <w:noProof/>
          <w:color w:val="000000" w:themeColor="text1"/>
          <w:kern w:val="3"/>
          <w:sz w:val="24"/>
          <w:szCs w:val="24"/>
          <w:lang w:val="en-GB" w:eastAsia="en-GB"/>
        </w:rPr>
        <w:drawing>
          <wp:anchor distT="0" distB="0" distL="114300" distR="114300" simplePos="0" relativeHeight="251665408" behindDoc="1" locked="0" layoutInCell="1" allowOverlap="1" wp14:anchorId="100EA245" wp14:editId="1C73ED89">
            <wp:simplePos x="0" y="0"/>
            <wp:positionH relativeFrom="column">
              <wp:posOffset>69850</wp:posOffset>
            </wp:positionH>
            <wp:positionV relativeFrom="paragraph">
              <wp:posOffset>4445</wp:posOffset>
            </wp:positionV>
            <wp:extent cx="207645" cy="721360"/>
            <wp:effectExtent l="0" t="0" r="1905" b="2540"/>
            <wp:wrapThrough wrapText="bothSides">
              <wp:wrapPolygon edited="0">
                <wp:start x="0" y="0"/>
                <wp:lineTo x="0" y="21106"/>
                <wp:lineTo x="19817" y="21106"/>
                <wp:lineTo x="19817"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7645" cy="721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1213A">
        <w:rPr>
          <w:rFonts w:ascii="Liberation Serif" w:eastAsia="Times New Roman" w:hAnsi="Liberation Serif" w:cs="Mangal"/>
          <w:b/>
          <w:bCs/>
          <w:color w:val="000000" w:themeColor="text1"/>
          <w:kern w:val="3"/>
          <w:sz w:val="16"/>
          <w:szCs w:val="16"/>
          <w:lang w:val="en-GB" w:eastAsia="zh-CN" w:bidi="hi-IN"/>
        </w:rPr>
        <w:t xml:space="preserve">Attribution </w:t>
      </w:r>
      <w:r w:rsidRPr="0021213A">
        <w:rPr>
          <w:rFonts w:ascii="Liberation Serif" w:eastAsia="Times New Roman" w:hAnsi="Liberation Serif" w:cs="Mangal"/>
          <w:bCs/>
          <w:color w:val="000000" w:themeColor="text1"/>
          <w:kern w:val="3"/>
          <w:sz w:val="16"/>
          <w:szCs w:val="16"/>
          <w:lang w:val="en-GB" w:eastAsia="zh-CN" w:bidi="hi-IN"/>
        </w:rPr>
        <w:t xml:space="preserve">— You must give </w:t>
      </w:r>
      <w:hyperlink r:id="rId12" w:history="1">
        <w:r w:rsidRPr="0021213A">
          <w:rPr>
            <w:rFonts w:ascii="Liberation Serif" w:eastAsia="Times New Roman" w:hAnsi="Liberation Serif" w:cs="Mangal"/>
            <w:color w:val="000000" w:themeColor="text1"/>
            <w:kern w:val="3"/>
            <w:sz w:val="16"/>
            <w:szCs w:val="16"/>
            <w:lang w:val="en-GB" w:eastAsia="zh-CN" w:bidi="hi-IN"/>
          </w:rPr>
          <w:t>appropriate credit</w:t>
        </w:r>
      </w:hyperlink>
      <w:r w:rsidRPr="0021213A">
        <w:rPr>
          <w:rFonts w:ascii="Liberation Serif" w:eastAsia="Times New Roman" w:hAnsi="Liberation Serif" w:cs="Mangal"/>
          <w:color w:val="000000" w:themeColor="text1"/>
          <w:kern w:val="3"/>
          <w:sz w:val="16"/>
          <w:szCs w:val="16"/>
          <w:lang w:val="en-GB" w:eastAsia="zh-CN" w:bidi="hi-IN"/>
        </w:rPr>
        <w:t xml:space="preserve">, provide a link to the license, and </w:t>
      </w:r>
      <w:hyperlink r:id="rId13" w:history="1">
        <w:r w:rsidRPr="0021213A">
          <w:rPr>
            <w:rFonts w:ascii="Liberation Serif" w:eastAsia="Times New Roman" w:hAnsi="Liberation Serif" w:cs="Mangal"/>
            <w:color w:val="000000" w:themeColor="text1"/>
            <w:kern w:val="3"/>
            <w:sz w:val="16"/>
            <w:szCs w:val="16"/>
            <w:lang w:val="en-GB" w:eastAsia="zh-CN" w:bidi="hi-IN"/>
          </w:rPr>
          <w:t>indicate if changes were made</w:t>
        </w:r>
      </w:hyperlink>
      <w:r w:rsidRPr="0021213A">
        <w:rPr>
          <w:rFonts w:ascii="Liberation Serif" w:eastAsia="Times New Roman" w:hAnsi="Liberation Serif" w:cs="Mangal"/>
          <w:color w:val="000000" w:themeColor="text1"/>
          <w:kern w:val="3"/>
          <w:sz w:val="16"/>
          <w:szCs w:val="16"/>
          <w:lang w:val="en-GB" w:eastAsia="zh-CN" w:bidi="hi-IN"/>
        </w:rPr>
        <w:t>.  You may do so in any reasonable manner, but not in any way that suggests the licensor endorses you or your use.</w:t>
      </w:r>
    </w:p>
    <w:p w14:paraId="1D2E2D19" w14:textId="77777777" w:rsidR="005F1745" w:rsidRPr="0021213A" w:rsidRDefault="005F1745" w:rsidP="005F1745">
      <w:pPr>
        <w:autoSpaceDN w:val="0"/>
        <w:spacing w:before="100" w:after="100" w:line="240" w:lineRule="auto"/>
        <w:ind w:left="720"/>
        <w:rPr>
          <w:rFonts w:ascii="Times New Roman" w:eastAsia="Times New Roman" w:hAnsi="Times New Roman" w:cs="Times New Roman"/>
          <w:bCs/>
          <w:color w:val="000000" w:themeColor="text1"/>
          <w:sz w:val="16"/>
          <w:szCs w:val="16"/>
          <w:lang w:val="en-GB" w:eastAsia="it-IT"/>
        </w:rPr>
      </w:pPr>
      <w:r w:rsidRPr="0021213A">
        <w:rPr>
          <w:rFonts w:ascii="Times New Roman" w:eastAsia="Times New Roman" w:hAnsi="Times New Roman" w:cs="Times New Roman"/>
          <w:b/>
          <w:bCs/>
          <w:color w:val="000000" w:themeColor="text1"/>
          <w:sz w:val="16"/>
          <w:szCs w:val="16"/>
          <w:lang w:val="en-GB" w:eastAsia="it-IT"/>
        </w:rPr>
        <w:t>NonCommercial</w:t>
      </w:r>
      <w:r w:rsidRPr="0021213A">
        <w:rPr>
          <w:rFonts w:ascii="Times New Roman" w:eastAsia="Times New Roman" w:hAnsi="Times New Roman" w:cs="Times New Roman"/>
          <w:bCs/>
          <w:color w:val="000000" w:themeColor="text1"/>
          <w:sz w:val="16"/>
          <w:szCs w:val="16"/>
          <w:lang w:val="en-GB" w:eastAsia="it-IT"/>
        </w:rPr>
        <w:t xml:space="preserve"> — You may not use the material for </w:t>
      </w:r>
      <w:hyperlink r:id="rId14" w:history="1">
        <w:r w:rsidRPr="0021213A">
          <w:rPr>
            <w:rFonts w:ascii="Times New Roman" w:eastAsia="Times New Roman" w:hAnsi="Times New Roman" w:cs="Times New Roman"/>
            <w:color w:val="000000" w:themeColor="text1"/>
            <w:sz w:val="16"/>
            <w:szCs w:val="16"/>
            <w:lang w:val="en-GB" w:eastAsia="it-IT"/>
          </w:rPr>
          <w:t>commercial purposes</w:t>
        </w:r>
      </w:hyperlink>
      <w:r w:rsidRPr="0021213A">
        <w:rPr>
          <w:rFonts w:ascii="Times New Roman" w:eastAsia="Times New Roman" w:hAnsi="Times New Roman" w:cs="Times New Roman"/>
          <w:color w:val="000000" w:themeColor="text1"/>
          <w:sz w:val="16"/>
          <w:szCs w:val="16"/>
          <w:lang w:val="en-GB" w:eastAsia="it-IT"/>
        </w:rPr>
        <w:t>.</w:t>
      </w:r>
    </w:p>
    <w:p w14:paraId="0F84CC29" w14:textId="77777777" w:rsidR="005F1745" w:rsidRDefault="005F1745" w:rsidP="005F1745">
      <w:pPr>
        <w:autoSpaceDN w:val="0"/>
        <w:spacing w:before="100" w:after="100" w:line="240" w:lineRule="auto"/>
        <w:ind w:left="720"/>
        <w:rPr>
          <w:rFonts w:ascii="Times New Roman" w:eastAsia="Times New Roman" w:hAnsi="Times New Roman" w:cs="Times New Roman"/>
          <w:b/>
          <w:i/>
          <w:color w:val="000000" w:themeColor="text1"/>
          <w:sz w:val="24"/>
          <w:szCs w:val="24"/>
          <w:lang w:val="en-GB" w:eastAsia="it-IT"/>
        </w:rPr>
      </w:pPr>
      <w:r w:rsidRPr="0021213A">
        <w:rPr>
          <w:rFonts w:ascii="Times New Roman" w:eastAsia="Times New Roman" w:hAnsi="Times New Roman" w:cs="Times New Roman"/>
          <w:b/>
          <w:bCs/>
          <w:color w:val="000000" w:themeColor="text1"/>
          <w:sz w:val="16"/>
          <w:szCs w:val="16"/>
          <w:lang w:val="en-GB" w:eastAsia="it-IT"/>
        </w:rPr>
        <w:t>NoDerivatives</w:t>
      </w:r>
      <w:r w:rsidRPr="0021213A">
        <w:rPr>
          <w:rFonts w:ascii="Times New Roman" w:eastAsia="Times New Roman" w:hAnsi="Times New Roman" w:cs="Times New Roman"/>
          <w:bCs/>
          <w:color w:val="000000" w:themeColor="text1"/>
          <w:sz w:val="16"/>
          <w:szCs w:val="16"/>
          <w:lang w:val="en-GB" w:eastAsia="it-IT"/>
        </w:rPr>
        <w:t xml:space="preserve"> — If you </w:t>
      </w:r>
      <w:hyperlink r:id="rId15" w:history="1">
        <w:r w:rsidRPr="0021213A">
          <w:rPr>
            <w:rFonts w:ascii="Times New Roman" w:eastAsia="Times New Roman" w:hAnsi="Times New Roman" w:cs="Times New Roman"/>
            <w:color w:val="000000" w:themeColor="text1"/>
            <w:sz w:val="16"/>
            <w:szCs w:val="16"/>
            <w:lang w:val="en-GB" w:eastAsia="it-IT"/>
          </w:rPr>
          <w:t>remix, transform, or build upon the material</w:t>
        </w:r>
      </w:hyperlink>
      <w:r w:rsidRPr="0021213A">
        <w:rPr>
          <w:rFonts w:ascii="Times New Roman" w:eastAsia="Times New Roman" w:hAnsi="Times New Roman" w:cs="Times New Roman"/>
          <w:color w:val="000000" w:themeColor="text1"/>
          <w:sz w:val="16"/>
          <w:szCs w:val="16"/>
          <w:lang w:val="en-GB" w:eastAsia="it-IT"/>
        </w:rPr>
        <w:t>, you may not distribute the modified material.</w:t>
      </w:r>
      <w:r w:rsidRPr="0021213A">
        <w:rPr>
          <w:rFonts w:ascii="Times New Roman" w:eastAsia="Times New Roman" w:hAnsi="Times New Roman" w:cs="Times New Roman"/>
          <w:color w:val="000000" w:themeColor="text1"/>
          <w:sz w:val="24"/>
          <w:szCs w:val="24"/>
          <w:lang w:val="en-GB" w:eastAsia="it-IT"/>
        </w:rPr>
        <w:t xml:space="preserve">          </w:t>
      </w:r>
      <w:r w:rsidRPr="0021213A">
        <w:rPr>
          <w:rFonts w:ascii="Times New Roman" w:eastAsia="Times New Roman" w:hAnsi="Times New Roman" w:cs="Times New Roman"/>
          <w:color w:val="000000" w:themeColor="text1"/>
          <w:sz w:val="24"/>
          <w:szCs w:val="24"/>
          <w:lang w:val="en-GB" w:eastAsia="it-IT"/>
        </w:rPr>
        <w:tab/>
        <w:t xml:space="preserve"> </w:t>
      </w:r>
    </w:p>
    <w:p w14:paraId="762AC574" w14:textId="77777777" w:rsidR="005F1745" w:rsidRDefault="005F1745" w:rsidP="005F1745">
      <w:pPr>
        <w:widowControl w:val="0"/>
        <w:suppressAutoHyphens/>
        <w:autoSpaceDE w:val="0"/>
        <w:autoSpaceDN w:val="0"/>
        <w:spacing w:after="0" w:line="240" w:lineRule="auto"/>
        <w:jc w:val="center"/>
        <w:textAlignment w:val="baseline"/>
        <w:rPr>
          <w:rFonts w:ascii="Liberation Serif" w:eastAsia="Times New Roman" w:hAnsi="Liberation Serif" w:cs="Mangal"/>
          <w:color w:val="000000" w:themeColor="text1"/>
          <w:kern w:val="3"/>
          <w:sz w:val="16"/>
          <w:szCs w:val="16"/>
          <w:cs/>
          <w:lang w:val="en-GB" w:eastAsia="zh-CN" w:bidi="hi-IN"/>
        </w:rPr>
      </w:pPr>
      <w:r w:rsidRPr="0021213A">
        <w:rPr>
          <w:rFonts w:ascii="Liberation Serif" w:eastAsia="Times New Roman" w:hAnsi="Liberation Serif" w:cs="Mangal"/>
          <w:color w:val="000000" w:themeColor="text1"/>
          <w:kern w:val="3"/>
          <w:sz w:val="16"/>
          <w:szCs w:val="16"/>
          <w:lang w:val="en-GB" w:eastAsia="zh-CN" w:bidi="hi-IN"/>
        </w:rPr>
        <w:t>Assessment of the effects of plants and molecular complexes of plant origin on the cognitive functions in the mouse</w:t>
      </w:r>
    </w:p>
    <w:p w14:paraId="7498FD95" w14:textId="5D53E2A5" w:rsidR="005F1745" w:rsidRPr="0021213A" w:rsidRDefault="005F1745" w:rsidP="005F1745">
      <w:pPr>
        <w:widowControl w:val="0"/>
        <w:suppressAutoHyphens/>
        <w:autoSpaceDE w:val="0"/>
        <w:autoSpaceDN w:val="0"/>
        <w:spacing w:after="0" w:line="240" w:lineRule="auto"/>
        <w:jc w:val="center"/>
        <w:textAlignment w:val="baseline"/>
        <w:rPr>
          <w:rFonts w:ascii="Liberation Serif" w:eastAsia="Times New Roman" w:hAnsi="Liberation Serif" w:cs="Mangal"/>
          <w:color w:val="000000" w:themeColor="text1"/>
          <w:kern w:val="3"/>
          <w:sz w:val="16"/>
          <w:szCs w:val="16"/>
          <w:lang w:val="en-GB" w:eastAsia="zh-CN" w:bidi="hi-IN"/>
        </w:rPr>
      </w:pPr>
      <w:r w:rsidRPr="0021213A">
        <w:rPr>
          <w:rFonts w:ascii="Adobe Garamond Pro" w:eastAsia="Times New Roman" w:hAnsi="Adobe Garamond Pro" w:cs="Times New Roman"/>
          <w:color w:val="000000" w:themeColor="text1"/>
          <w:kern w:val="3"/>
          <w:sz w:val="16"/>
          <w:szCs w:val="16"/>
          <w:lang w:val="en-GB" w:eastAsia="it-IT" w:bidi="hi-IN"/>
        </w:rPr>
        <w:t>PhD thesis</w:t>
      </w:r>
    </w:p>
    <w:p w14:paraId="2C454247" w14:textId="77777777" w:rsidR="005F1745" w:rsidRPr="0021213A" w:rsidRDefault="005F1745" w:rsidP="005F1745">
      <w:pPr>
        <w:widowControl w:val="0"/>
        <w:suppressAutoHyphens/>
        <w:autoSpaceDE w:val="0"/>
        <w:autoSpaceDN w:val="0"/>
        <w:spacing w:after="0" w:line="240" w:lineRule="auto"/>
        <w:jc w:val="center"/>
        <w:textAlignment w:val="baseline"/>
        <w:rPr>
          <w:rFonts w:ascii="Liberation Serif" w:eastAsia="Times New Roman" w:hAnsi="Liberation Serif" w:cs="Mangal"/>
          <w:color w:val="000000" w:themeColor="text1"/>
          <w:kern w:val="3"/>
          <w:sz w:val="16"/>
          <w:szCs w:val="16"/>
          <w:cs/>
          <w:lang w:eastAsia="zh-CN" w:bidi="fa-IR"/>
        </w:rPr>
      </w:pPr>
      <w:r w:rsidRPr="0021213A">
        <w:rPr>
          <w:rFonts w:ascii="Adobe Garamond Pro" w:eastAsia="Times New Roman" w:hAnsi="Adobe Garamond Pro" w:cs="Times New Roman"/>
          <w:color w:val="000000" w:themeColor="text1"/>
          <w:kern w:val="3"/>
          <w:sz w:val="16"/>
          <w:szCs w:val="16"/>
          <w:lang w:val="en-GB" w:eastAsia="it-IT" w:bidi="hi-IN"/>
        </w:rPr>
        <w:t xml:space="preserve">Verona, </w:t>
      </w:r>
      <w:r>
        <w:rPr>
          <w:rFonts w:ascii="Adobe Garamond Pro" w:eastAsia="Times New Roman" w:hAnsi="Adobe Garamond Pro" w:cs="Times New Roman"/>
          <w:color w:val="000000" w:themeColor="text1"/>
          <w:kern w:val="3"/>
          <w:sz w:val="16"/>
          <w:szCs w:val="16"/>
          <w:lang w:eastAsia="it-IT" w:bidi="fa-IR"/>
        </w:rPr>
        <w:t>Date</w:t>
      </w:r>
    </w:p>
    <w:p w14:paraId="780C6F16" w14:textId="77777777" w:rsidR="005F1745" w:rsidRPr="0021213A" w:rsidRDefault="005F1745" w:rsidP="005F1745">
      <w:pPr>
        <w:widowControl w:val="0"/>
        <w:suppressAutoHyphens/>
        <w:autoSpaceDE w:val="0"/>
        <w:autoSpaceDN w:val="0"/>
        <w:spacing w:after="0" w:line="240" w:lineRule="auto"/>
        <w:jc w:val="center"/>
        <w:textAlignment w:val="baseline"/>
        <w:rPr>
          <w:rFonts w:ascii="Adobe Garamond Pro" w:eastAsia="Times New Roman" w:hAnsi="Adobe Garamond Pro" w:cs="Times New Roman"/>
          <w:color w:val="000000" w:themeColor="text1"/>
          <w:kern w:val="3"/>
          <w:sz w:val="16"/>
          <w:szCs w:val="16"/>
          <w:lang w:val="en-GB" w:eastAsia="it-IT" w:bidi="hi-IN"/>
        </w:rPr>
      </w:pPr>
      <w:r w:rsidRPr="0021213A">
        <w:rPr>
          <w:rFonts w:ascii="Adobe Garamond Pro" w:eastAsia="Times New Roman" w:hAnsi="Adobe Garamond Pro" w:cs="Times New Roman"/>
          <w:color w:val="000000" w:themeColor="text1"/>
          <w:kern w:val="3"/>
          <w:sz w:val="16"/>
          <w:szCs w:val="16"/>
          <w:lang w:val="en-GB" w:eastAsia="it-IT" w:bidi="hi-IN"/>
        </w:rPr>
        <w:t xml:space="preserve">ISBN </w:t>
      </w:r>
    </w:p>
    <w:p w14:paraId="7813C1AE" w14:textId="77777777" w:rsidR="005F1745" w:rsidRPr="00F71F57" w:rsidRDefault="005F1745" w:rsidP="00BE7FC7">
      <w:pPr>
        <w:rPr>
          <w:rFonts w:asciiTheme="majorBidi" w:hAnsiTheme="majorBidi"/>
          <w:b/>
          <w:bCs/>
          <w:sz w:val="24"/>
          <w:szCs w:val="24"/>
          <w:lang w:val="en-GB" w:bidi="fa-IR"/>
        </w:rPr>
      </w:pPr>
    </w:p>
    <w:p w14:paraId="7ADBE407" w14:textId="3FF6FF45" w:rsidR="00F04D23" w:rsidRPr="00D623DE" w:rsidRDefault="00F858CB" w:rsidP="00D623DE">
      <w:pPr>
        <w:pStyle w:val="Heading1"/>
        <w:ind w:left="1080"/>
        <w:rPr>
          <w:b w:val="0"/>
          <w:lang w:val="en-GB"/>
        </w:rPr>
      </w:pPr>
      <w:bookmarkStart w:id="1" w:name="_Toc214875813"/>
      <w:r w:rsidRPr="00A257E4">
        <w:rPr>
          <w:lang w:val="en-GB"/>
        </w:rPr>
        <w:lastRenderedPageBreak/>
        <w:t>Abstrac</w:t>
      </w:r>
      <w:r w:rsidR="00F04D23" w:rsidRPr="00D623DE">
        <w:rPr>
          <w:lang w:val="en-GB"/>
        </w:rPr>
        <w:t>t</w:t>
      </w:r>
      <w:bookmarkEnd w:id="1"/>
    </w:p>
    <w:p w14:paraId="52ABB1EF" w14:textId="630D63F7" w:rsidR="00FC368F" w:rsidRPr="009E1898" w:rsidRDefault="00FC368F" w:rsidP="006D4BD7">
      <w:pPr>
        <w:spacing w:line="360" w:lineRule="auto"/>
        <w:ind w:left="1080"/>
        <w:jc w:val="both"/>
        <w:rPr>
          <w:rFonts w:asciiTheme="majorBidi" w:hAnsiTheme="majorBidi" w:cstheme="majorBidi"/>
          <w:sz w:val="24"/>
          <w:szCs w:val="24"/>
          <w:lang w:bidi="fa-IR"/>
        </w:rPr>
      </w:pPr>
      <w:r w:rsidRPr="00FC368F">
        <w:rPr>
          <w:rFonts w:asciiTheme="majorBidi" w:hAnsiTheme="majorBidi" w:cstheme="majorBidi"/>
          <w:sz w:val="24"/>
          <w:szCs w:val="24"/>
          <w:lang w:bidi="fa-IR"/>
        </w:rPr>
        <w:t xml:space="preserve">Neurodegenerative diseases such as Parkinson’s and Alzheimer’s are characterized by progressive cognitive deterioration, against which there exist currently only symptomatic therapies. Plant secondary metabolites with neuroprotective, anti-inflammatory, and antioxidant efficacies have attracted much research in recent years as future cognitive promoters. It is not yet certain, however, that there is a direct relationship between such activity and cognitive enhancement in healthy subjects. It was the aim of the current thesis to construct and validate a translational behavioral platform for testing cognitive functions in healthy (naive) C57BL/6J mice, against which future research regarding the cognitive and neurochemical effects of selected plant extracts might be benchmarked. The study developed and tested touchscreen behavioral testing with six unique tasks to measure multiple cognitive functions. We employed Pairwise Visual Discrimination (PVD) and Paired Associate Learning (PAL), primarily cholinergically mediated; attention and inhibitory control paradigms, including the 5-Choice Serial Reaction Time Task (5-CSRTT) and the Rodent Continuous Performance Test (rCPT), based on dopaminergic and noradrenergic transmissions; Trial-Unique Nonmatching-to-Location (TUNL), corresponding with glutamatergic functioning; and the 4-Choice Gambling Task (4-CGT), based on dopaminergic systems. This neurochemically informed design also allows future potential for combining behavioral and molecular data. Baseline performance demonstrated successful task acquisition and stable performance between sessions. PVD performance reached roughly 80% correct after session 20 and PAL performance improved from 50% to 80% over 55 sessions. In attention paradigms, shorter stimulus duration led to decreased accuracy and increased omissions. TUNL performance was significantly impaired at minimal spatial separation. Also, rCPT results showed increased hit rates and decreased false alarms across stages. In the 4-CGT task, mice demonstrated stable performance but did not display a clear preference for good options on free-choice trials. This </w:t>
      </w:r>
      <w:r w:rsidRPr="00FC368F">
        <w:rPr>
          <w:rFonts w:asciiTheme="majorBidi" w:hAnsiTheme="majorBidi" w:cstheme="majorBidi"/>
          <w:sz w:val="24"/>
          <w:szCs w:val="24"/>
          <w:lang w:bidi="fa-IR"/>
        </w:rPr>
        <w:lastRenderedPageBreak/>
        <w:t xml:space="preserve">translationally informative and reproducible behavioral system provides an empirically corroborated system of preclinical cognitive testing in our laboratory. </w:t>
      </w:r>
      <w:r w:rsidR="00621DAE">
        <w:rPr>
          <w:rFonts w:asciiTheme="majorBidi" w:hAnsiTheme="majorBidi" w:cstheme="majorBidi"/>
          <w:sz w:val="24"/>
          <w:szCs w:val="24"/>
          <w:lang w:bidi="fa-IR"/>
        </w:rPr>
        <w:t>As well as, d</w:t>
      </w:r>
      <w:r w:rsidR="00621DAE" w:rsidRPr="00621DAE">
        <w:rPr>
          <w:rFonts w:asciiTheme="majorBidi" w:hAnsiTheme="majorBidi" w:cstheme="majorBidi"/>
          <w:sz w:val="24"/>
          <w:szCs w:val="24"/>
          <w:lang w:bidi="fa-IR"/>
        </w:rPr>
        <w:t>ue to limited data availability at the time of writing this thesis, only preliminary information related to the animal control section was accessible; therefore, the plant-based component could not be included in the present study. Nevertheless, this work paves the way for future research on the effects of plant-derived compounds on neurochemistry and cognition, with a second phase planned to investigate the efficacy and underlying mechanisms of selected extracts in modulating cognitive functions.</w:t>
      </w:r>
    </w:p>
    <w:p w14:paraId="28A805A7" w14:textId="77777777" w:rsidR="00F04D23" w:rsidRDefault="00F04D23" w:rsidP="006D4BD7">
      <w:pPr>
        <w:ind w:left="1080"/>
        <w:jc w:val="both"/>
        <w:rPr>
          <w:rFonts w:asciiTheme="majorBidi" w:hAnsiTheme="majorBidi" w:cstheme="majorBidi"/>
          <w:sz w:val="24"/>
          <w:szCs w:val="24"/>
        </w:rPr>
      </w:pPr>
      <w:r w:rsidRPr="007023DD">
        <w:rPr>
          <w:rFonts w:asciiTheme="majorBidi" w:hAnsiTheme="majorBidi" w:cstheme="majorBidi"/>
          <w:sz w:val="24"/>
          <w:szCs w:val="24"/>
        </w:rPr>
        <w:t>Keywords: (Cognitive Function, Nootropics, Plant Extracts, Behavioral Analysis, Touchscreen Chambers)</w:t>
      </w:r>
    </w:p>
    <w:p w14:paraId="4A430A4D" w14:textId="69F09E73" w:rsidR="00F04D23" w:rsidRPr="00F04D23" w:rsidRDefault="00F04D23" w:rsidP="00F04D23">
      <w:pPr>
        <w:spacing w:line="240" w:lineRule="auto"/>
        <w:ind w:left="1080"/>
        <w:jc w:val="both"/>
        <w:rPr>
          <w:rFonts w:asciiTheme="majorBidi" w:hAnsiTheme="majorBidi" w:cstheme="majorBidi"/>
          <w:b/>
          <w:bCs/>
          <w:sz w:val="24"/>
          <w:szCs w:val="24"/>
        </w:rPr>
      </w:pPr>
    </w:p>
    <w:p w14:paraId="4EFB9936" w14:textId="14C0DF11" w:rsidR="00F04D23" w:rsidRDefault="00F04D23" w:rsidP="00F04D23">
      <w:pPr>
        <w:spacing w:line="240" w:lineRule="auto"/>
        <w:ind w:left="1080"/>
        <w:jc w:val="both"/>
        <w:rPr>
          <w:rFonts w:asciiTheme="majorBidi" w:hAnsiTheme="majorBidi" w:cstheme="majorBidi"/>
          <w:b/>
          <w:bCs/>
          <w:sz w:val="24"/>
          <w:szCs w:val="24"/>
          <w:lang w:val="en-GB"/>
        </w:rPr>
      </w:pPr>
    </w:p>
    <w:p w14:paraId="463A55AF" w14:textId="2AD22F50" w:rsidR="00F04D23" w:rsidRDefault="00F04D23" w:rsidP="00F04D23">
      <w:pPr>
        <w:spacing w:line="240" w:lineRule="auto"/>
        <w:ind w:left="1080"/>
        <w:jc w:val="both"/>
        <w:rPr>
          <w:rFonts w:asciiTheme="majorBidi" w:hAnsiTheme="majorBidi" w:cstheme="majorBidi"/>
          <w:b/>
          <w:bCs/>
          <w:sz w:val="24"/>
          <w:szCs w:val="24"/>
          <w:rtl/>
          <w:lang w:val="en-GB"/>
        </w:rPr>
      </w:pPr>
    </w:p>
    <w:p w14:paraId="5C6DD718" w14:textId="54B7C3E9" w:rsidR="00F04D23" w:rsidRDefault="00F04D23" w:rsidP="00F04D23">
      <w:pPr>
        <w:spacing w:line="240" w:lineRule="auto"/>
        <w:ind w:left="1080"/>
        <w:jc w:val="both"/>
        <w:rPr>
          <w:rFonts w:asciiTheme="majorBidi" w:hAnsiTheme="majorBidi" w:cstheme="majorBidi"/>
          <w:b/>
          <w:bCs/>
          <w:sz w:val="24"/>
          <w:szCs w:val="24"/>
          <w:rtl/>
          <w:lang w:val="en-GB"/>
        </w:rPr>
      </w:pPr>
    </w:p>
    <w:p w14:paraId="28E3B2DD" w14:textId="5AC04247" w:rsidR="00F04D23" w:rsidRDefault="00F04D23" w:rsidP="00F04D23">
      <w:pPr>
        <w:spacing w:line="240" w:lineRule="auto"/>
        <w:ind w:left="1080"/>
        <w:jc w:val="both"/>
        <w:rPr>
          <w:rFonts w:asciiTheme="majorBidi" w:hAnsiTheme="majorBidi" w:cstheme="majorBidi"/>
          <w:b/>
          <w:bCs/>
          <w:sz w:val="24"/>
          <w:szCs w:val="24"/>
          <w:rtl/>
          <w:lang w:val="en-GB"/>
        </w:rPr>
      </w:pPr>
    </w:p>
    <w:p w14:paraId="1CBB96C4" w14:textId="49EF2984" w:rsidR="00F04D23" w:rsidRDefault="00F04D23" w:rsidP="00F04D23">
      <w:pPr>
        <w:spacing w:line="240" w:lineRule="auto"/>
        <w:ind w:left="1080"/>
        <w:jc w:val="both"/>
        <w:rPr>
          <w:rFonts w:asciiTheme="majorBidi" w:hAnsiTheme="majorBidi" w:cstheme="majorBidi"/>
          <w:b/>
          <w:bCs/>
          <w:sz w:val="24"/>
          <w:szCs w:val="24"/>
          <w:rtl/>
          <w:lang w:val="en-GB"/>
        </w:rPr>
      </w:pPr>
    </w:p>
    <w:p w14:paraId="771881EB" w14:textId="7716B198" w:rsidR="00F04D23" w:rsidRDefault="00F04D23" w:rsidP="00F04D23">
      <w:pPr>
        <w:spacing w:line="240" w:lineRule="auto"/>
        <w:ind w:left="1080"/>
        <w:jc w:val="both"/>
        <w:rPr>
          <w:rFonts w:asciiTheme="majorBidi" w:hAnsiTheme="majorBidi" w:cstheme="majorBidi"/>
          <w:b/>
          <w:bCs/>
          <w:sz w:val="24"/>
          <w:szCs w:val="24"/>
          <w:rtl/>
          <w:lang w:val="en-GB"/>
        </w:rPr>
      </w:pPr>
    </w:p>
    <w:p w14:paraId="3CA7F999" w14:textId="6093BFA5" w:rsidR="00F04D23" w:rsidRDefault="00F04D23" w:rsidP="00F04D23">
      <w:pPr>
        <w:spacing w:line="240" w:lineRule="auto"/>
        <w:ind w:left="1080"/>
        <w:jc w:val="both"/>
        <w:rPr>
          <w:rFonts w:asciiTheme="majorBidi" w:hAnsiTheme="majorBidi" w:cstheme="majorBidi"/>
          <w:b/>
          <w:bCs/>
          <w:sz w:val="24"/>
          <w:szCs w:val="24"/>
          <w:rtl/>
          <w:lang w:val="en-GB"/>
        </w:rPr>
      </w:pPr>
    </w:p>
    <w:p w14:paraId="1F2C0AA4" w14:textId="6E64B84A" w:rsidR="00F04D23" w:rsidRDefault="00F04D23" w:rsidP="00F04D23">
      <w:pPr>
        <w:spacing w:line="240" w:lineRule="auto"/>
        <w:ind w:left="1080"/>
        <w:jc w:val="both"/>
        <w:rPr>
          <w:rFonts w:asciiTheme="majorBidi" w:hAnsiTheme="majorBidi" w:cstheme="majorBidi"/>
          <w:b/>
          <w:bCs/>
          <w:sz w:val="24"/>
          <w:szCs w:val="24"/>
          <w:rtl/>
          <w:lang w:val="en-GB"/>
        </w:rPr>
      </w:pPr>
    </w:p>
    <w:p w14:paraId="28FEF348" w14:textId="587063EE" w:rsidR="00F04D23" w:rsidRDefault="00F04D23" w:rsidP="00F04D23">
      <w:pPr>
        <w:spacing w:line="240" w:lineRule="auto"/>
        <w:ind w:left="1080"/>
        <w:jc w:val="both"/>
        <w:rPr>
          <w:rFonts w:asciiTheme="majorBidi" w:hAnsiTheme="majorBidi" w:cstheme="majorBidi"/>
          <w:b/>
          <w:bCs/>
          <w:sz w:val="24"/>
          <w:szCs w:val="24"/>
          <w:rtl/>
          <w:lang w:val="en-GB"/>
        </w:rPr>
      </w:pPr>
    </w:p>
    <w:p w14:paraId="6AB696F2" w14:textId="06F0926B" w:rsidR="00F04D23" w:rsidRDefault="00F04D23" w:rsidP="00F04D23">
      <w:pPr>
        <w:spacing w:line="240" w:lineRule="auto"/>
        <w:ind w:left="1080"/>
        <w:jc w:val="both"/>
        <w:rPr>
          <w:rFonts w:asciiTheme="majorBidi" w:hAnsiTheme="majorBidi" w:cstheme="majorBidi"/>
          <w:b/>
          <w:bCs/>
          <w:sz w:val="24"/>
          <w:szCs w:val="24"/>
          <w:rtl/>
          <w:lang w:val="en-GB"/>
        </w:rPr>
      </w:pPr>
    </w:p>
    <w:p w14:paraId="562DD2DC" w14:textId="216A2A34" w:rsidR="00F04D23" w:rsidRDefault="00F04D23" w:rsidP="00F04D23">
      <w:pPr>
        <w:spacing w:line="240" w:lineRule="auto"/>
        <w:ind w:left="1080"/>
        <w:jc w:val="both"/>
        <w:rPr>
          <w:rFonts w:asciiTheme="majorBidi" w:hAnsiTheme="majorBidi" w:cstheme="majorBidi"/>
          <w:b/>
          <w:bCs/>
          <w:sz w:val="24"/>
          <w:szCs w:val="24"/>
          <w:rtl/>
          <w:lang w:val="en-GB"/>
        </w:rPr>
      </w:pPr>
    </w:p>
    <w:p w14:paraId="00E1E011" w14:textId="68D71AAC" w:rsidR="00F04D23" w:rsidRDefault="00F04D23" w:rsidP="00F04D23">
      <w:pPr>
        <w:spacing w:line="240" w:lineRule="auto"/>
        <w:ind w:left="1080"/>
        <w:jc w:val="both"/>
        <w:rPr>
          <w:rFonts w:asciiTheme="majorBidi" w:hAnsiTheme="majorBidi" w:cstheme="majorBidi"/>
          <w:b/>
          <w:bCs/>
          <w:sz w:val="24"/>
          <w:szCs w:val="24"/>
          <w:rtl/>
          <w:lang w:val="en-GB"/>
        </w:rPr>
      </w:pPr>
    </w:p>
    <w:p w14:paraId="1F272E0D" w14:textId="58601076" w:rsidR="00F04D23" w:rsidRDefault="00F04D23" w:rsidP="00F04D23">
      <w:pPr>
        <w:spacing w:line="240" w:lineRule="auto"/>
        <w:ind w:left="1080"/>
        <w:jc w:val="both"/>
        <w:rPr>
          <w:rFonts w:asciiTheme="majorBidi" w:hAnsiTheme="majorBidi" w:cstheme="majorBidi"/>
          <w:b/>
          <w:bCs/>
          <w:sz w:val="24"/>
          <w:szCs w:val="24"/>
          <w:rtl/>
          <w:lang w:val="en-GB"/>
        </w:rPr>
      </w:pPr>
    </w:p>
    <w:p w14:paraId="78645B40" w14:textId="0CA6F826" w:rsidR="00F04D23" w:rsidRDefault="00F04D23" w:rsidP="00F04D23">
      <w:pPr>
        <w:spacing w:line="240" w:lineRule="auto"/>
        <w:ind w:left="1080"/>
        <w:jc w:val="both"/>
        <w:rPr>
          <w:rFonts w:asciiTheme="majorBidi" w:hAnsiTheme="majorBidi" w:cstheme="majorBidi"/>
          <w:b/>
          <w:bCs/>
          <w:sz w:val="24"/>
          <w:szCs w:val="24"/>
          <w:rtl/>
          <w:lang w:val="en-GB"/>
        </w:rPr>
      </w:pPr>
    </w:p>
    <w:p w14:paraId="7C8A7782" w14:textId="438E508F" w:rsidR="00F04D23" w:rsidRDefault="00F04D23" w:rsidP="00F04D23">
      <w:pPr>
        <w:spacing w:line="240" w:lineRule="auto"/>
        <w:ind w:left="1080"/>
        <w:jc w:val="both"/>
        <w:rPr>
          <w:rFonts w:asciiTheme="majorBidi" w:hAnsiTheme="majorBidi" w:cstheme="majorBidi"/>
          <w:b/>
          <w:bCs/>
          <w:sz w:val="24"/>
          <w:szCs w:val="24"/>
          <w:rtl/>
          <w:lang w:val="en-GB"/>
        </w:rPr>
      </w:pPr>
    </w:p>
    <w:p w14:paraId="45B5474E" w14:textId="3803D35D" w:rsidR="00F04D23" w:rsidRDefault="00F04D23" w:rsidP="00F04D23">
      <w:pPr>
        <w:spacing w:line="240" w:lineRule="auto"/>
        <w:ind w:left="1080"/>
        <w:jc w:val="both"/>
        <w:rPr>
          <w:rFonts w:asciiTheme="majorBidi" w:hAnsiTheme="majorBidi" w:cstheme="majorBidi"/>
          <w:b/>
          <w:bCs/>
          <w:sz w:val="24"/>
          <w:szCs w:val="24"/>
          <w:rtl/>
          <w:lang w:val="en-GB"/>
        </w:rPr>
      </w:pPr>
    </w:p>
    <w:p w14:paraId="05D05DE5" w14:textId="7B386764" w:rsidR="00F04D23" w:rsidRDefault="00F04D23" w:rsidP="00F04D23">
      <w:pPr>
        <w:spacing w:line="240" w:lineRule="auto"/>
        <w:ind w:left="1080"/>
        <w:jc w:val="both"/>
        <w:rPr>
          <w:rFonts w:asciiTheme="majorBidi" w:hAnsiTheme="majorBidi" w:cstheme="majorBidi"/>
          <w:b/>
          <w:bCs/>
          <w:sz w:val="24"/>
          <w:szCs w:val="24"/>
          <w:rtl/>
          <w:lang w:val="en-GB"/>
        </w:rPr>
      </w:pPr>
    </w:p>
    <w:p w14:paraId="7BBFAD65" w14:textId="77777777" w:rsidR="00A257E4" w:rsidRDefault="00A257E4" w:rsidP="005C27DA">
      <w:pPr>
        <w:spacing w:line="240" w:lineRule="auto"/>
        <w:jc w:val="both"/>
        <w:rPr>
          <w:rFonts w:asciiTheme="majorBidi" w:hAnsiTheme="majorBidi" w:cstheme="majorBidi"/>
          <w:b/>
          <w:bCs/>
          <w:sz w:val="24"/>
          <w:szCs w:val="24"/>
          <w:lang w:val="en-GB"/>
        </w:rPr>
      </w:pPr>
    </w:p>
    <w:p w14:paraId="1280C3B4" w14:textId="62A17AAA" w:rsidR="006838B7" w:rsidRDefault="006838B7">
      <w:pPr>
        <w:pStyle w:val="TOC1"/>
        <w:tabs>
          <w:tab w:val="right" w:leader="dot" w:pos="7927"/>
        </w:tabs>
        <w:rPr>
          <w:rFonts w:asciiTheme="minorHAnsi" w:eastAsiaTheme="minorEastAsia" w:hAnsiTheme="minorHAnsi"/>
          <w:noProof/>
          <w:color w:val="auto"/>
          <w:sz w:val="22"/>
        </w:rPr>
      </w:pPr>
      <w:r>
        <w:rPr>
          <w:rFonts w:cstheme="majorBidi"/>
          <w:b/>
          <w:bCs/>
          <w:szCs w:val="24"/>
          <w:lang w:val="en-GB"/>
        </w:rPr>
        <w:lastRenderedPageBreak/>
        <w:fldChar w:fldCharType="begin"/>
      </w:r>
      <w:r>
        <w:rPr>
          <w:rFonts w:cstheme="majorBidi"/>
          <w:b/>
          <w:bCs/>
          <w:szCs w:val="24"/>
          <w:lang w:val="en-GB"/>
        </w:rPr>
        <w:instrText xml:space="preserve"> TOC \o "1-4" \h \z \u </w:instrText>
      </w:r>
      <w:r>
        <w:rPr>
          <w:rFonts w:cstheme="majorBidi"/>
          <w:b/>
          <w:bCs/>
          <w:szCs w:val="24"/>
          <w:lang w:val="en-GB"/>
        </w:rPr>
        <w:fldChar w:fldCharType="separate"/>
      </w:r>
      <w:hyperlink w:anchor="_Toc214875813" w:history="1">
        <w:r w:rsidRPr="00EA73A4">
          <w:rPr>
            <w:rStyle w:val="Hyperlink"/>
            <w:noProof/>
            <w:lang w:val="en-GB"/>
          </w:rPr>
          <w:t>Abstract</w:t>
        </w:r>
        <w:r>
          <w:rPr>
            <w:noProof/>
            <w:webHidden/>
          </w:rPr>
          <w:tab/>
        </w:r>
        <w:r>
          <w:rPr>
            <w:noProof/>
            <w:webHidden/>
          </w:rPr>
          <w:fldChar w:fldCharType="begin"/>
        </w:r>
        <w:r>
          <w:rPr>
            <w:noProof/>
            <w:webHidden/>
          </w:rPr>
          <w:instrText xml:space="preserve"> PAGEREF _Toc214875813 \h </w:instrText>
        </w:r>
        <w:r>
          <w:rPr>
            <w:noProof/>
            <w:webHidden/>
          </w:rPr>
        </w:r>
        <w:r>
          <w:rPr>
            <w:noProof/>
            <w:webHidden/>
          </w:rPr>
          <w:fldChar w:fldCharType="separate"/>
        </w:r>
        <w:r>
          <w:rPr>
            <w:noProof/>
            <w:webHidden/>
          </w:rPr>
          <w:t>3</w:t>
        </w:r>
        <w:r>
          <w:rPr>
            <w:noProof/>
            <w:webHidden/>
          </w:rPr>
          <w:fldChar w:fldCharType="end"/>
        </w:r>
      </w:hyperlink>
    </w:p>
    <w:p w14:paraId="70E08A9B" w14:textId="09048584" w:rsidR="006838B7" w:rsidRDefault="00BF6ADA">
      <w:pPr>
        <w:pStyle w:val="TOC1"/>
        <w:tabs>
          <w:tab w:val="right" w:leader="dot" w:pos="7927"/>
        </w:tabs>
        <w:rPr>
          <w:rFonts w:asciiTheme="minorHAnsi" w:eastAsiaTheme="minorEastAsia" w:hAnsiTheme="minorHAnsi"/>
          <w:noProof/>
          <w:color w:val="auto"/>
          <w:sz w:val="22"/>
        </w:rPr>
      </w:pPr>
      <w:hyperlink w:anchor="_Toc214875814" w:history="1">
        <w:r w:rsidR="006838B7" w:rsidRPr="00EA73A4">
          <w:rPr>
            <w:rStyle w:val="Hyperlink"/>
            <w:noProof/>
            <w:lang w:val="en-GB"/>
          </w:rPr>
          <w:t>Chapter 1: General introduction</w:t>
        </w:r>
        <w:r w:rsidR="006838B7">
          <w:rPr>
            <w:noProof/>
            <w:webHidden/>
          </w:rPr>
          <w:tab/>
        </w:r>
        <w:r w:rsidR="006838B7">
          <w:rPr>
            <w:noProof/>
            <w:webHidden/>
          </w:rPr>
          <w:fldChar w:fldCharType="begin"/>
        </w:r>
        <w:r w:rsidR="006838B7">
          <w:rPr>
            <w:noProof/>
            <w:webHidden/>
          </w:rPr>
          <w:instrText xml:space="preserve"> PAGEREF _Toc214875814 \h </w:instrText>
        </w:r>
        <w:r w:rsidR="006838B7">
          <w:rPr>
            <w:noProof/>
            <w:webHidden/>
          </w:rPr>
        </w:r>
        <w:r w:rsidR="006838B7">
          <w:rPr>
            <w:noProof/>
            <w:webHidden/>
          </w:rPr>
          <w:fldChar w:fldCharType="separate"/>
        </w:r>
        <w:r w:rsidR="006838B7">
          <w:rPr>
            <w:noProof/>
            <w:webHidden/>
          </w:rPr>
          <w:t>12</w:t>
        </w:r>
        <w:r w:rsidR="006838B7">
          <w:rPr>
            <w:noProof/>
            <w:webHidden/>
          </w:rPr>
          <w:fldChar w:fldCharType="end"/>
        </w:r>
      </w:hyperlink>
    </w:p>
    <w:p w14:paraId="713261AE" w14:textId="7590CFFD" w:rsidR="006838B7" w:rsidRDefault="00BF6ADA">
      <w:pPr>
        <w:pStyle w:val="TOC2"/>
        <w:tabs>
          <w:tab w:val="right" w:leader="dot" w:pos="7927"/>
        </w:tabs>
        <w:rPr>
          <w:rFonts w:eastAsiaTheme="minorEastAsia"/>
          <w:noProof/>
        </w:rPr>
      </w:pPr>
      <w:hyperlink w:anchor="_Toc214875815" w:history="1">
        <w:r w:rsidR="006838B7" w:rsidRPr="00EA73A4">
          <w:rPr>
            <w:rStyle w:val="Hyperlink"/>
            <w:noProof/>
            <w:lang w:val="en-GB"/>
          </w:rPr>
          <w:t>1.1 Overview of neurocognitive disorders and the need for novel therapeutic strategies</w:t>
        </w:r>
        <w:r w:rsidR="006838B7">
          <w:rPr>
            <w:noProof/>
            <w:webHidden/>
          </w:rPr>
          <w:tab/>
        </w:r>
        <w:r w:rsidR="006838B7">
          <w:rPr>
            <w:noProof/>
            <w:webHidden/>
          </w:rPr>
          <w:fldChar w:fldCharType="begin"/>
        </w:r>
        <w:r w:rsidR="006838B7">
          <w:rPr>
            <w:noProof/>
            <w:webHidden/>
          </w:rPr>
          <w:instrText xml:space="preserve"> PAGEREF _Toc214875815 \h </w:instrText>
        </w:r>
        <w:r w:rsidR="006838B7">
          <w:rPr>
            <w:noProof/>
            <w:webHidden/>
          </w:rPr>
        </w:r>
        <w:r w:rsidR="006838B7">
          <w:rPr>
            <w:noProof/>
            <w:webHidden/>
          </w:rPr>
          <w:fldChar w:fldCharType="separate"/>
        </w:r>
        <w:r w:rsidR="006838B7">
          <w:rPr>
            <w:noProof/>
            <w:webHidden/>
          </w:rPr>
          <w:t>12</w:t>
        </w:r>
        <w:r w:rsidR="006838B7">
          <w:rPr>
            <w:noProof/>
            <w:webHidden/>
          </w:rPr>
          <w:fldChar w:fldCharType="end"/>
        </w:r>
      </w:hyperlink>
    </w:p>
    <w:p w14:paraId="34DA3657" w14:textId="45A32586" w:rsidR="006838B7" w:rsidRDefault="00BF6ADA">
      <w:pPr>
        <w:pStyle w:val="TOC3"/>
        <w:tabs>
          <w:tab w:val="right" w:leader="dot" w:pos="7927"/>
        </w:tabs>
        <w:rPr>
          <w:rFonts w:eastAsiaTheme="minorEastAsia"/>
          <w:noProof/>
        </w:rPr>
      </w:pPr>
      <w:hyperlink w:anchor="_Toc214875816" w:history="1">
        <w:r w:rsidR="006838B7" w:rsidRPr="00EA73A4">
          <w:rPr>
            <w:rStyle w:val="Hyperlink"/>
            <w:noProof/>
            <w:lang w:val="en-GB"/>
          </w:rPr>
          <w:t>1.1.1 Global Prevalence and Economic Impact of Neurodegenerative Diseases</w:t>
        </w:r>
        <w:r w:rsidR="006838B7">
          <w:rPr>
            <w:noProof/>
            <w:webHidden/>
          </w:rPr>
          <w:tab/>
        </w:r>
        <w:r w:rsidR="006838B7">
          <w:rPr>
            <w:noProof/>
            <w:webHidden/>
          </w:rPr>
          <w:fldChar w:fldCharType="begin"/>
        </w:r>
        <w:r w:rsidR="006838B7">
          <w:rPr>
            <w:noProof/>
            <w:webHidden/>
          </w:rPr>
          <w:instrText xml:space="preserve"> PAGEREF _Toc214875816 \h </w:instrText>
        </w:r>
        <w:r w:rsidR="006838B7">
          <w:rPr>
            <w:noProof/>
            <w:webHidden/>
          </w:rPr>
        </w:r>
        <w:r w:rsidR="006838B7">
          <w:rPr>
            <w:noProof/>
            <w:webHidden/>
          </w:rPr>
          <w:fldChar w:fldCharType="separate"/>
        </w:r>
        <w:r w:rsidR="006838B7">
          <w:rPr>
            <w:noProof/>
            <w:webHidden/>
          </w:rPr>
          <w:t>14</w:t>
        </w:r>
        <w:r w:rsidR="006838B7">
          <w:rPr>
            <w:noProof/>
            <w:webHidden/>
          </w:rPr>
          <w:fldChar w:fldCharType="end"/>
        </w:r>
      </w:hyperlink>
    </w:p>
    <w:p w14:paraId="32637143" w14:textId="33FB53A2" w:rsidR="006838B7" w:rsidRDefault="00BF6ADA">
      <w:pPr>
        <w:pStyle w:val="TOC3"/>
        <w:tabs>
          <w:tab w:val="right" w:leader="dot" w:pos="7927"/>
        </w:tabs>
        <w:rPr>
          <w:rFonts w:eastAsiaTheme="minorEastAsia"/>
          <w:noProof/>
        </w:rPr>
      </w:pPr>
      <w:hyperlink w:anchor="_Toc214875817" w:history="1">
        <w:r w:rsidR="006838B7" w:rsidRPr="00EA73A4">
          <w:rPr>
            <w:rStyle w:val="Hyperlink"/>
            <w:noProof/>
            <w:lang w:val="en-GB"/>
          </w:rPr>
          <w:t>1.1.2 Challenges in Early Diagnosis</w:t>
        </w:r>
        <w:r w:rsidR="006838B7">
          <w:rPr>
            <w:noProof/>
            <w:webHidden/>
          </w:rPr>
          <w:tab/>
        </w:r>
        <w:r w:rsidR="006838B7">
          <w:rPr>
            <w:noProof/>
            <w:webHidden/>
          </w:rPr>
          <w:fldChar w:fldCharType="begin"/>
        </w:r>
        <w:r w:rsidR="006838B7">
          <w:rPr>
            <w:noProof/>
            <w:webHidden/>
          </w:rPr>
          <w:instrText xml:space="preserve"> PAGEREF _Toc214875817 \h </w:instrText>
        </w:r>
        <w:r w:rsidR="006838B7">
          <w:rPr>
            <w:noProof/>
            <w:webHidden/>
          </w:rPr>
        </w:r>
        <w:r w:rsidR="006838B7">
          <w:rPr>
            <w:noProof/>
            <w:webHidden/>
          </w:rPr>
          <w:fldChar w:fldCharType="separate"/>
        </w:r>
        <w:r w:rsidR="006838B7">
          <w:rPr>
            <w:noProof/>
            <w:webHidden/>
          </w:rPr>
          <w:t>16</w:t>
        </w:r>
        <w:r w:rsidR="006838B7">
          <w:rPr>
            <w:noProof/>
            <w:webHidden/>
          </w:rPr>
          <w:fldChar w:fldCharType="end"/>
        </w:r>
      </w:hyperlink>
    </w:p>
    <w:p w14:paraId="2BFCE006" w14:textId="5DFCA811" w:rsidR="006838B7" w:rsidRDefault="00BF6ADA">
      <w:pPr>
        <w:pStyle w:val="TOC3"/>
        <w:tabs>
          <w:tab w:val="right" w:leader="dot" w:pos="7927"/>
        </w:tabs>
        <w:rPr>
          <w:rFonts w:eastAsiaTheme="minorEastAsia"/>
          <w:noProof/>
        </w:rPr>
      </w:pPr>
      <w:hyperlink w:anchor="_Toc214875818" w:history="1">
        <w:r w:rsidR="006838B7" w:rsidRPr="00EA73A4">
          <w:rPr>
            <w:rStyle w:val="Hyperlink"/>
            <w:noProof/>
            <w:lang w:val="en-GB"/>
          </w:rPr>
          <w:t>1.1.3 Preventive and Therapeutic Approaches for Neurocognitive Disorders</w:t>
        </w:r>
        <w:r w:rsidR="006838B7">
          <w:rPr>
            <w:noProof/>
            <w:webHidden/>
          </w:rPr>
          <w:tab/>
        </w:r>
        <w:r w:rsidR="006838B7">
          <w:rPr>
            <w:noProof/>
            <w:webHidden/>
          </w:rPr>
          <w:fldChar w:fldCharType="begin"/>
        </w:r>
        <w:r w:rsidR="006838B7">
          <w:rPr>
            <w:noProof/>
            <w:webHidden/>
          </w:rPr>
          <w:instrText xml:space="preserve"> PAGEREF _Toc214875818 \h </w:instrText>
        </w:r>
        <w:r w:rsidR="006838B7">
          <w:rPr>
            <w:noProof/>
            <w:webHidden/>
          </w:rPr>
        </w:r>
        <w:r w:rsidR="006838B7">
          <w:rPr>
            <w:noProof/>
            <w:webHidden/>
          </w:rPr>
          <w:fldChar w:fldCharType="separate"/>
        </w:r>
        <w:r w:rsidR="006838B7">
          <w:rPr>
            <w:noProof/>
            <w:webHidden/>
          </w:rPr>
          <w:t>17</w:t>
        </w:r>
        <w:r w:rsidR="006838B7">
          <w:rPr>
            <w:noProof/>
            <w:webHidden/>
          </w:rPr>
          <w:fldChar w:fldCharType="end"/>
        </w:r>
      </w:hyperlink>
    </w:p>
    <w:p w14:paraId="1F2B0100" w14:textId="58902B1F" w:rsidR="006838B7" w:rsidRDefault="00BF6ADA">
      <w:pPr>
        <w:pStyle w:val="TOC3"/>
        <w:tabs>
          <w:tab w:val="right" w:leader="dot" w:pos="7927"/>
        </w:tabs>
        <w:rPr>
          <w:rFonts w:eastAsiaTheme="minorEastAsia"/>
          <w:noProof/>
        </w:rPr>
      </w:pPr>
      <w:hyperlink w:anchor="_Toc214875819" w:history="1">
        <w:r w:rsidR="006838B7" w:rsidRPr="00EA73A4">
          <w:rPr>
            <w:rStyle w:val="Hyperlink"/>
            <w:noProof/>
            <w:lang w:val="en-GB"/>
          </w:rPr>
          <w:t>1.1.4 Current Limitations in Neurocognitive Disorder Treatment</w:t>
        </w:r>
        <w:r w:rsidR="006838B7">
          <w:rPr>
            <w:noProof/>
            <w:webHidden/>
          </w:rPr>
          <w:tab/>
        </w:r>
        <w:r w:rsidR="006838B7">
          <w:rPr>
            <w:noProof/>
            <w:webHidden/>
          </w:rPr>
          <w:fldChar w:fldCharType="begin"/>
        </w:r>
        <w:r w:rsidR="006838B7">
          <w:rPr>
            <w:noProof/>
            <w:webHidden/>
          </w:rPr>
          <w:instrText xml:space="preserve"> PAGEREF _Toc214875819 \h </w:instrText>
        </w:r>
        <w:r w:rsidR="006838B7">
          <w:rPr>
            <w:noProof/>
            <w:webHidden/>
          </w:rPr>
        </w:r>
        <w:r w:rsidR="006838B7">
          <w:rPr>
            <w:noProof/>
            <w:webHidden/>
          </w:rPr>
          <w:fldChar w:fldCharType="separate"/>
        </w:r>
        <w:r w:rsidR="006838B7">
          <w:rPr>
            <w:noProof/>
            <w:webHidden/>
          </w:rPr>
          <w:t>19</w:t>
        </w:r>
        <w:r w:rsidR="006838B7">
          <w:rPr>
            <w:noProof/>
            <w:webHidden/>
          </w:rPr>
          <w:fldChar w:fldCharType="end"/>
        </w:r>
      </w:hyperlink>
    </w:p>
    <w:p w14:paraId="4FD22707" w14:textId="224C280F" w:rsidR="006838B7" w:rsidRDefault="00BF6ADA">
      <w:pPr>
        <w:pStyle w:val="TOC3"/>
        <w:tabs>
          <w:tab w:val="right" w:leader="dot" w:pos="7927"/>
        </w:tabs>
        <w:rPr>
          <w:rFonts w:eastAsiaTheme="minorEastAsia"/>
          <w:noProof/>
        </w:rPr>
      </w:pPr>
      <w:hyperlink w:anchor="_Toc214875820" w:history="1">
        <w:r w:rsidR="006838B7" w:rsidRPr="00EA73A4">
          <w:rPr>
            <w:rStyle w:val="Hyperlink"/>
            <w:noProof/>
            <w:lang w:val="en-GB"/>
          </w:rPr>
          <w:t>1.1.5 Importance of Developing Novel Therapeutics for Cognitive Decline</w:t>
        </w:r>
        <w:r w:rsidR="006838B7">
          <w:rPr>
            <w:noProof/>
            <w:webHidden/>
          </w:rPr>
          <w:tab/>
        </w:r>
        <w:r w:rsidR="006838B7">
          <w:rPr>
            <w:noProof/>
            <w:webHidden/>
          </w:rPr>
          <w:fldChar w:fldCharType="begin"/>
        </w:r>
        <w:r w:rsidR="006838B7">
          <w:rPr>
            <w:noProof/>
            <w:webHidden/>
          </w:rPr>
          <w:instrText xml:space="preserve"> PAGEREF _Toc214875820 \h </w:instrText>
        </w:r>
        <w:r w:rsidR="006838B7">
          <w:rPr>
            <w:noProof/>
            <w:webHidden/>
          </w:rPr>
        </w:r>
        <w:r w:rsidR="006838B7">
          <w:rPr>
            <w:noProof/>
            <w:webHidden/>
          </w:rPr>
          <w:fldChar w:fldCharType="separate"/>
        </w:r>
        <w:r w:rsidR="006838B7">
          <w:rPr>
            <w:noProof/>
            <w:webHidden/>
          </w:rPr>
          <w:t>22</w:t>
        </w:r>
        <w:r w:rsidR="006838B7">
          <w:rPr>
            <w:noProof/>
            <w:webHidden/>
          </w:rPr>
          <w:fldChar w:fldCharType="end"/>
        </w:r>
      </w:hyperlink>
    </w:p>
    <w:p w14:paraId="4C302311" w14:textId="007393C5" w:rsidR="006838B7" w:rsidRDefault="00BF6ADA">
      <w:pPr>
        <w:pStyle w:val="TOC2"/>
        <w:tabs>
          <w:tab w:val="right" w:leader="dot" w:pos="7927"/>
        </w:tabs>
        <w:rPr>
          <w:rFonts w:eastAsiaTheme="minorEastAsia"/>
          <w:noProof/>
        </w:rPr>
      </w:pPr>
      <w:hyperlink w:anchor="_Toc214875821" w:history="1">
        <w:r w:rsidR="006838B7" w:rsidRPr="00EA73A4">
          <w:rPr>
            <w:rStyle w:val="Hyperlink"/>
            <w:noProof/>
            <w:lang w:val="en-GB" w:bidi="fa-IR"/>
          </w:rPr>
          <w:t>1.2 Neurocognitive Mechanisms and Behavioral Assessment Strategies in Neurodegeneration</w:t>
        </w:r>
        <w:r w:rsidR="006838B7">
          <w:rPr>
            <w:noProof/>
            <w:webHidden/>
          </w:rPr>
          <w:tab/>
        </w:r>
        <w:r w:rsidR="006838B7">
          <w:rPr>
            <w:noProof/>
            <w:webHidden/>
          </w:rPr>
          <w:fldChar w:fldCharType="begin"/>
        </w:r>
        <w:r w:rsidR="006838B7">
          <w:rPr>
            <w:noProof/>
            <w:webHidden/>
          </w:rPr>
          <w:instrText xml:space="preserve"> PAGEREF _Toc214875821 \h </w:instrText>
        </w:r>
        <w:r w:rsidR="006838B7">
          <w:rPr>
            <w:noProof/>
            <w:webHidden/>
          </w:rPr>
        </w:r>
        <w:r w:rsidR="006838B7">
          <w:rPr>
            <w:noProof/>
            <w:webHidden/>
          </w:rPr>
          <w:fldChar w:fldCharType="separate"/>
        </w:r>
        <w:r w:rsidR="006838B7">
          <w:rPr>
            <w:noProof/>
            <w:webHidden/>
          </w:rPr>
          <w:t>24</w:t>
        </w:r>
        <w:r w:rsidR="006838B7">
          <w:rPr>
            <w:noProof/>
            <w:webHidden/>
          </w:rPr>
          <w:fldChar w:fldCharType="end"/>
        </w:r>
      </w:hyperlink>
    </w:p>
    <w:p w14:paraId="6DBE0FC0" w14:textId="5C4874D2" w:rsidR="006838B7" w:rsidRDefault="00BF6ADA">
      <w:pPr>
        <w:pStyle w:val="TOC3"/>
        <w:tabs>
          <w:tab w:val="right" w:leader="dot" w:pos="7927"/>
        </w:tabs>
        <w:rPr>
          <w:rFonts w:eastAsiaTheme="minorEastAsia"/>
          <w:noProof/>
        </w:rPr>
      </w:pPr>
      <w:hyperlink w:anchor="_Toc214875822" w:history="1">
        <w:r w:rsidR="006838B7" w:rsidRPr="00EA73A4">
          <w:rPr>
            <w:rStyle w:val="Hyperlink"/>
            <w:noProof/>
            <w:lang w:val="en-GB" w:bidi="fa-IR"/>
          </w:rPr>
          <w:t>1.2.1 Brain Regions and Their Cognitive Functions</w:t>
        </w:r>
        <w:r w:rsidR="006838B7">
          <w:rPr>
            <w:noProof/>
            <w:webHidden/>
          </w:rPr>
          <w:tab/>
        </w:r>
        <w:r w:rsidR="006838B7">
          <w:rPr>
            <w:noProof/>
            <w:webHidden/>
          </w:rPr>
          <w:fldChar w:fldCharType="begin"/>
        </w:r>
        <w:r w:rsidR="006838B7">
          <w:rPr>
            <w:noProof/>
            <w:webHidden/>
          </w:rPr>
          <w:instrText xml:space="preserve"> PAGEREF _Toc214875822 \h </w:instrText>
        </w:r>
        <w:r w:rsidR="006838B7">
          <w:rPr>
            <w:noProof/>
            <w:webHidden/>
          </w:rPr>
        </w:r>
        <w:r w:rsidR="006838B7">
          <w:rPr>
            <w:noProof/>
            <w:webHidden/>
          </w:rPr>
          <w:fldChar w:fldCharType="separate"/>
        </w:r>
        <w:r w:rsidR="006838B7">
          <w:rPr>
            <w:noProof/>
            <w:webHidden/>
          </w:rPr>
          <w:t>24</w:t>
        </w:r>
        <w:r w:rsidR="006838B7">
          <w:rPr>
            <w:noProof/>
            <w:webHidden/>
          </w:rPr>
          <w:fldChar w:fldCharType="end"/>
        </w:r>
      </w:hyperlink>
    </w:p>
    <w:p w14:paraId="2F6F2B04" w14:textId="6EF29634" w:rsidR="006838B7" w:rsidRDefault="00BF6ADA">
      <w:pPr>
        <w:pStyle w:val="TOC4"/>
        <w:tabs>
          <w:tab w:val="right" w:leader="dot" w:pos="7927"/>
        </w:tabs>
        <w:rPr>
          <w:rFonts w:eastAsiaTheme="minorEastAsia"/>
          <w:noProof/>
        </w:rPr>
      </w:pPr>
      <w:hyperlink w:anchor="_Toc214875823" w:history="1">
        <w:r w:rsidR="006838B7" w:rsidRPr="00EA73A4">
          <w:rPr>
            <w:rStyle w:val="Hyperlink"/>
            <w:noProof/>
            <w:lang w:bidi="fa-IR"/>
          </w:rPr>
          <w:t>1.2.1.1 Hippocampus: Memory Encoding and Retrieval</w:t>
        </w:r>
        <w:r w:rsidR="006838B7">
          <w:rPr>
            <w:noProof/>
            <w:webHidden/>
          </w:rPr>
          <w:tab/>
        </w:r>
        <w:r w:rsidR="006838B7">
          <w:rPr>
            <w:noProof/>
            <w:webHidden/>
          </w:rPr>
          <w:fldChar w:fldCharType="begin"/>
        </w:r>
        <w:r w:rsidR="006838B7">
          <w:rPr>
            <w:noProof/>
            <w:webHidden/>
          </w:rPr>
          <w:instrText xml:space="preserve"> PAGEREF _Toc214875823 \h </w:instrText>
        </w:r>
        <w:r w:rsidR="006838B7">
          <w:rPr>
            <w:noProof/>
            <w:webHidden/>
          </w:rPr>
        </w:r>
        <w:r w:rsidR="006838B7">
          <w:rPr>
            <w:noProof/>
            <w:webHidden/>
          </w:rPr>
          <w:fldChar w:fldCharType="separate"/>
        </w:r>
        <w:r w:rsidR="006838B7">
          <w:rPr>
            <w:noProof/>
            <w:webHidden/>
          </w:rPr>
          <w:t>24</w:t>
        </w:r>
        <w:r w:rsidR="006838B7">
          <w:rPr>
            <w:noProof/>
            <w:webHidden/>
          </w:rPr>
          <w:fldChar w:fldCharType="end"/>
        </w:r>
      </w:hyperlink>
    </w:p>
    <w:p w14:paraId="56D21271" w14:textId="39964BF3" w:rsidR="006838B7" w:rsidRDefault="00BF6ADA">
      <w:pPr>
        <w:pStyle w:val="TOC4"/>
        <w:tabs>
          <w:tab w:val="right" w:leader="dot" w:pos="7927"/>
        </w:tabs>
        <w:rPr>
          <w:rFonts w:eastAsiaTheme="minorEastAsia"/>
          <w:noProof/>
        </w:rPr>
      </w:pPr>
      <w:hyperlink w:anchor="_Toc214875824" w:history="1">
        <w:r w:rsidR="006838B7" w:rsidRPr="00EA73A4">
          <w:rPr>
            <w:rStyle w:val="Hyperlink"/>
            <w:noProof/>
            <w:lang w:bidi="fa-IR"/>
          </w:rPr>
          <w:t>1.2.1.2 Prefrontal Cortex: Executive Function and Attention</w:t>
        </w:r>
        <w:r w:rsidR="006838B7">
          <w:rPr>
            <w:noProof/>
            <w:webHidden/>
          </w:rPr>
          <w:tab/>
        </w:r>
        <w:r w:rsidR="006838B7">
          <w:rPr>
            <w:noProof/>
            <w:webHidden/>
          </w:rPr>
          <w:fldChar w:fldCharType="begin"/>
        </w:r>
        <w:r w:rsidR="006838B7">
          <w:rPr>
            <w:noProof/>
            <w:webHidden/>
          </w:rPr>
          <w:instrText xml:space="preserve"> PAGEREF _Toc214875824 \h </w:instrText>
        </w:r>
        <w:r w:rsidR="006838B7">
          <w:rPr>
            <w:noProof/>
            <w:webHidden/>
          </w:rPr>
        </w:r>
        <w:r w:rsidR="006838B7">
          <w:rPr>
            <w:noProof/>
            <w:webHidden/>
          </w:rPr>
          <w:fldChar w:fldCharType="separate"/>
        </w:r>
        <w:r w:rsidR="006838B7">
          <w:rPr>
            <w:noProof/>
            <w:webHidden/>
          </w:rPr>
          <w:t>25</w:t>
        </w:r>
        <w:r w:rsidR="006838B7">
          <w:rPr>
            <w:noProof/>
            <w:webHidden/>
          </w:rPr>
          <w:fldChar w:fldCharType="end"/>
        </w:r>
      </w:hyperlink>
    </w:p>
    <w:p w14:paraId="541A58A9" w14:textId="0FE6A08B" w:rsidR="006838B7" w:rsidRDefault="00BF6ADA">
      <w:pPr>
        <w:pStyle w:val="TOC4"/>
        <w:tabs>
          <w:tab w:val="right" w:leader="dot" w:pos="7927"/>
        </w:tabs>
        <w:rPr>
          <w:rFonts w:eastAsiaTheme="minorEastAsia"/>
          <w:noProof/>
        </w:rPr>
      </w:pPr>
      <w:hyperlink w:anchor="_Toc214875825" w:history="1">
        <w:r w:rsidR="006838B7" w:rsidRPr="00EA73A4">
          <w:rPr>
            <w:rStyle w:val="Hyperlink"/>
            <w:noProof/>
            <w:lang w:bidi="fa-IR"/>
          </w:rPr>
          <w:t>1.2.1.3 Parietal Cortex: Spatial Processing</w:t>
        </w:r>
        <w:r w:rsidR="006838B7">
          <w:rPr>
            <w:noProof/>
            <w:webHidden/>
          </w:rPr>
          <w:tab/>
        </w:r>
        <w:r w:rsidR="006838B7">
          <w:rPr>
            <w:noProof/>
            <w:webHidden/>
          </w:rPr>
          <w:fldChar w:fldCharType="begin"/>
        </w:r>
        <w:r w:rsidR="006838B7">
          <w:rPr>
            <w:noProof/>
            <w:webHidden/>
          </w:rPr>
          <w:instrText xml:space="preserve"> PAGEREF _Toc214875825 \h </w:instrText>
        </w:r>
        <w:r w:rsidR="006838B7">
          <w:rPr>
            <w:noProof/>
            <w:webHidden/>
          </w:rPr>
        </w:r>
        <w:r w:rsidR="006838B7">
          <w:rPr>
            <w:noProof/>
            <w:webHidden/>
          </w:rPr>
          <w:fldChar w:fldCharType="separate"/>
        </w:r>
        <w:r w:rsidR="006838B7">
          <w:rPr>
            <w:noProof/>
            <w:webHidden/>
          </w:rPr>
          <w:t>27</w:t>
        </w:r>
        <w:r w:rsidR="006838B7">
          <w:rPr>
            <w:noProof/>
            <w:webHidden/>
          </w:rPr>
          <w:fldChar w:fldCharType="end"/>
        </w:r>
      </w:hyperlink>
    </w:p>
    <w:p w14:paraId="11C81C8C" w14:textId="445A84CD" w:rsidR="006838B7" w:rsidRDefault="00BF6ADA">
      <w:pPr>
        <w:pStyle w:val="TOC3"/>
        <w:tabs>
          <w:tab w:val="right" w:leader="dot" w:pos="7927"/>
        </w:tabs>
        <w:rPr>
          <w:rFonts w:eastAsiaTheme="minorEastAsia"/>
          <w:noProof/>
        </w:rPr>
      </w:pPr>
      <w:hyperlink w:anchor="_Toc214875826" w:history="1">
        <w:r w:rsidR="006838B7" w:rsidRPr="00EA73A4">
          <w:rPr>
            <w:rStyle w:val="Hyperlink"/>
            <w:noProof/>
            <w:lang w:val="en-GB" w:bidi="fa-IR"/>
          </w:rPr>
          <w:t>1.2.2 Molecular and Cellular Mechanisms of Cognitive Decline</w:t>
        </w:r>
        <w:r w:rsidR="006838B7">
          <w:rPr>
            <w:noProof/>
            <w:webHidden/>
          </w:rPr>
          <w:tab/>
        </w:r>
        <w:r w:rsidR="006838B7">
          <w:rPr>
            <w:noProof/>
            <w:webHidden/>
          </w:rPr>
          <w:fldChar w:fldCharType="begin"/>
        </w:r>
        <w:r w:rsidR="006838B7">
          <w:rPr>
            <w:noProof/>
            <w:webHidden/>
          </w:rPr>
          <w:instrText xml:space="preserve"> PAGEREF _Toc214875826 \h </w:instrText>
        </w:r>
        <w:r w:rsidR="006838B7">
          <w:rPr>
            <w:noProof/>
            <w:webHidden/>
          </w:rPr>
        </w:r>
        <w:r w:rsidR="006838B7">
          <w:rPr>
            <w:noProof/>
            <w:webHidden/>
          </w:rPr>
          <w:fldChar w:fldCharType="separate"/>
        </w:r>
        <w:r w:rsidR="006838B7">
          <w:rPr>
            <w:noProof/>
            <w:webHidden/>
          </w:rPr>
          <w:t>29</w:t>
        </w:r>
        <w:r w:rsidR="006838B7">
          <w:rPr>
            <w:noProof/>
            <w:webHidden/>
          </w:rPr>
          <w:fldChar w:fldCharType="end"/>
        </w:r>
      </w:hyperlink>
    </w:p>
    <w:p w14:paraId="44FBCF78" w14:textId="239B626B" w:rsidR="006838B7" w:rsidRDefault="00BF6ADA">
      <w:pPr>
        <w:pStyle w:val="TOC4"/>
        <w:tabs>
          <w:tab w:val="right" w:leader="dot" w:pos="7927"/>
        </w:tabs>
        <w:rPr>
          <w:rFonts w:eastAsiaTheme="minorEastAsia"/>
          <w:noProof/>
        </w:rPr>
      </w:pPr>
      <w:hyperlink w:anchor="_Toc214875827" w:history="1">
        <w:r w:rsidR="006838B7" w:rsidRPr="00EA73A4">
          <w:rPr>
            <w:rStyle w:val="Hyperlink"/>
            <w:noProof/>
            <w:lang w:bidi="fa-IR"/>
          </w:rPr>
          <w:t>1.2.2.1 Tau and Amyloid Pathology</w:t>
        </w:r>
        <w:r w:rsidR="006838B7">
          <w:rPr>
            <w:noProof/>
            <w:webHidden/>
          </w:rPr>
          <w:tab/>
        </w:r>
        <w:r w:rsidR="006838B7">
          <w:rPr>
            <w:noProof/>
            <w:webHidden/>
          </w:rPr>
          <w:fldChar w:fldCharType="begin"/>
        </w:r>
        <w:r w:rsidR="006838B7">
          <w:rPr>
            <w:noProof/>
            <w:webHidden/>
          </w:rPr>
          <w:instrText xml:space="preserve"> PAGEREF _Toc214875827 \h </w:instrText>
        </w:r>
        <w:r w:rsidR="006838B7">
          <w:rPr>
            <w:noProof/>
            <w:webHidden/>
          </w:rPr>
        </w:r>
        <w:r w:rsidR="006838B7">
          <w:rPr>
            <w:noProof/>
            <w:webHidden/>
          </w:rPr>
          <w:fldChar w:fldCharType="separate"/>
        </w:r>
        <w:r w:rsidR="006838B7">
          <w:rPr>
            <w:noProof/>
            <w:webHidden/>
          </w:rPr>
          <w:t>29</w:t>
        </w:r>
        <w:r w:rsidR="006838B7">
          <w:rPr>
            <w:noProof/>
            <w:webHidden/>
          </w:rPr>
          <w:fldChar w:fldCharType="end"/>
        </w:r>
      </w:hyperlink>
    </w:p>
    <w:p w14:paraId="0B5319AB" w14:textId="04A3846D" w:rsidR="006838B7" w:rsidRDefault="00BF6ADA">
      <w:pPr>
        <w:pStyle w:val="TOC4"/>
        <w:tabs>
          <w:tab w:val="right" w:leader="dot" w:pos="7927"/>
        </w:tabs>
        <w:rPr>
          <w:rFonts w:eastAsiaTheme="minorEastAsia"/>
          <w:noProof/>
        </w:rPr>
      </w:pPr>
      <w:hyperlink w:anchor="_Toc214875828" w:history="1">
        <w:r w:rsidR="006838B7" w:rsidRPr="00EA73A4">
          <w:rPr>
            <w:rStyle w:val="Hyperlink"/>
            <w:noProof/>
            <w:lang w:bidi="fa-IR"/>
          </w:rPr>
          <w:t>1.2.2.2 - Neuroinflammation and Glial Activation</w:t>
        </w:r>
        <w:r w:rsidR="006838B7">
          <w:rPr>
            <w:noProof/>
            <w:webHidden/>
          </w:rPr>
          <w:tab/>
        </w:r>
        <w:r w:rsidR="006838B7">
          <w:rPr>
            <w:noProof/>
            <w:webHidden/>
          </w:rPr>
          <w:fldChar w:fldCharType="begin"/>
        </w:r>
        <w:r w:rsidR="006838B7">
          <w:rPr>
            <w:noProof/>
            <w:webHidden/>
          </w:rPr>
          <w:instrText xml:space="preserve"> PAGEREF _Toc214875828 \h </w:instrText>
        </w:r>
        <w:r w:rsidR="006838B7">
          <w:rPr>
            <w:noProof/>
            <w:webHidden/>
          </w:rPr>
        </w:r>
        <w:r w:rsidR="006838B7">
          <w:rPr>
            <w:noProof/>
            <w:webHidden/>
          </w:rPr>
          <w:fldChar w:fldCharType="separate"/>
        </w:r>
        <w:r w:rsidR="006838B7">
          <w:rPr>
            <w:noProof/>
            <w:webHidden/>
          </w:rPr>
          <w:t>30</w:t>
        </w:r>
        <w:r w:rsidR="006838B7">
          <w:rPr>
            <w:noProof/>
            <w:webHidden/>
          </w:rPr>
          <w:fldChar w:fldCharType="end"/>
        </w:r>
      </w:hyperlink>
    </w:p>
    <w:p w14:paraId="0E0C7E41" w14:textId="67306454" w:rsidR="006838B7" w:rsidRDefault="00BF6ADA">
      <w:pPr>
        <w:pStyle w:val="TOC4"/>
        <w:tabs>
          <w:tab w:val="right" w:leader="dot" w:pos="7927"/>
        </w:tabs>
        <w:rPr>
          <w:rFonts w:eastAsiaTheme="minorEastAsia"/>
          <w:noProof/>
        </w:rPr>
      </w:pPr>
      <w:hyperlink w:anchor="_Toc214875829" w:history="1">
        <w:r w:rsidR="006838B7" w:rsidRPr="00EA73A4">
          <w:rPr>
            <w:rStyle w:val="Hyperlink"/>
            <w:noProof/>
            <w:lang w:bidi="fa-IR"/>
          </w:rPr>
          <w:t>1.2.2.3 Synaptic Dysfunction and Neurotransmitter Imbalance</w:t>
        </w:r>
        <w:r w:rsidR="006838B7">
          <w:rPr>
            <w:noProof/>
            <w:webHidden/>
          </w:rPr>
          <w:tab/>
        </w:r>
        <w:r w:rsidR="006838B7">
          <w:rPr>
            <w:noProof/>
            <w:webHidden/>
          </w:rPr>
          <w:fldChar w:fldCharType="begin"/>
        </w:r>
        <w:r w:rsidR="006838B7">
          <w:rPr>
            <w:noProof/>
            <w:webHidden/>
          </w:rPr>
          <w:instrText xml:space="preserve"> PAGEREF _Toc214875829 \h </w:instrText>
        </w:r>
        <w:r w:rsidR="006838B7">
          <w:rPr>
            <w:noProof/>
            <w:webHidden/>
          </w:rPr>
        </w:r>
        <w:r w:rsidR="006838B7">
          <w:rPr>
            <w:noProof/>
            <w:webHidden/>
          </w:rPr>
          <w:fldChar w:fldCharType="separate"/>
        </w:r>
        <w:r w:rsidR="006838B7">
          <w:rPr>
            <w:noProof/>
            <w:webHidden/>
          </w:rPr>
          <w:t>32</w:t>
        </w:r>
        <w:r w:rsidR="006838B7">
          <w:rPr>
            <w:noProof/>
            <w:webHidden/>
          </w:rPr>
          <w:fldChar w:fldCharType="end"/>
        </w:r>
      </w:hyperlink>
    </w:p>
    <w:p w14:paraId="105441E2" w14:textId="598F1E50" w:rsidR="006838B7" w:rsidRDefault="00BF6ADA">
      <w:pPr>
        <w:pStyle w:val="TOC4"/>
        <w:tabs>
          <w:tab w:val="right" w:leader="dot" w:pos="7927"/>
        </w:tabs>
        <w:rPr>
          <w:rFonts w:eastAsiaTheme="minorEastAsia"/>
          <w:noProof/>
        </w:rPr>
      </w:pPr>
      <w:hyperlink w:anchor="_Toc214875830" w:history="1">
        <w:r w:rsidR="006838B7" w:rsidRPr="00EA73A4">
          <w:rPr>
            <w:rStyle w:val="Hyperlink"/>
            <w:noProof/>
            <w:lang w:bidi="fa-IR"/>
          </w:rPr>
          <w:t>1.2.2.4 Mitochondrial Dysfunction and Energy Deficits</w:t>
        </w:r>
        <w:r w:rsidR="006838B7">
          <w:rPr>
            <w:noProof/>
            <w:webHidden/>
          </w:rPr>
          <w:tab/>
        </w:r>
        <w:r w:rsidR="006838B7">
          <w:rPr>
            <w:noProof/>
            <w:webHidden/>
          </w:rPr>
          <w:fldChar w:fldCharType="begin"/>
        </w:r>
        <w:r w:rsidR="006838B7">
          <w:rPr>
            <w:noProof/>
            <w:webHidden/>
          </w:rPr>
          <w:instrText xml:space="preserve"> PAGEREF _Toc214875830 \h </w:instrText>
        </w:r>
        <w:r w:rsidR="006838B7">
          <w:rPr>
            <w:noProof/>
            <w:webHidden/>
          </w:rPr>
        </w:r>
        <w:r w:rsidR="006838B7">
          <w:rPr>
            <w:noProof/>
            <w:webHidden/>
          </w:rPr>
          <w:fldChar w:fldCharType="separate"/>
        </w:r>
        <w:r w:rsidR="006838B7">
          <w:rPr>
            <w:noProof/>
            <w:webHidden/>
          </w:rPr>
          <w:t>33</w:t>
        </w:r>
        <w:r w:rsidR="006838B7">
          <w:rPr>
            <w:noProof/>
            <w:webHidden/>
          </w:rPr>
          <w:fldChar w:fldCharType="end"/>
        </w:r>
      </w:hyperlink>
    </w:p>
    <w:p w14:paraId="0B702C68" w14:textId="7576D5CA" w:rsidR="006838B7" w:rsidRDefault="00BF6ADA">
      <w:pPr>
        <w:pStyle w:val="TOC4"/>
        <w:tabs>
          <w:tab w:val="right" w:leader="dot" w:pos="7927"/>
        </w:tabs>
        <w:rPr>
          <w:rFonts w:eastAsiaTheme="minorEastAsia"/>
          <w:noProof/>
        </w:rPr>
      </w:pPr>
      <w:hyperlink w:anchor="_Toc214875831" w:history="1">
        <w:r w:rsidR="006838B7" w:rsidRPr="00EA73A4">
          <w:rPr>
            <w:rStyle w:val="Hyperlink"/>
            <w:noProof/>
            <w:lang w:bidi="fa-IR"/>
          </w:rPr>
          <w:t>1.2.2.5 Oxidative Stress and Antioxidant Mechanisms in Cognitive Decline</w:t>
        </w:r>
        <w:r w:rsidR="006838B7">
          <w:rPr>
            <w:noProof/>
            <w:webHidden/>
          </w:rPr>
          <w:tab/>
        </w:r>
        <w:r w:rsidR="006838B7">
          <w:rPr>
            <w:noProof/>
            <w:webHidden/>
          </w:rPr>
          <w:fldChar w:fldCharType="begin"/>
        </w:r>
        <w:r w:rsidR="006838B7">
          <w:rPr>
            <w:noProof/>
            <w:webHidden/>
          </w:rPr>
          <w:instrText xml:space="preserve"> PAGEREF _Toc214875831 \h </w:instrText>
        </w:r>
        <w:r w:rsidR="006838B7">
          <w:rPr>
            <w:noProof/>
            <w:webHidden/>
          </w:rPr>
        </w:r>
        <w:r w:rsidR="006838B7">
          <w:rPr>
            <w:noProof/>
            <w:webHidden/>
          </w:rPr>
          <w:fldChar w:fldCharType="separate"/>
        </w:r>
        <w:r w:rsidR="006838B7">
          <w:rPr>
            <w:noProof/>
            <w:webHidden/>
          </w:rPr>
          <w:t>35</w:t>
        </w:r>
        <w:r w:rsidR="006838B7">
          <w:rPr>
            <w:noProof/>
            <w:webHidden/>
          </w:rPr>
          <w:fldChar w:fldCharType="end"/>
        </w:r>
      </w:hyperlink>
    </w:p>
    <w:p w14:paraId="69645930" w14:textId="344B16B4" w:rsidR="006838B7" w:rsidRDefault="00BF6ADA">
      <w:pPr>
        <w:pStyle w:val="TOC3"/>
        <w:tabs>
          <w:tab w:val="right" w:leader="dot" w:pos="7927"/>
        </w:tabs>
        <w:rPr>
          <w:rFonts w:eastAsiaTheme="minorEastAsia"/>
          <w:noProof/>
        </w:rPr>
      </w:pPr>
      <w:hyperlink w:anchor="_Toc214875832" w:history="1">
        <w:r w:rsidR="006838B7" w:rsidRPr="00EA73A4">
          <w:rPr>
            <w:rStyle w:val="Hyperlink"/>
            <w:noProof/>
            <w:lang w:val="en-GB" w:bidi="fa-IR"/>
          </w:rPr>
          <w:t>1.2.3 Behavioral Manifestations of Neurodegeneration</w:t>
        </w:r>
        <w:r w:rsidR="006838B7">
          <w:rPr>
            <w:noProof/>
            <w:webHidden/>
          </w:rPr>
          <w:tab/>
        </w:r>
        <w:r w:rsidR="006838B7">
          <w:rPr>
            <w:noProof/>
            <w:webHidden/>
          </w:rPr>
          <w:fldChar w:fldCharType="begin"/>
        </w:r>
        <w:r w:rsidR="006838B7">
          <w:rPr>
            <w:noProof/>
            <w:webHidden/>
          </w:rPr>
          <w:instrText xml:space="preserve"> PAGEREF _Toc214875832 \h </w:instrText>
        </w:r>
        <w:r w:rsidR="006838B7">
          <w:rPr>
            <w:noProof/>
            <w:webHidden/>
          </w:rPr>
        </w:r>
        <w:r w:rsidR="006838B7">
          <w:rPr>
            <w:noProof/>
            <w:webHidden/>
          </w:rPr>
          <w:fldChar w:fldCharType="separate"/>
        </w:r>
        <w:r w:rsidR="006838B7">
          <w:rPr>
            <w:noProof/>
            <w:webHidden/>
          </w:rPr>
          <w:t>37</w:t>
        </w:r>
        <w:r w:rsidR="006838B7">
          <w:rPr>
            <w:noProof/>
            <w:webHidden/>
          </w:rPr>
          <w:fldChar w:fldCharType="end"/>
        </w:r>
      </w:hyperlink>
    </w:p>
    <w:p w14:paraId="49BE643F" w14:textId="4D5EED90" w:rsidR="006838B7" w:rsidRDefault="00BF6ADA">
      <w:pPr>
        <w:pStyle w:val="TOC4"/>
        <w:tabs>
          <w:tab w:val="right" w:leader="dot" w:pos="7927"/>
        </w:tabs>
        <w:rPr>
          <w:rFonts w:eastAsiaTheme="minorEastAsia"/>
          <w:noProof/>
        </w:rPr>
      </w:pPr>
      <w:hyperlink w:anchor="_Toc214875833" w:history="1">
        <w:r w:rsidR="006838B7" w:rsidRPr="00EA73A4">
          <w:rPr>
            <w:rStyle w:val="Hyperlink"/>
            <w:noProof/>
            <w:lang w:bidi="fa-IR"/>
          </w:rPr>
          <w:t>1.2.3.1 Episodic and Working Memory Deficits</w:t>
        </w:r>
        <w:r w:rsidR="006838B7">
          <w:rPr>
            <w:noProof/>
            <w:webHidden/>
          </w:rPr>
          <w:tab/>
        </w:r>
        <w:r w:rsidR="006838B7">
          <w:rPr>
            <w:noProof/>
            <w:webHidden/>
          </w:rPr>
          <w:fldChar w:fldCharType="begin"/>
        </w:r>
        <w:r w:rsidR="006838B7">
          <w:rPr>
            <w:noProof/>
            <w:webHidden/>
          </w:rPr>
          <w:instrText xml:space="preserve"> PAGEREF _Toc214875833 \h </w:instrText>
        </w:r>
        <w:r w:rsidR="006838B7">
          <w:rPr>
            <w:noProof/>
            <w:webHidden/>
          </w:rPr>
        </w:r>
        <w:r w:rsidR="006838B7">
          <w:rPr>
            <w:noProof/>
            <w:webHidden/>
          </w:rPr>
          <w:fldChar w:fldCharType="separate"/>
        </w:r>
        <w:r w:rsidR="006838B7">
          <w:rPr>
            <w:noProof/>
            <w:webHidden/>
          </w:rPr>
          <w:t>37</w:t>
        </w:r>
        <w:r w:rsidR="006838B7">
          <w:rPr>
            <w:noProof/>
            <w:webHidden/>
          </w:rPr>
          <w:fldChar w:fldCharType="end"/>
        </w:r>
      </w:hyperlink>
    </w:p>
    <w:p w14:paraId="2818AE9D" w14:textId="5577C834" w:rsidR="006838B7" w:rsidRDefault="00BF6ADA">
      <w:pPr>
        <w:pStyle w:val="TOC4"/>
        <w:tabs>
          <w:tab w:val="right" w:leader="dot" w:pos="7927"/>
        </w:tabs>
        <w:rPr>
          <w:rFonts w:eastAsiaTheme="minorEastAsia"/>
          <w:noProof/>
        </w:rPr>
      </w:pPr>
      <w:hyperlink w:anchor="_Toc214875834" w:history="1">
        <w:r w:rsidR="006838B7" w:rsidRPr="00EA73A4">
          <w:rPr>
            <w:rStyle w:val="Hyperlink"/>
            <w:noProof/>
            <w:lang w:bidi="fa-IR"/>
          </w:rPr>
          <w:t>1.2.3.2 Attention and Vigilance Impairments</w:t>
        </w:r>
        <w:r w:rsidR="006838B7">
          <w:rPr>
            <w:noProof/>
            <w:webHidden/>
          </w:rPr>
          <w:tab/>
        </w:r>
        <w:r w:rsidR="006838B7">
          <w:rPr>
            <w:noProof/>
            <w:webHidden/>
          </w:rPr>
          <w:fldChar w:fldCharType="begin"/>
        </w:r>
        <w:r w:rsidR="006838B7">
          <w:rPr>
            <w:noProof/>
            <w:webHidden/>
          </w:rPr>
          <w:instrText xml:space="preserve"> PAGEREF _Toc214875834 \h </w:instrText>
        </w:r>
        <w:r w:rsidR="006838B7">
          <w:rPr>
            <w:noProof/>
            <w:webHidden/>
          </w:rPr>
        </w:r>
        <w:r w:rsidR="006838B7">
          <w:rPr>
            <w:noProof/>
            <w:webHidden/>
          </w:rPr>
          <w:fldChar w:fldCharType="separate"/>
        </w:r>
        <w:r w:rsidR="006838B7">
          <w:rPr>
            <w:noProof/>
            <w:webHidden/>
          </w:rPr>
          <w:t>41</w:t>
        </w:r>
        <w:r w:rsidR="006838B7">
          <w:rPr>
            <w:noProof/>
            <w:webHidden/>
          </w:rPr>
          <w:fldChar w:fldCharType="end"/>
        </w:r>
      </w:hyperlink>
    </w:p>
    <w:p w14:paraId="55EF7BD3" w14:textId="5F46E05C" w:rsidR="006838B7" w:rsidRDefault="00BF6ADA">
      <w:pPr>
        <w:pStyle w:val="TOC4"/>
        <w:tabs>
          <w:tab w:val="right" w:leader="dot" w:pos="7927"/>
        </w:tabs>
        <w:rPr>
          <w:rFonts w:eastAsiaTheme="minorEastAsia"/>
          <w:noProof/>
        </w:rPr>
      </w:pPr>
      <w:hyperlink w:anchor="_Toc214875835" w:history="1">
        <w:r w:rsidR="006838B7" w:rsidRPr="00EA73A4">
          <w:rPr>
            <w:rStyle w:val="Hyperlink"/>
            <w:noProof/>
            <w:lang w:bidi="fa-IR"/>
          </w:rPr>
          <w:t>1.2.3.3 Cognitive Flexibility and Inhibitory Control</w:t>
        </w:r>
        <w:r w:rsidR="006838B7">
          <w:rPr>
            <w:noProof/>
            <w:webHidden/>
          </w:rPr>
          <w:tab/>
        </w:r>
        <w:r w:rsidR="006838B7">
          <w:rPr>
            <w:noProof/>
            <w:webHidden/>
          </w:rPr>
          <w:fldChar w:fldCharType="begin"/>
        </w:r>
        <w:r w:rsidR="006838B7">
          <w:rPr>
            <w:noProof/>
            <w:webHidden/>
          </w:rPr>
          <w:instrText xml:space="preserve"> PAGEREF _Toc214875835 \h </w:instrText>
        </w:r>
        <w:r w:rsidR="006838B7">
          <w:rPr>
            <w:noProof/>
            <w:webHidden/>
          </w:rPr>
        </w:r>
        <w:r w:rsidR="006838B7">
          <w:rPr>
            <w:noProof/>
            <w:webHidden/>
          </w:rPr>
          <w:fldChar w:fldCharType="separate"/>
        </w:r>
        <w:r w:rsidR="006838B7">
          <w:rPr>
            <w:noProof/>
            <w:webHidden/>
          </w:rPr>
          <w:t>44</w:t>
        </w:r>
        <w:r w:rsidR="006838B7">
          <w:rPr>
            <w:noProof/>
            <w:webHidden/>
          </w:rPr>
          <w:fldChar w:fldCharType="end"/>
        </w:r>
      </w:hyperlink>
    </w:p>
    <w:p w14:paraId="5F6E2FBB" w14:textId="3EA333AE" w:rsidR="006838B7" w:rsidRDefault="00BF6ADA">
      <w:pPr>
        <w:pStyle w:val="TOC4"/>
        <w:tabs>
          <w:tab w:val="right" w:leader="dot" w:pos="7927"/>
        </w:tabs>
        <w:rPr>
          <w:rFonts w:eastAsiaTheme="minorEastAsia"/>
          <w:noProof/>
        </w:rPr>
      </w:pPr>
      <w:hyperlink w:anchor="_Toc214875836" w:history="1">
        <w:r w:rsidR="006838B7" w:rsidRPr="00EA73A4">
          <w:rPr>
            <w:rStyle w:val="Hyperlink"/>
            <w:noProof/>
            <w:lang w:bidi="fa-IR"/>
          </w:rPr>
          <w:t>1.2.3.4 Decision-Making and Risk Evaluation</w:t>
        </w:r>
        <w:r w:rsidR="006838B7">
          <w:rPr>
            <w:noProof/>
            <w:webHidden/>
          </w:rPr>
          <w:tab/>
        </w:r>
        <w:r w:rsidR="006838B7">
          <w:rPr>
            <w:noProof/>
            <w:webHidden/>
          </w:rPr>
          <w:fldChar w:fldCharType="begin"/>
        </w:r>
        <w:r w:rsidR="006838B7">
          <w:rPr>
            <w:noProof/>
            <w:webHidden/>
          </w:rPr>
          <w:instrText xml:space="preserve"> PAGEREF _Toc214875836 \h </w:instrText>
        </w:r>
        <w:r w:rsidR="006838B7">
          <w:rPr>
            <w:noProof/>
            <w:webHidden/>
          </w:rPr>
        </w:r>
        <w:r w:rsidR="006838B7">
          <w:rPr>
            <w:noProof/>
            <w:webHidden/>
          </w:rPr>
          <w:fldChar w:fldCharType="separate"/>
        </w:r>
        <w:r w:rsidR="006838B7">
          <w:rPr>
            <w:noProof/>
            <w:webHidden/>
          </w:rPr>
          <w:t>46</w:t>
        </w:r>
        <w:r w:rsidR="006838B7">
          <w:rPr>
            <w:noProof/>
            <w:webHidden/>
          </w:rPr>
          <w:fldChar w:fldCharType="end"/>
        </w:r>
      </w:hyperlink>
    </w:p>
    <w:p w14:paraId="212A1039" w14:textId="2DD4E75F" w:rsidR="006838B7" w:rsidRDefault="00BF6ADA">
      <w:pPr>
        <w:pStyle w:val="TOC3"/>
        <w:tabs>
          <w:tab w:val="right" w:leader="dot" w:pos="7927"/>
        </w:tabs>
        <w:rPr>
          <w:rFonts w:eastAsiaTheme="minorEastAsia"/>
          <w:noProof/>
        </w:rPr>
      </w:pPr>
      <w:hyperlink w:anchor="_Toc214875837" w:history="1">
        <w:r w:rsidR="006838B7" w:rsidRPr="00EA73A4">
          <w:rPr>
            <w:rStyle w:val="Hyperlink"/>
            <w:noProof/>
            <w:lang w:val="en-GB" w:bidi="fa-IR"/>
          </w:rPr>
          <w:t>1.2.4 Neuroplasticity and Cognitive Reserve</w:t>
        </w:r>
        <w:r w:rsidR="006838B7">
          <w:rPr>
            <w:noProof/>
            <w:webHidden/>
          </w:rPr>
          <w:tab/>
        </w:r>
        <w:r w:rsidR="006838B7">
          <w:rPr>
            <w:noProof/>
            <w:webHidden/>
          </w:rPr>
          <w:fldChar w:fldCharType="begin"/>
        </w:r>
        <w:r w:rsidR="006838B7">
          <w:rPr>
            <w:noProof/>
            <w:webHidden/>
          </w:rPr>
          <w:instrText xml:space="preserve"> PAGEREF _Toc214875837 \h </w:instrText>
        </w:r>
        <w:r w:rsidR="006838B7">
          <w:rPr>
            <w:noProof/>
            <w:webHidden/>
          </w:rPr>
        </w:r>
        <w:r w:rsidR="006838B7">
          <w:rPr>
            <w:noProof/>
            <w:webHidden/>
          </w:rPr>
          <w:fldChar w:fldCharType="separate"/>
        </w:r>
        <w:r w:rsidR="006838B7">
          <w:rPr>
            <w:noProof/>
            <w:webHidden/>
          </w:rPr>
          <w:t>49</w:t>
        </w:r>
        <w:r w:rsidR="006838B7">
          <w:rPr>
            <w:noProof/>
            <w:webHidden/>
          </w:rPr>
          <w:fldChar w:fldCharType="end"/>
        </w:r>
      </w:hyperlink>
    </w:p>
    <w:p w14:paraId="65BD14C6" w14:textId="1144DFC6" w:rsidR="006838B7" w:rsidRDefault="00BF6ADA">
      <w:pPr>
        <w:pStyle w:val="TOC3"/>
        <w:tabs>
          <w:tab w:val="right" w:leader="dot" w:pos="7927"/>
        </w:tabs>
        <w:rPr>
          <w:rFonts w:eastAsiaTheme="minorEastAsia"/>
          <w:noProof/>
        </w:rPr>
      </w:pPr>
      <w:hyperlink w:anchor="_Toc214875838" w:history="1">
        <w:r w:rsidR="006838B7" w:rsidRPr="00EA73A4">
          <w:rPr>
            <w:rStyle w:val="Hyperlink"/>
            <w:noProof/>
            <w:lang w:val="en-GB" w:bidi="fa-IR"/>
          </w:rPr>
          <w:t>1.2.5 Translational Applications of Touchscreen Paradigms in Cognitive Neuroscience</w:t>
        </w:r>
        <w:r w:rsidR="006838B7">
          <w:rPr>
            <w:noProof/>
            <w:webHidden/>
          </w:rPr>
          <w:tab/>
        </w:r>
        <w:r w:rsidR="006838B7">
          <w:rPr>
            <w:noProof/>
            <w:webHidden/>
          </w:rPr>
          <w:fldChar w:fldCharType="begin"/>
        </w:r>
        <w:r w:rsidR="006838B7">
          <w:rPr>
            <w:noProof/>
            <w:webHidden/>
          </w:rPr>
          <w:instrText xml:space="preserve"> PAGEREF _Toc214875838 \h </w:instrText>
        </w:r>
        <w:r w:rsidR="006838B7">
          <w:rPr>
            <w:noProof/>
            <w:webHidden/>
          </w:rPr>
        </w:r>
        <w:r w:rsidR="006838B7">
          <w:rPr>
            <w:noProof/>
            <w:webHidden/>
          </w:rPr>
          <w:fldChar w:fldCharType="separate"/>
        </w:r>
        <w:r w:rsidR="006838B7">
          <w:rPr>
            <w:noProof/>
            <w:webHidden/>
          </w:rPr>
          <w:t>51</w:t>
        </w:r>
        <w:r w:rsidR="006838B7">
          <w:rPr>
            <w:noProof/>
            <w:webHidden/>
          </w:rPr>
          <w:fldChar w:fldCharType="end"/>
        </w:r>
      </w:hyperlink>
    </w:p>
    <w:p w14:paraId="21D2E75E" w14:textId="36813CCB" w:rsidR="006838B7" w:rsidRDefault="00BF6ADA">
      <w:pPr>
        <w:pStyle w:val="TOC2"/>
        <w:tabs>
          <w:tab w:val="right" w:leader="dot" w:pos="7927"/>
        </w:tabs>
        <w:rPr>
          <w:rFonts w:eastAsiaTheme="minorEastAsia"/>
          <w:noProof/>
        </w:rPr>
      </w:pPr>
      <w:hyperlink w:anchor="_Toc214875839" w:history="1">
        <w:r w:rsidR="006838B7" w:rsidRPr="00EA73A4">
          <w:rPr>
            <w:rStyle w:val="Hyperlink"/>
            <w:noProof/>
            <w:lang w:val="en-GB" w:bidi="fa-IR"/>
          </w:rPr>
          <w:t>1.3 Role of Plant-Derived Compounds in Cognitive Enhancement</w:t>
        </w:r>
        <w:r w:rsidR="006838B7">
          <w:rPr>
            <w:noProof/>
            <w:webHidden/>
          </w:rPr>
          <w:tab/>
        </w:r>
        <w:r w:rsidR="006838B7">
          <w:rPr>
            <w:noProof/>
            <w:webHidden/>
          </w:rPr>
          <w:fldChar w:fldCharType="begin"/>
        </w:r>
        <w:r w:rsidR="006838B7">
          <w:rPr>
            <w:noProof/>
            <w:webHidden/>
          </w:rPr>
          <w:instrText xml:space="preserve"> PAGEREF _Toc214875839 \h </w:instrText>
        </w:r>
        <w:r w:rsidR="006838B7">
          <w:rPr>
            <w:noProof/>
            <w:webHidden/>
          </w:rPr>
        </w:r>
        <w:r w:rsidR="006838B7">
          <w:rPr>
            <w:noProof/>
            <w:webHidden/>
          </w:rPr>
          <w:fldChar w:fldCharType="separate"/>
        </w:r>
        <w:r w:rsidR="006838B7">
          <w:rPr>
            <w:noProof/>
            <w:webHidden/>
          </w:rPr>
          <w:t>53</w:t>
        </w:r>
        <w:r w:rsidR="006838B7">
          <w:rPr>
            <w:noProof/>
            <w:webHidden/>
          </w:rPr>
          <w:fldChar w:fldCharType="end"/>
        </w:r>
      </w:hyperlink>
    </w:p>
    <w:p w14:paraId="3302C928" w14:textId="059F61A3" w:rsidR="006838B7" w:rsidRDefault="00BF6ADA">
      <w:pPr>
        <w:pStyle w:val="TOC3"/>
        <w:tabs>
          <w:tab w:val="right" w:leader="dot" w:pos="7927"/>
        </w:tabs>
        <w:rPr>
          <w:rFonts w:eastAsiaTheme="minorEastAsia"/>
          <w:noProof/>
        </w:rPr>
      </w:pPr>
      <w:hyperlink w:anchor="_Toc214875840" w:history="1">
        <w:r w:rsidR="006838B7" w:rsidRPr="00EA73A4">
          <w:rPr>
            <w:rStyle w:val="Hyperlink"/>
            <w:noProof/>
            <w:lang w:val="en-GB" w:bidi="fa-IR"/>
          </w:rPr>
          <w:t>1.3.1 Natural Products as Cognitive Enhancers</w:t>
        </w:r>
        <w:r w:rsidR="006838B7">
          <w:rPr>
            <w:noProof/>
            <w:webHidden/>
          </w:rPr>
          <w:tab/>
        </w:r>
        <w:r w:rsidR="006838B7">
          <w:rPr>
            <w:noProof/>
            <w:webHidden/>
          </w:rPr>
          <w:fldChar w:fldCharType="begin"/>
        </w:r>
        <w:r w:rsidR="006838B7">
          <w:rPr>
            <w:noProof/>
            <w:webHidden/>
          </w:rPr>
          <w:instrText xml:space="preserve"> PAGEREF _Toc214875840 \h </w:instrText>
        </w:r>
        <w:r w:rsidR="006838B7">
          <w:rPr>
            <w:noProof/>
            <w:webHidden/>
          </w:rPr>
        </w:r>
        <w:r w:rsidR="006838B7">
          <w:rPr>
            <w:noProof/>
            <w:webHidden/>
          </w:rPr>
          <w:fldChar w:fldCharType="separate"/>
        </w:r>
        <w:r w:rsidR="006838B7">
          <w:rPr>
            <w:noProof/>
            <w:webHidden/>
          </w:rPr>
          <w:t>53</w:t>
        </w:r>
        <w:r w:rsidR="006838B7">
          <w:rPr>
            <w:noProof/>
            <w:webHidden/>
          </w:rPr>
          <w:fldChar w:fldCharType="end"/>
        </w:r>
      </w:hyperlink>
    </w:p>
    <w:p w14:paraId="0CEBCC5D" w14:textId="6DE72CD1" w:rsidR="006838B7" w:rsidRDefault="00BF6ADA">
      <w:pPr>
        <w:pStyle w:val="TOC3"/>
        <w:tabs>
          <w:tab w:val="right" w:leader="dot" w:pos="7927"/>
        </w:tabs>
        <w:rPr>
          <w:rFonts w:eastAsiaTheme="minorEastAsia"/>
          <w:noProof/>
        </w:rPr>
      </w:pPr>
      <w:hyperlink w:anchor="_Toc214875841" w:history="1">
        <w:r w:rsidR="006838B7" w:rsidRPr="00EA73A4">
          <w:rPr>
            <w:rStyle w:val="Hyperlink"/>
            <w:noProof/>
            <w:lang w:val="en-GB" w:bidi="fa-IR"/>
          </w:rPr>
          <w:t>1.3.2 Nootropics and Herbal Medicines in Cognitive Decline</w:t>
        </w:r>
        <w:r w:rsidR="006838B7">
          <w:rPr>
            <w:noProof/>
            <w:webHidden/>
          </w:rPr>
          <w:tab/>
        </w:r>
        <w:r w:rsidR="006838B7">
          <w:rPr>
            <w:noProof/>
            <w:webHidden/>
          </w:rPr>
          <w:fldChar w:fldCharType="begin"/>
        </w:r>
        <w:r w:rsidR="006838B7">
          <w:rPr>
            <w:noProof/>
            <w:webHidden/>
          </w:rPr>
          <w:instrText xml:space="preserve"> PAGEREF _Toc214875841 \h </w:instrText>
        </w:r>
        <w:r w:rsidR="006838B7">
          <w:rPr>
            <w:noProof/>
            <w:webHidden/>
          </w:rPr>
        </w:r>
        <w:r w:rsidR="006838B7">
          <w:rPr>
            <w:noProof/>
            <w:webHidden/>
          </w:rPr>
          <w:fldChar w:fldCharType="separate"/>
        </w:r>
        <w:r w:rsidR="006838B7">
          <w:rPr>
            <w:noProof/>
            <w:webHidden/>
          </w:rPr>
          <w:t>54</w:t>
        </w:r>
        <w:r w:rsidR="006838B7">
          <w:rPr>
            <w:noProof/>
            <w:webHidden/>
          </w:rPr>
          <w:fldChar w:fldCharType="end"/>
        </w:r>
      </w:hyperlink>
    </w:p>
    <w:p w14:paraId="4D0BD48A" w14:textId="2B42F7A2" w:rsidR="006838B7" w:rsidRDefault="00BF6ADA">
      <w:pPr>
        <w:pStyle w:val="TOC3"/>
        <w:tabs>
          <w:tab w:val="right" w:leader="dot" w:pos="7927"/>
        </w:tabs>
        <w:rPr>
          <w:rFonts w:eastAsiaTheme="minorEastAsia"/>
          <w:noProof/>
        </w:rPr>
      </w:pPr>
      <w:hyperlink w:anchor="_Toc214875842" w:history="1">
        <w:r w:rsidR="006838B7" w:rsidRPr="00EA73A4">
          <w:rPr>
            <w:rStyle w:val="Hyperlink"/>
            <w:noProof/>
            <w:lang w:val="en-GB" w:bidi="fa-IR"/>
          </w:rPr>
          <w:t>1.3.3 Neuroprotective Effects of Plant Extracts in Animal Models</w:t>
        </w:r>
        <w:r w:rsidR="006838B7">
          <w:rPr>
            <w:noProof/>
            <w:webHidden/>
          </w:rPr>
          <w:tab/>
        </w:r>
        <w:r w:rsidR="006838B7">
          <w:rPr>
            <w:noProof/>
            <w:webHidden/>
          </w:rPr>
          <w:fldChar w:fldCharType="begin"/>
        </w:r>
        <w:r w:rsidR="006838B7">
          <w:rPr>
            <w:noProof/>
            <w:webHidden/>
          </w:rPr>
          <w:instrText xml:space="preserve"> PAGEREF _Toc214875842 \h </w:instrText>
        </w:r>
        <w:r w:rsidR="006838B7">
          <w:rPr>
            <w:noProof/>
            <w:webHidden/>
          </w:rPr>
        </w:r>
        <w:r w:rsidR="006838B7">
          <w:rPr>
            <w:noProof/>
            <w:webHidden/>
          </w:rPr>
          <w:fldChar w:fldCharType="separate"/>
        </w:r>
        <w:r w:rsidR="006838B7">
          <w:rPr>
            <w:noProof/>
            <w:webHidden/>
          </w:rPr>
          <w:t>55</w:t>
        </w:r>
        <w:r w:rsidR="006838B7">
          <w:rPr>
            <w:noProof/>
            <w:webHidden/>
          </w:rPr>
          <w:fldChar w:fldCharType="end"/>
        </w:r>
      </w:hyperlink>
    </w:p>
    <w:p w14:paraId="59E59A48" w14:textId="5C5D15CC" w:rsidR="006838B7" w:rsidRDefault="00BF6ADA">
      <w:pPr>
        <w:pStyle w:val="TOC3"/>
        <w:tabs>
          <w:tab w:val="right" w:leader="dot" w:pos="7927"/>
        </w:tabs>
        <w:rPr>
          <w:rFonts w:eastAsiaTheme="minorEastAsia"/>
          <w:noProof/>
        </w:rPr>
      </w:pPr>
      <w:hyperlink w:anchor="_Toc214875843" w:history="1">
        <w:r w:rsidR="006838B7" w:rsidRPr="00EA73A4">
          <w:rPr>
            <w:rStyle w:val="Hyperlink"/>
            <w:noProof/>
            <w:lang w:val="en-GB" w:bidi="fa-IR"/>
          </w:rPr>
          <w:t>1.3.4 Safety of Herbal Medicines</w:t>
        </w:r>
        <w:r w:rsidR="006838B7">
          <w:rPr>
            <w:noProof/>
            <w:webHidden/>
          </w:rPr>
          <w:tab/>
        </w:r>
        <w:r w:rsidR="006838B7">
          <w:rPr>
            <w:noProof/>
            <w:webHidden/>
          </w:rPr>
          <w:fldChar w:fldCharType="begin"/>
        </w:r>
        <w:r w:rsidR="006838B7">
          <w:rPr>
            <w:noProof/>
            <w:webHidden/>
          </w:rPr>
          <w:instrText xml:space="preserve"> PAGEREF _Toc214875843 \h </w:instrText>
        </w:r>
        <w:r w:rsidR="006838B7">
          <w:rPr>
            <w:noProof/>
            <w:webHidden/>
          </w:rPr>
        </w:r>
        <w:r w:rsidR="006838B7">
          <w:rPr>
            <w:noProof/>
            <w:webHidden/>
          </w:rPr>
          <w:fldChar w:fldCharType="separate"/>
        </w:r>
        <w:r w:rsidR="006838B7">
          <w:rPr>
            <w:noProof/>
            <w:webHidden/>
          </w:rPr>
          <w:t>56</w:t>
        </w:r>
        <w:r w:rsidR="006838B7">
          <w:rPr>
            <w:noProof/>
            <w:webHidden/>
          </w:rPr>
          <w:fldChar w:fldCharType="end"/>
        </w:r>
      </w:hyperlink>
    </w:p>
    <w:p w14:paraId="585CA86D" w14:textId="1FBF4D8E" w:rsidR="006838B7" w:rsidRDefault="00BF6ADA">
      <w:pPr>
        <w:pStyle w:val="TOC2"/>
        <w:tabs>
          <w:tab w:val="right" w:leader="dot" w:pos="7927"/>
        </w:tabs>
        <w:rPr>
          <w:rFonts w:eastAsiaTheme="minorEastAsia"/>
          <w:noProof/>
        </w:rPr>
      </w:pPr>
      <w:hyperlink w:anchor="_Toc214875844" w:history="1">
        <w:r w:rsidR="006838B7" w:rsidRPr="00EA73A4">
          <w:rPr>
            <w:rStyle w:val="Hyperlink"/>
            <w:noProof/>
            <w:lang w:val="en-GB"/>
          </w:rPr>
          <w:t>1.4 Problem Statement</w:t>
        </w:r>
        <w:r w:rsidR="006838B7">
          <w:rPr>
            <w:noProof/>
            <w:webHidden/>
          </w:rPr>
          <w:tab/>
        </w:r>
        <w:r w:rsidR="006838B7">
          <w:rPr>
            <w:noProof/>
            <w:webHidden/>
          </w:rPr>
          <w:fldChar w:fldCharType="begin"/>
        </w:r>
        <w:r w:rsidR="006838B7">
          <w:rPr>
            <w:noProof/>
            <w:webHidden/>
          </w:rPr>
          <w:instrText xml:space="preserve"> PAGEREF _Toc214875844 \h </w:instrText>
        </w:r>
        <w:r w:rsidR="006838B7">
          <w:rPr>
            <w:noProof/>
            <w:webHidden/>
          </w:rPr>
        </w:r>
        <w:r w:rsidR="006838B7">
          <w:rPr>
            <w:noProof/>
            <w:webHidden/>
          </w:rPr>
          <w:fldChar w:fldCharType="separate"/>
        </w:r>
        <w:r w:rsidR="006838B7">
          <w:rPr>
            <w:noProof/>
            <w:webHidden/>
          </w:rPr>
          <w:t>57</w:t>
        </w:r>
        <w:r w:rsidR="006838B7">
          <w:rPr>
            <w:noProof/>
            <w:webHidden/>
          </w:rPr>
          <w:fldChar w:fldCharType="end"/>
        </w:r>
      </w:hyperlink>
    </w:p>
    <w:p w14:paraId="75B6497E" w14:textId="6E77C2EF" w:rsidR="006838B7" w:rsidRDefault="00BF6ADA">
      <w:pPr>
        <w:pStyle w:val="TOC2"/>
        <w:tabs>
          <w:tab w:val="right" w:leader="dot" w:pos="7927"/>
        </w:tabs>
        <w:rPr>
          <w:rFonts w:eastAsiaTheme="minorEastAsia"/>
          <w:noProof/>
        </w:rPr>
      </w:pPr>
      <w:hyperlink w:anchor="_Toc214875845" w:history="1">
        <w:r w:rsidR="006838B7" w:rsidRPr="00EA73A4">
          <w:rPr>
            <w:rStyle w:val="Hyperlink"/>
            <w:noProof/>
            <w:lang w:val="en-GB"/>
          </w:rPr>
          <w:t>1.5 Research Objectives and Questions</w:t>
        </w:r>
        <w:r w:rsidR="006838B7">
          <w:rPr>
            <w:noProof/>
            <w:webHidden/>
          </w:rPr>
          <w:tab/>
        </w:r>
        <w:r w:rsidR="006838B7">
          <w:rPr>
            <w:noProof/>
            <w:webHidden/>
          </w:rPr>
          <w:fldChar w:fldCharType="begin"/>
        </w:r>
        <w:r w:rsidR="006838B7">
          <w:rPr>
            <w:noProof/>
            <w:webHidden/>
          </w:rPr>
          <w:instrText xml:space="preserve"> PAGEREF _Toc214875845 \h </w:instrText>
        </w:r>
        <w:r w:rsidR="006838B7">
          <w:rPr>
            <w:noProof/>
            <w:webHidden/>
          </w:rPr>
        </w:r>
        <w:r w:rsidR="006838B7">
          <w:rPr>
            <w:noProof/>
            <w:webHidden/>
          </w:rPr>
          <w:fldChar w:fldCharType="separate"/>
        </w:r>
        <w:r w:rsidR="006838B7">
          <w:rPr>
            <w:noProof/>
            <w:webHidden/>
          </w:rPr>
          <w:t>58</w:t>
        </w:r>
        <w:r w:rsidR="006838B7">
          <w:rPr>
            <w:noProof/>
            <w:webHidden/>
          </w:rPr>
          <w:fldChar w:fldCharType="end"/>
        </w:r>
      </w:hyperlink>
    </w:p>
    <w:p w14:paraId="6D2E5630" w14:textId="36A6AC75" w:rsidR="006838B7" w:rsidRDefault="00BF6ADA">
      <w:pPr>
        <w:pStyle w:val="TOC2"/>
        <w:tabs>
          <w:tab w:val="right" w:leader="dot" w:pos="7927"/>
        </w:tabs>
        <w:rPr>
          <w:rFonts w:eastAsiaTheme="minorEastAsia"/>
          <w:noProof/>
        </w:rPr>
      </w:pPr>
      <w:hyperlink w:anchor="_Toc214875846" w:history="1">
        <w:r w:rsidR="006838B7" w:rsidRPr="00EA73A4">
          <w:rPr>
            <w:rStyle w:val="Hyperlink"/>
            <w:noProof/>
            <w:lang w:val="en-GB"/>
          </w:rPr>
          <w:t>1.6 Research Hypotheses</w:t>
        </w:r>
        <w:r w:rsidR="006838B7">
          <w:rPr>
            <w:noProof/>
            <w:webHidden/>
          </w:rPr>
          <w:tab/>
        </w:r>
        <w:r w:rsidR="006838B7">
          <w:rPr>
            <w:noProof/>
            <w:webHidden/>
          </w:rPr>
          <w:fldChar w:fldCharType="begin"/>
        </w:r>
        <w:r w:rsidR="006838B7">
          <w:rPr>
            <w:noProof/>
            <w:webHidden/>
          </w:rPr>
          <w:instrText xml:space="preserve"> PAGEREF _Toc214875846 \h </w:instrText>
        </w:r>
        <w:r w:rsidR="006838B7">
          <w:rPr>
            <w:noProof/>
            <w:webHidden/>
          </w:rPr>
        </w:r>
        <w:r w:rsidR="006838B7">
          <w:rPr>
            <w:noProof/>
            <w:webHidden/>
          </w:rPr>
          <w:fldChar w:fldCharType="separate"/>
        </w:r>
        <w:r w:rsidR="006838B7">
          <w:rPr>
            <w:noProof/>
            <w:webHidden/>
          </w:rPr>
          <w:t>58</w:t>
        </w:r>
        <w:r w:rsidR="006838B7">
          <w:rPr>
            <w:noProof/>
            <w:webHidden/>
          </w:rPr>
          <w:fldChar w:fldCharType="end"/>
        </w:r>
      </w:hyperlink>
    </w:p>
    <w:p w14:paraId="25AD738A" w14:textId="23DE22E2" w:rsidR="006838B7" w:rsidRDefault="00BF6ADA">
      <w:pPr>
        <w:pStyle w:val="TOC2"/>
        <w:tabs>
          <w:tab w:val="right" w:leader="dot" w:pos="7927"/>
        </w:tabs>
        <w:rPr>
          <w:rFonts w:eastAsiaTheme="minorEastAsia"/>
          <w:noProof/>
        </w:rPr>
      </w:pPr>
      <w:hyperlink w:anchor="_Toc214875847" w:history="1">
        <w:r w:rsidR="006838B7" w:rsidRPr="00EA73A4">
          <w:rPr>
            <w:rStyle w:val="Hyperlink"/>
            <w:noProof/>
            <w:lang w:val="en-GB"/>
          </w:rPr>
          <w:t>1.7 Methodological Approach</w:t>
        </w:r>
        <w:r w:rsidR="006838B7">
          <w:rPr>
            <w:noProof/>
            <w:webHidden/>
          </w:rPr>
          <w:tab/>
        </w:r>
        <w:r w:rsidR="006838B7">
          <w:rPr>
            <w:noProof/>
            <w:webHidden/>
          </w:rPr>
          <w:fldChar w:fldCharType="begin"/>
        </w:r>
        <w:r w:rsidR="006838B7">
          <w:rPr>
            <w:noProof/>
            <w:webHidden/>
          </w:rPr>
          <w:instrText xml:space="preserve"> PAGEREF _Toc214875847 \h </w:instrText>
        </w:r>
        <w:r w:rsidR="006838B7">
          <w:rPr>
            <w:noProof/>
            <w:webHidden/>
          </w:rPr>
        </w:r>
        <w:r w:rsidR="006838B7">
          <w:rPr>
            <w:noProof/>
            <w:webHidden/>
          </w:rPr>
          <w:fldChar w:fldCharType="separate"/>
        </w:r>
        <w:r w:rsidR="006838B7">
          <w:rPr>
            <w:noProof/>
            <w:webHidden/>
          </w:rPr>
          <w:t>59</w:t>
        </w:r>
        <w:r w:rsidR="006838B7">
          <w:rPr>
            <w:noProof/>
            <w:webHidden/>
          </w:rPr>
          <w:fldChar w:fldCharType="end"/>
        </w:r>
      </w:hyperlink>
    </w:p>
    <w:p w14:paraId="0A36319B" w14:textId="7C01D60D" w:rsidR="006838B7" w:rsidRDefault="00BF6ADA">
      <w:pPr>
        <w:pStyle w:val="TOC2"/>
        <w:tabs>
          <w:tab w:val="right" w:leader="dot" w:pos="7927"/>
        </w:tabs>
        <w:rPr>
          <w:rFonts w:eastAsiaTheme="minorEastAsia"/>
          <w:noProof/>
        </w:rPr>
      </w:pPr>
      <w:hyperlink w:anchor="_Toc214875848" w:history="1">
        <w:r w:rsidR="006838B7" w:rsidRPr="00EA73A4">
          <w:rPr>
            <w:rStyle w:val="Hyperlink"/>
            <w:noProof/>
            <w:lang w:val="en-GB"/>
          </w:rPr>
          <w:t>1.8 Knowledge Gaps and Limitations</w:t>
        </w:r>
        <w:r w:rsidR="006838B7">
          <w:rPr>
            <w:noProof/>
            <w:webHidden/>
          </w:rPr>
          <w:tab/>
        </w:r>
        <w:r w:rsidR="006838B7">
          <w:rPr>
            <w:noProof/>
            <w:webHidden/>
          </w:rPr>
          <w:fldChar w:fldCharType="begin"/>
        </w:r>
        <w:r w:rsidR="006838B7">
          <w:rPr>
            <w:noProof/>
            <w:webHidden/>
          </w:rPr>
          <w:instrText xml:space="preserve"> PAGEREF _Toc214875848 \h </w:instrText>
        </w:r>
        <w:r w:rsidR="006838B7">
          <w:rPr>
            <w:noProof/>
            <w:webHidden/>
          </w:rPr>
        </w:r>
        <w:r w:rsidR="006838B7">
          <w:rPr>
            <w:noProof/>
            <w:webHidden/>
          </w:rPr>
          <w:fldChar w:fldCharType="separate"/>
        </w:r>
        <w:r w:rsidR="006838B7">
          <w:rPr>
            <w:noProof/>
            <w:webHidden/>
          </w:rPr>
          <w:t>59</w:t>
        </w:r>
        <w:r w:rsidR="006838B7">
          <w:rPr>
            <w:noProof/>
            <w:webHidden/>
          </w:rPr>
          <w:fldChar w:fldCharType="end"/>
        </w:r>
      </w:hyperlink>
    </w:p>
    <w:p w14:paraId="5C19AAD3" w14:textId="47E488BF" w:rsidR="006838B7" w:rsidRDefault="00BF6ADA">
      <w:pPr>
        <w:pStyle w:val="TOC1"/>
        <w:tabs>
          <w:tab w:val="right" w:leader="dot" w:pos="7927"/>
        </w:tabs>
        <w:rPr>
          <w:rFonts w:asciiTheme="minorHAnsi" w:eastAsiaTheme="minorEastAsia" w:hAnsiTheme="minorHAnsi"/>
          <w:noProof/>
          <w:color w:val="auto"/>
          <w:sz w:val="22"/>
        </w:rPr>
      </w:pPr>
      <w:hyperlink w:anchor="_Toc214875849" w:history="1">
        <w:r w:rsidR="006838B7" w:rsidRPr="00EA73A4">
          <w:rPr>
            <w:rStyle w:val="Hyperlink"/>
            <w:noProof/>
            <w:lang w:val="en-GB"/>
          </w:rPr>
          <w:t>Chapter 2: Methodology</w:t>
        </w:r>
        <w:r w:rsidR="006838B7">
          <w:rPr>
            <w:noProof/>
            <w:webHidden/>
          </w:rPr>
          <w:tab/>
        </w:r>
        <w:r w:rsidR="006838B7">
          <w:rPr>
            <w:noProof/>
            <w:webHidden/>
          </w:rPr>
          <w:fldChar w:fldCharType="begin"/>
        </w:r>
        <w:r w:rsidR="006838B7">
          <w:rPr>
            <w:noProof/>
            <w:webHidden/>
          </w:rPr>
          <w:instrText xml:space="preserve"> PAGEREF _Toc214875849 \h </w:instrText>
        </w:r>
        <w:r w:rsidR="006838B7">
          <w:rPr>
            <w:noProof/>
            <w:webHidden/>
          </w:rPr>
        </w:r>
        <w:r w:rsidR="006838B7">
          <w:rPr>
            <w:noProof/>
            <w:webHidden/>
          </w:rPr>
          <w:fldChar w:fldCharType="separate"/>
        </w:r>
        <w:r w:rsidR="006838B7">
          <w:rPr>
            <w:noProof/>
            <w:webHidden/>
          </w:rPr>
          <w:t>60</w:t>
        </w:r>
        <w:r w:rsidR="006838B7">
          <w:rPr>
            <w:noProof/>
            <w:webHidden/>
          </w:rPr>
          <w:fldChar w:fldCharType="end"/>
        </w:r>
      </w:hyperlink>
    </w:p>
    <w:p w14:paraId="5FBB3E3C" w14:textId="519364E4" w:rsidR="006838B7" w:rsidRDefault="00BF6ADA">
      <w:pPr>
        <w:pStyle w:val="TOC2"/>
        <w:tabs>
          <w:tab w:val="right" w:leader="dot" w:pos="7927"/>
        </w:tabs>
        <w:rPr>
          <w:rFonts w:eastAsiaTheme="minorEastAsia"/>
          <w:noProof/>
        </w:rPr>
      </w:pPr>
      <w:hyperlink w:anchor="_Toc214875850" w:history="1">
        <w:r w:rsidR="006838B7" w:rsidRPr="00EA73A4">
          <w:rPr>
            <w:rStyle w:val="Hyperlink"/>
            <w:noProof/>
            <w:lang w:val="en-GB"/>
          </w:rPr>
          <w:t>2.1 Animal Model and Ethical Considerations</w:t>
        </w:r>
        <w:r w:rsidR="006838B7">
          <w:rPr>
            <w:noProof/>
            <w:webHidden/>
          </w:rPr>
          <w:tab/>
        </w:r>
        <w:r w:rsidR="006838B7">
          <w:rPr>
            <w:noProof/>
            <w:webHidden/>
          </w:rPr>
          <w:fldChar w:fldCharType="begin"/>
        </w:r>
        <w:r w:rsidR="006838B7">
          <w:rPr>
            <w:noProof/>
            <w:webHidden/>
          </w:rPr>
          <w:instrText xml:space="preserve"> PAGEREF _Toc214875850 \h </w:instrText>
        </w:r>
        <w:r w:rsidR="006838B7">
          <w:rPr>
            <w:noProof/>
            <w:webHidden/>
          </w:rPr>
        </w:r>
        <w:r w:rsidR="006838B7">
          <w:rPr>
            <w:noProof/>
            <w:webHidden/>
          </w:rPr>
          <w:fldChar w:fldCharType="separate"/>
        </w:r>
        <w:r w:rsidR="006838B7">
          <w:rPr>
            <w:noProof/>
            <w:webHidden/>
          </w:rPr>
          <w:t>60</w:t>
        </w:r>
        <w:r w:rsidR="006838B7">
          <w:rPr>
            <w:noProof/>
            <w:webHidden/>
          </w:rPr>
          <w:fldChar w:fldCharType="end"/>
        </w:r>
      </w:hyperlink>
    </w:p>
    <w:p w14:paraId="2D4F7EFB" w14:textId="3D97B42E" w:rsidR="006838B7" w:rsidRDefault="00BF6ADA">
      <w:pPr>
        <w:pStyle w:val="TOC3"/>
        <w:tabs>
          <w:tab w:val="right" w:leader="dot" w:pos="7927"/>
        </w:tabs>
        <w:rPr>
          <w:rFonts w:eastAsiaTheme="minorEastAsia"/>
          <w:noProof/>
        </w:rPr>
      </w:pPr>
      <w:hyperlink w:anchor="_Toc214875851" w:history="1">
        <w:r w:rsidR="006838B7" w:rsidRPr="00EA73A4">
          <w:rPr>
            <w:rStyle w:val="Hyperlink"/>
            <w:noProof/>
            <w:lang w:val="en-GB"/>
          </w:rPr>
          <w:t>2.1.1 Animal housing and care</w:t>
        </w:r>
        <w:r w:rsidR="006838B7">
          <w:rPr>
            <w:noProof/>
            <w:webHidden/>
          </w:rPr>
          <w:tab/>
        </w:r>
        <w:r w:rsidR="006838B7">
          <w:rPr>
            <w:noProof/>
            <w:webHidden/>
          </w:rPr>
          <w:fldChar w:fldCharType="begin"/>
        </w:r>
        <w:r w:rsidR="006838B7">
          <w:rPr>
            <w:noProof/>
            <w:webHidden/>
          </w:rPr>
          <w:instrText xml:space="preserve"> PAGEREF _Toc214875851 \h </w:instrText>
        </w:r>
        <w:r w:rsidR="006838B7">
          <w:rPr>
            <w:noProof/>
            <w:webHidden/>
          </w:rPr>
        </w:r>
        <w:r w:rsidR="006838B7">
          <w:rPr>
            <w:noProof/>
            <w:webHidden/>
          </w:rPr>
          <w:fldChar w:fldCharType="separate"/>
        </w:r>
        <w:r w:rsidR="006838B7">
          <w:rPr>
            <w:noProof/>
            <w:webHidden/>
          </w:rPr>
          <w:t>60</w:t>
        </w:r>
        <w:r w:rsidR="006838B7">
          <w:rPr>
            <w:noProof/>
            <w:webHidden/>
          </w:rPr>
          <w:fldChar w:fldCharType="end"/>
        </w:r>
      </w:hyperlink>
    </w:p>
    <w:p w14:paraId="5DC72E56" w14:textId="7654A42C" w:rsidR="006838B7" w:rsidRDefault="00BF6ADA">
      <w:pPr>
        <w:pStyle w:val="TOC3"/>
        <w:tabs>
          <w:tab w:val="right" w:leader="dot" w:pos="7927"/>
        </w:tabs>
        <w:rPr>
          <w:rFonts w:eastAsiaTheme="minorEastAsia"/>
          <w:noProof/>
        </w:rPr>
      </w:pPr>
      <w:hyperlink w:anchor="_Toc214875852" w:history="1">
        <w:r w:rsidR="006838B7" w:rsidRPr="00EA73A4">
          <w:rPr>
            <w:rStyle w:val="Hyperlink"/>
            <w:noProof/>
          </w:rPr>
          <w:t>2.1.2 Justification for using animals (3Rs: Replacement, Reduction, Refinement)</w:t>
        </w:r>
        <w:r w:rsidR="006838B7">
          <w:rPr>
            <w:noProof/>
            <w:webHidden/>
          </w:rPr>
          <w:tab/>
        </w:r>
        <w:r w:rsidR="006838B7">
          <w:rPr>
            <w:noProof/>
            <w:webHidden/>
          </w:rPr>
          <w:fldChar w:fldCharType="begin"/>
        </w:r>
        <w:r w:rsidR="006838B7">
          <w:rPr>
            <w:noProof/>
            <w:webHidden/>
          </w:rPr>
          <w:instrText xml:space="preserve"> PAGEREF _Toc214875852 \h </w:instrText>
        </w:r>
        <w:r w:rsidR="006838B7">
          <w:rPr>
            <w:noProof/>
            <w:webHidden/>
          </w:rPr>
        </w:r>
        <w:r w:rsidR="006838B7">
          <w:rPr>
            <w:noProof/>
            <w:webHidden/>
          </w:rPr>
          <w:fldChar w:fldCharType="separate"/>
        </w:r>
        <w:r w:rsidR="006838B7">
          <w:rPr>
            <w:noProof/>
            <w:webHidden/>
          </w:rPr>
          <w:t>60</w:t>
        </w:r>
        <w:r w:rsidR="006838B7">
          <w:rPr>
            <w:noProof/>
            <w:webHidden/>
          </w:rPr>
          <w:fldChar w:fldCharType="end"/>
        </w:r>
      </w:hyperlink>
    </w:p>
    <w:p w14:paraId="3D497A33" w14:textId="2B4AA75E" w:rsidR="006838B7" w:rsidRDefault="00BF6ADA">
      <w:pPr>
        <w:pStyle w:val="TOC2"/>
        <w:tabs>
          <w:tab w:val="right" w:leader="dot" w:pos="7927"/>
        </w:tabs>
        <w:rPr>
          <w:rFonts w:eastAsiaTheme="minorEastAsia"/>
          <w:noProof/>
        </w:rPr>
      </w:pPr>
      <w:hyperlink w:anchor="_Toc214875853" w:history="1">
        <w:r w:rsidR="006838B7" w:rsidRPr="00EA73A4">
          <w:rPr>
            <w:rStyle w:val="Hyperlink"/>
            <w:noProof/>
            <w:lang w:val="en-GB"/>
          </w:rPr>
          <w:t>2.2 Apparatus</w:t>
        </w:r>
        <w:r w:rsidR="006838B7">
          <w:rPr>
            <w:noProof/>
            <w:webHidden/>
          </w:rPr>
          <w:tab/>
        </w:r>
        <w:r w:rsidR="006838B7">
          <w:rPr>
            <w:noProof/>
            <w:webHidden/>
          </w:rPr>
          <w:fldChar w:fldCharType="begin"/>
        </w:r>
        <w:r w:rsidR="006838B7">
          <w:rPr>
            <w:noProof/>
            <w:webHidden/>
          </w:rPr>
          <w:instrText xml:space="preserve"> PAGEREF _Toc214875853 \h </w:instrText>
        </w:r>
        <w:r w:rsidR="006838B7">
          <w:rPr>
            <w:noProof/>
            <w:webHidden/>
          </w:rPr>
        </w:r>
        <w:r w:rsidR="006838B7">
          <w:rPr>
            <w:noProof/>
            <w:webHidden/>
          </w:rPr>
          <w:fldChar w:fldCharType="separate"/>
        </w:r>
        <w:r w:rsidR="006838B7">
          <w:rPr>
            <w:noProof/>
            <w:webHidden/>
          </w:rPr>
          <w:t>62</w:t>
        </w:r>
        <w:r w:rsidR="006838B7">
          <w:rPr>
            <w:noProof/>
            <w:webHidden/>
          </w:rPr>
          <w:fldChar w:fldCharType="end"/>
        </w:r>
      </w:hyperlink>
    </w:p>
    <w:p w14:paraId="46E1D204" w14:textId="67A85538" w:rsidR="006838B7" w:rsidRDefault="00BF6ADA">
      <w:pPr>
        <w:pStyle w:val="TOC3"/>
        <w:tabs>
          <w:tab w:val="right" w:leader="dot" w:pos="7927"/>
        </w:tabs>
        <w:rPr>
          <w:rFonts w:eastAsiaTheme="minorEastAsia"/>
          <w:noProof/>
        </w:rPr>
      </w:pPr>
      <w:hyperlink w:anchor="_Toc214875854" w:history="1">
        <w:r w:rsidR="006838B7" w:rsidRPr="00EA73A4">
          <w:rPr>
            <w:rStyle w:val="Hyperlink"/>
            <w:noProof/>
            <w:lang w:val="en-GB"/>
          </w:rPr>
          <w:t>2.2.1 Detailed explanation of touchscreen chambers and behavioral tasks</w:t>
        </w:r>
        <w:r w:rsidR="006838B7">
          <w:rPr>
            <w:noProof/>
            <w:webHidden/>
          </w:rPr>
          <w:tab/>
        </w:r>
        <w:r w:rsidR="006838B7">
          <w:rPr>
            <w:noProof/>
            <w:webHidden/>
          </w:rPr>
          <w:fldChar w:fldCharType="begin"/>
        </w:r>
        <w:r w:rsidR="006838B7">
          <w:rPr>
            <w:noProof/>
            <w:webHidden/>
          </w:rPr>
          <w:instrText xml:space="preserve"> PAGEREF _Toc214875854 \h </w:instrText>
        </w:r>
        <w:r w:rsidR="006838B7">
          <w:rPr>
            <w:noProof/>
            <w:webHidden/>
          </w:rPr>
        </w:r>
        <w:r w:rsidR="006838B7">
          <w:rPr>
            <w:noProof/>
            <w:webHidden/>
          </w:rPr>
          <w:fldChar w:fldCharType="separate"/>
        </w:r>
        <w:r w:rsidR="006838B7">
          <w:rPr>
            <w:noProof/>
            <w:webHidden/>
          </w:rPr>
          <w:t>62</w:t>
        </w:r>
        <w:r w:rsidR="006838B7">
          <w:rPr>
            <w:noProof/>
            <w:webHidden/>
          </w:rPr>
          <w:fldChar w:fldCharType="end"/>
        </w:r>
      </w:hyperlink>
    </w:p>
    <w:p w14:paraId="6042B4F9" w14:textId="49A5CF73" w:rsidR="006838B7" w:rsidRDefault="00BF6ADA">
      <w:pPr>
        <w:pStyle w:val="TOC3"/>
        <w:tabs>
          <w:tab w:val="right" w:leader="dot" w:pos="7927"/>
        </w:tabs>
        <w:rPr>
          <w:rFonts w:eastAsiaTheme="minorEastAsia"/>
          <w:noProof/>
        </w:rPr>
      </w:pPr>
      <w:hyperlink w:anchor="_Toc214875855" w:history="1">
        <w:r w:rsidR="006838B7" w:rsidRPr="00EA73A4">
          <w:rPr>
            <w:rStyle w:val="Hyperlink"/>
            <w:noProof/>
            <w:lang w:val="en-GB"/>
          </w:rPr>
          <w:t>2.2.2 Software Installation and Experimental Setup</w:t>
        </w:r>
        <w:r w:rsidR="006838B7">
          <w:rPr>
            <w:noProof/>
            <w:webHidden/>
          </w:rPr>
          <w:tab/>
        </w:r>
        <w:r w:rsidR="006838B7">
          <w:rPr>
            <w:noProof/>
            <w:webHidden/>
          </w:rPr>
          <w:fldChar w:fldCharType="begin"/>
        </w:r>
        <w:r w:rsidR="006838B7">
          <w:rPr>
            <w:noProof/>
            <w:webHidden/>
          </w:rPr>
          <w:instrText xml:space="preserve"> PAGEREF _Toc214875855 \h </w:instrText>
        </w:r>
        <w:r w:rsidR="006838B7">
          <w:rPr>
            <w:noProof/>
            <w:webHidden/>
          </w:rPr>
        </w:r>
        <w:r w:rsidR="006838B7">
          <w:rPr>
            <w:noProof/>
            <w:webHidden/>
          </w:rPr>
          <w:fldChar w:fldCharType="separate"/>
        </w:r>
        <w:r w:rsidR="006838B7">
          <w:rPr>
            <w:noProof/>
            <w:webHidden/>
          </w:rPr>
          <w:t>63</w:t>
        </w:r>
        <w:r w:rsidR="006838B7">
          <w:rPr>
            <w:noProof/>
            <w:webHidden/>
          </w:rPr>
          <w:fldChar w:fldCharType="end"/>
        </w:r>
      </w:hyperlink>
    </w:p>
    <w:p w14:paraId="7A25A645" w14:textId="7216ABC2" w:rsidR="006838B7" w:rsidRDefault="00BF6ADA">
      <w:pPr>
        <w:pStyle w:val="TOC2"/>
        <w:tabs>
          <w:tab w:val="right" w:leader="dot" w:pos="7927"/>
        </w:tabs>
        <w:rPr>
          <w:rFonts w:eastAsiaTheme="minorEastAsia"/>
          <w:noProof/>
        </w:rPr>
      </w:pPr>
      <w:hyperlink w:anchor="_Toc214875856" w:history="1">
        <w:r w:rsidR="006838B7" w:rsidRPr="00EA73A4">
          <w:rPr>
            <w:rStyle w:val="Hyperlink"/>
            <w:noProof/>
            <w:lang w:val="en-GB"/>
          </w:rPr>
          <w:t>2.3 Research Design and Approach</w:t>
        </w:r>
        <w:r w:rsidR="006838B7">
          <w:rPr>
            <w:noProof/>
            <w:webHidden/>
          </w:rPr>
          <w:tab/>
        </w:r>
        <w:r w:rsidR="006838B7">
          <w:rPr>
            <w:noProof/>
            <w:webHidden/>
          </w:rPr>
          <w:fldChar w:fldCharType="begin"/>
        </w:r>
        <w:r w:rsidR="006838B7">
          <w:rPr>
            <w:noProof/>
            <w:webHidden/>
          </w:rPr>
          <w:instrText xml:space="preserve"> PAGEREF _Toc214875856 \h </w:instrText>
        </w:r>
        <w:r w:rsidR="006838B7">
          <w:rPr>
            <w:noProof/>
            <w:webHidden/>
          </w:rPr>
        </w:r>
        <w:r w:rsidR="006838B7">
          <w:rPr>
            <w:noProof/>
            <w:webHidden/>
          </w:rPr>
          <w:fldChar w:fldCharType="separate"/>
        </w:r>
        <w:r w:rsidR="006838B7">
          <w:rPr>
            <w:noProof/>
            <w:webHidden/>
          </w:rPr>
          <w:t>65</w:t>
        </w:r>
        <w:r w:rsidR="006838B7">
          <w:rPr>
            <w:noProof/>
            <w:webHidden/>
          </w:rPr>
          <w:fldChar w:fldCharType="end"/>
        </w:r>
      </w:hyperlink>
    </w:p>
    <w:p w14:paraId="1168A1E6" w14:textId="2FF9F48B" w:rsidR="006838B7" w:rsidRDefault="00BF6ADA">
      <w:pPr>
        <w:pStyle w:val="TOC2"/>
        <w:tabs>
          <w:tab w:val="right" w:leader="dot" w:pos="7927"/>
        </w:tabs>
        <w:rPr>
          <w:rFonts w:eastAsiaTheme="minorEastAsia"/>
          <w:noProof/>
        </w:rPr>
      </w:pPr>
      <w:hyperlink w:anchor="_Toc214875857" w:history="1">
        <w:r w:rsidR="006838B7" w:rsidRPr="00EA73A4">
          <w:rPr>
            <w:rStyle w:val="Hyperlink"/>
            <w:noProof/>
            <w:lang w:val="en-GB"/>
          </w:rPr>
          <w:t>2.4 Experimental Procedure</w:t>
        </w:r>
        <w:r w:rsidR="006838B7">
          <w:rPr>
            <w:noProof/>
            <w:webHidden/>
          </w:rPr>
          <w:tab/>
        </w:r>
        <w:r w:rsidR="006838B7">
          <w:rPr>
            <w:noProof/>
            <w:webHidden/>
          </w:rPr>
          <w:fldChar w:fldCharType="begin"/>
        </w:r>
        <w:r w:rsidR="006838B7">
          <w:rPr>
            <w:noProof/>
            <w:webHidden/>
          </w:rPr>
          <w:instrText xml:space="preserve"> PAGEREF _Toc214875857 \h </w:instrText>
        </w:r>
        <w:r w:rsidR="006838B7">
          <w:rPr>
            <w:noProof/>
            <w:webHidden/>
          </w:rPr>
        </w:r>
        <w:r w:rsidR="006838B7">
          <w:rPr>
            <w:noProof/>
            <w:webHidden/>
          </w:rPr>
          <w:fldChar w:fldCharType="separate"/>
        </w:r>
        <w:r w:rsidR="006838B7">
          <w:rPr>
            <w:noProof/>
            <w:webHidden/>
          </w:rPr>
          <w:t>66</w:t>
        </w:r>
        <w:r w:rsidR="006838B7">
          <w:rPr>
            <w:noProof/>
            <w:webHidden/>
          </w:rPr>
          <w:fldChar w:fldCharType="end"/>
        </w:r>
      </w:hyperlink>
    </w:p>
    <w:p w14:paraId="7617BFB4" w14:textId="1F3BDF5C" w:rsidR="006838B7" w:rsidRDefault="00BF6ADA">
      <w:pPr>
        <w:pStyle w:val="TOC3"/>
        <w:tabs>
          <w:tab w:val="right" w:leader="dot" w:pos="7927"/>
        </w:tabs>
        <w:rPr>
          <w:rFonts w:eastAsiaTheme="minorEastAsia"/>
          <w:noProof/>
        </w:rPr>
      </w:pPr>
      <w:hyperlink w:anchor="_Toc214875858" w:history="1">
        <w:r w:rsidR="006838B7" w:rsidRPr="00EA73A4">
          <w:rPr>
            <w:rStyle w:val="Hyperlink"/>
            <w:noProof/>
            <w:lang w:val="en-GB"/>
          </w:rPr>
          <w:t>2.4.1 Pairwise Visual Discrimination and Reversal Learning (PVD)</w:t>
        </w:r>
        <w:r w:rsidR="006838B7">
          <w:rPr>
            <w:noProof/>
            <w:webHidden/>
          </w:rPr>
          <w:tab/>
        </w:r>
        <w:r w:rsidR="006838B7">
          <w:rPr>
            <w:noProof/>
            <w:webHidden/>
          </w:rPr>
          <w:fldChar w:fldCharType="begin"/>
        </w:r>
        <w:r w:rsidR="006838B7">
          <w:rPr>
            <w:noProof/>
            <w:webHidden/>
          </w:rPr>
          <w:instrText xml:space="preserve"> PAGEREF _Toc214875858 \h </w:instrText>
        </w:r>
        <w:r w:rsidR="006838B7">
          <w:rPr>
            <w:noProof/>
            <w:webHidden/>
          </w:rPr>
        </w:r>
        <w:r w:rsidR="006838B7">
          <w:rPr>
            <w:noProof/>
            <w:webHidden/>
          </w:rPr>
          <w:fldChar w:fldCharType="separate"/>
        </w:r>
        <w:r w:rsidR="006838B7">
          <w:rPr>
            <w:noProof/>
            <w:webHidden/>
          </w:rPr>
          <w:t>66</w:t>
        </w:r>
        <w:r w:rsidR="006838B7">
          <w:rPr>
            <w:noProof/>
            <w:webHidden/>
          </w:rPr>
          <w:fldChar w:fldCharType="end"/>
        </w:r>
      </w:hyperlink>
    </w:p>
    <w:p w14:paraId="082263B7" w14:textId="70C90B68" w:rsidR="006838B7" w:rsidRDefault="00BF6ADA">
      <w:pPr>
        <w:pStyle w:val="TOC3"/>
        <w:tabs>
          <w:tab w:val="right" w:leader="dot" w:pos="7927"/>
        </w:tabs>
        <w:rPr>
          <w:rFonts w:eastAsiaTheme="minorEastAsia"/>
          <w:noProof/>
        </w:rPr>
      </w:pPr>
      <w:hyperlink w:anchor="_Toc214875859" w:history="1">
        <w:r w:rsidR="006838B7" w:rsidRPr="00EA73A4">
          <w:rPr>
            <w:rStyle w:val="Hyperlink"/>
            <w:noProof/>
            <w:lang w:val="en-GB"/>
          </w:rPr>
          <w:t>2.4.2 Paired Associate Learning (PAL)</w:t>
        </w:r>
        <w:r w:rsidR="006838B7">
          <w:rPr>
            <w:noProof/>
            <w:webHidden/>
          </w:rPr>
          <w:tab/>
        </w:r>
        <w:r w:rsidR="006838B7">
          <w:rPr>
            <w:noProof/>
            <w:webHidden/>
          </w:rPr>
          <w:fldChar w:fldCharType="begin"/>
        </w:r>
        <w:r w:rsidR="006838B7">
          <w:rPr>
            <w:noProof/>
            <w:webHidden/>
          </w:rPr>
          <w:instrText xml:space="preserve"> PAGEREF _Toc214875859 \h </w:instrText>
        </w:r>
        <w:r w:rsidR="006838B7">
          <w:rPr>
            <w:noProof/>
            <w:webHidden/>
          </w:rPr>
        </w:r>
        <w:r w:rsidR="006838B7">
          <w:rPr>
            <w:noProof/>
            <w:webHidden/>
          </w:rPr>
          <w:fldChar w:fldCharType="separate"/>
        </w:r>
        <w:r w:rsidR="006838B7">
          <w:rPr>
            <w:noProof/>
            <w:webHidden/>
          </w:rPr>
          <w:t>68</w:t>
        </w:r>
        <w:r w:rsidR="006838B7">
          <w:rPr>
            <w:noProof/>
            <w:webHidden/>
          </w:rPr>
          <w:fldChar w:fldCharType="end"/>
        </w:r>
      </w:hyperlink>
    </w:p>
    <w:p w14:paraId="2A5818C2" w14:textId="555BE06D" w:rsidR="006838B7" w:rsidRDefault="00BF6ADA">
      <w:pPr>
        <w:pStyle w:val="TOC3"/>
        <w:tabs>
          <w:tab w:val="right" w:leader="dot" w:pos="7927"/>
        </w:tabs>
        <w:rPr>
          <w:rFonts w:eastAsiaTheme="minorEastAsia"/>
          <w:noProof/>
        </w:rPr>
      </w:pPr>
      <w:hyperlink w:anchor="_Toc214875860" w:history="1">
        <w:r w:rsidR="006838B7" w:rsidRPr="00EA73A4">
          <w:rPr>
            <w:rStyle w:val="Hyperlink"/>
            <w:noProof/>
            <w:lang w:val="en-GB"/>
          </w:rPr>
          <w:t>2.4.4 5-Choice Serial Reaction Time Task (5CSRTT)</w:t>
        </w:r>
        <w:r w:rsidR="006838B7">
          <w:rPr>
            <w:noProof/>
            <w:webHidden/>
          </w:rPr>
          <w:tab/>
        </w:r>
        <w:r w:rsidR="006838B7">
          <w:rPr>
            <w:noProof/>
            <w:webHidden/>
          </w:rPr>
          <w:fldChar w:fldCharType="begin"/>
        </w:r>
        <w:r w:rsidR="006838B7">
          <w:rPr>
            <w:noProof/>
            <w:webHidden/>
          </w:rPr>
          <w:instrText xml:space="preserve"> PAGEREF _Toc214875860 \h </w:instrText>
        </w:r>
        <w:r w:rsidR="006838B7">
          <w:rPr>
            <w:noProof/>
            <w:webHidden/>
          </w:rPr>
        </w:r>
        <w:r w:rsidR="006838B7">
          <w:rPr>
            <w:noProof/>
            <w:webHidden/>
          </w:rPr>
          <w:fldChar w:fldCharType="separate"/>
        </w:r>
        <w:r w:rsidR="006838B7">
          <w:rPr>
            <w:noProof/>
            <w:webHidden/>
          </w:rPr>
          <w:t>70</w:t>
        </w:r>
        <w:r w:rsidR="006838B7">
          <w:rPr>
            <w:noProof/>
            <w:webHidden/>
          </w:rPr>
          <w:fldChar w:fldCharType="end"/>
        </w:r>
      </w:hyperlink>
    </w:p>
    <w:p w14:paraId="10BA8393" w14:textId="4CE85452" w:rsidR="006838B7" w:rsidRDefault="00BF6ADA">
      <w:pPr>
        <w:pStyle w:val="TOC3"/>
        <w:tabs>
          <w:tab w:val="right" w:leader="dot" w:pos="7927"/>
        </w:tabs>
        <w:rPr>
          <w:rFonts w:eastAsiaTheme="minorEastAsia"/>
          <w:noProof/>
        </w:rPr>
      </w:pPr>
      <w:hyperlink w:anchor="_Toc214875861" w:history="1">
        <w:r w:rsidR="006838B7" w:rsidRPr="00EA73A4">
          <w:rPr>
            <w:rStyle w:val="Hyperlink"/>
            <w:noProof/>
            <w:lang w:val="en-GB"/>
          </w:rPr>
          <w:t>2.4.5 Rodent Continuous Performance Test (rCPT)</w:t>
        </w:r>
        <w:r w:rsidR="006838B7">
          <w:rPr>
            <w:noProof/>
            <w:webHidden/>
          </w:rPr>
          <w:tab/>
        </w:r>
        <w:r w:rsidR="006838B7">
          <w:rPr>
            <w:noProof/>
            <w:webHidden/>
          </w:rPr>
          <w:fldChar w:fldCharType="begin"/>
        </w:r>
        <w:r w:rsidR="006838B7">
          <w:rPr>
            <w:noProof/>
            <w:webHidden/>
          </w:rPr>
          <w:instrText xml:space="preserve"> PAGEREF _Toc214875861 \h </w:instrText>
        </w:r>
        <w:r w:rsidR="006838B7">
          <w:rPr>
            <w:noProof/>
            <w:webHidden/>
          </w:rPr>
        </w:r>
        <w:r w:rsidR="006838B7">
          <w:rPr>
            <w:noProof/>
            <w:webHidden/>
          </w:rPr>
          <w:fldChar w:fldCharType="separate"/>
        </w:r>
        <w:r w:rsidR="006838B7">
          <w:rPr>
            <w:noProof/>
            <w:webHidden/>
          </w:rPr>
          <w:t>71</w:t>
        </w:r>
        <w:r w:rsidR="006838B7">
          <w:rPr>
            <w:noProof/>
            <w:webHidden/>
          </w:rPr>
          <w:fldChar w:fldCharType="end"/>
        </w:r>
      </w:hyperlink>
    </w:p>
    <w:p w14:paraId="5E56619D" w14:textId="75826EC2" w:rsidR="006838B7" w:rsidRDefault="00BF6ADA">
      <w:pPr>
        <w:pStyle w:val="TOC3"/>
        <w:tabs>
          <w:tab w:val="right" w:leader="dot" w:pos="7927"/>
        </w:tabs>
        <w:rPr>
          <w:rFonts w:eastAsiaTheme="minorEastAsia"/>
          <w:noProof/>
        </w:rPr>
      </w:pPr>
      <w:hyperlink w:anchor="_Toc214875862" w:history="1">
        <w:r w:rsidR="006838B7" w:rsidRPr="00EA73A4">
          <w:rPr>
            <w:rStyle w:val="Hyperlink"/>
            <w:noProof/>
            <w:lang w:val="en-GB"/>
          </w:rPr>
          <w:t>2.4.6 4-Choice Gambling Task (4-CGT)</w:t>
        </w:r>
        <w:r w:rsidR="006838B7">
          <w:rPr>
            <w:noProof/>
            <w:webHidden/>
          </w:rPr>
          <w:tab/>
        </w:r>
        <w:r w:rsidR="006838B7">
          <w:rPr>
            <w:noProof/>
            <w:webHidden/>
          </w:rPr>
          <w:fldChar w:fldCharType="begin"/>
        </w:r>
        <w:r w:rsidR="006838B7">
          <w:rPr>
            <w:noProof/>
            <w:webHidden/>
          </w:rPr>
          <w:instrText xml:space="preserve"> PAGEREF _Toc214875862 \h </w:instrText>
        </w:r>
        <w:r w:rsidR="006838B7">
          <w:rPr>
            <w:noProof/>
            <w:webHidden/>
          </w:rPr>
        </w:r>
        <w:r w:rsidR="006838B7">
          <w:rPr>
            <w:noProof/>
            <w:webHidden/>
          </w:rPr>
          <w:fldChar w:fldCharType="separate"/>
        </w:r>
        <w:r w:rsidR="006838B7">
          <w:rPr>
            <w:noProof/>
            <w:webHidden/>
          </w:rPr>
          <w:t>73</w:t>
        </w:r>
        <w:r w:rsidR="006838B7">
          <w:rPr>
            <w:noProof/>
            <w:webHidden/>
          </w:rPr>
          <w:fldChar w:fldCharType="end"/>
        </w:r>
      </w:hyperlink>
    </w:p>
    <w:p w14:paraId="32EB9B41" w14:textId="4AEC79F6" w:rsidR="006838B7" w:rsidRDefault="00BF6ADA">
      <w:pPr>
        <w:pStyle w:val="TOC3"/>
        <w:tabs>
          <w:tab w:val="right" w:leader="dot" w:pos="7927"/>
        </w:tabs>
        <w:rPr>
          <w:rFonts w:eastAsiaTheme="minorEastAsia"/>
          <w:noProof/>
        </w:rPr>
      </w:pPr>
      <w:hyperlink w:anchor="_Toc214875863" w:history="1">
        <w:r w:rsidR="006838B7" w:rsidRPr="00EA73A4">
          <w:rPr>
            <w:rStyle w:val="Hyperlink"/>
            <w:noProof/>
            <w:lang w:val="en-GB"/>
          </w:rPr>
          <w:t>2.4.7 Trial-Unique Nonmatching-to-Location Task (TUNL)</w:t>
        </w:r>
        <w:r w:rsidR="006838B7">
          <w:rPr>
            <w:noProof/>
            <w:webHidden/>
          </w:rPr>
          <w:tab/>
        </w:r>
        <w:r w:rsidR="006838B7">
          <w:rPr>
            <w:noProof/>
            <w:webHidden/>
          </w:rPr>
          <w:fldChar w:fldCharType="begin"/>
        </w:r>
        <w:r w:rsidR="006838B7">
          <w:rPr>
            <w:noProof/>
            <w:webHidden/>
          </w:rPr>
          <w:instrText xml:space="preserve"> PAGEREF _Toc214875863 \h </w:instrText>
        </w:r>
        <w:r w:rsidR="006838B7">
          <w:rPr>
            <w:noProof/>
            <w:webHidden/>
          </w:rPr>
        </w:r>
        <w:r w:rsidR="006838B7">
          <w:rPr>
            <w:noProof/>
            <w:webHidden/>
          </w:rPr>
          <w:fldChar w:fldCharType="separate"/>
        </w:r>
        <w:r w:rsidR="006838B7">
          <w:rPr>
            <w:noProof/>
            <w:webHidden/>
          </w:rPr>
          <w:t>74</w:t>
        </w:r>
        <w:r w:rsidR="006838B7">
          <w:rPr>
            <w:noProof/>
            <w:webHidden/>
          </w:rPr>
          <w:fldChar w:fldCharType="end"/>
        </w:r>
      </w:hyperlink>
    </w:p>
    <w:p w14:paraId="13AFD094" w14:textId="5BD2BF3A" w:rsidR="006838B7" w:rsidRDefault="00BF6ADA">
      <w:pPr>
        <w:pStyle w:val="TOC2"/>
        <w:tabs>
          <w:tab w:val="right" w:leader="dot" w:pos="7927"/>
        </w:tabs>
        <w:rPr>
          <w:rFonts w:eastAsiaTheme="minorEastAsia"/>
          <w:noProof/>
        </w:rPr>
      </w:pPr>
      <w:hyperlink w:anchor="_Toc214875864" w:history="1">
        <w:r w:rsidR="006838B7" w:rsidRPr="00EA73A4">
          <w:rPr>
            <w:rStyle w:val="Hyperlink"/>
            <w:noProof/>
            <w:lang w:val="en-GB"/>
          </w:rPr>
          <w:t>2.5 Data Collection and Statistical Analysis</w:t>
        </w:r>
        <w:r w:rsidR="006838B7">
          <w:rPr>
            <w:noProof/>
            <w:webHidden/>
          </w:rPr>
          <w:tab/>
        </w:r>
        <w:r w:rsidR="006838B7">
          <w:rPr>
            <w:noProof/>
            <w:webHidden/>
          </w:rPr>
          <w:fldChar w:fldCharType="begin"/>
        </w:r>
        <w:r w:rsidR="006838B7">
          <w:rPr>
            <w:noProof/>
            <w:webHidden/>
          </w:rPr>
          <w:instrText xml:space="preserve"> PAGEREF _Toc214875864 \h </w:instrText>
        </w:r>
        <w:r w:rsidR="006838B7">
          <w:rPr>
            <w:noProof/>
            <w:webHidden/>
          </w:rPr>
        </w:r>
        <w:r w:rsidR="006838B7">
          <w:rPr>
            <w:noProof/>
            <w:webHidden/>
          </w:rPr>
          <w:fldChar w:fldCharType="separate"/>
        </w:r>
        <w:r w:rsidR="006838B7">
          <w:rPr>
            <w:noProof/>
            <w:webHidden/>
          </w:rPr>
          <w:t>75</w:t>
        </w:r>
        <w:r w:rsidR="006838B7">
          <w:rPr>
            <w:noProof/>
            <w:webHidden/>
          </w:rPr>
          <w:fldChar w:fldCharType="end"/>
        </w:r>
      </w:hyperlink>
    </w:p>
    <w:p w14:paraId="5AE16793" w14:textId="797B565D" w:rsidR="006838B7" w:rsidRDefault="00BF6ADA">
      <w:pPr>
        <w:pStyle w:val="TOC1"/>
        <w:tabs>
          <w:tab w:val="right" w:leader="dot" w:pos="7927"/>
        </w:tabs>
        <w:rPr>
          <w:rFonts w:asciiTheme="minorHAnsi" w:eastAsiaTheme="minorEastAsia" w:hAnsiTheme="minorHAnsi"/>
          <w:noProof/>
          <w:color w:val="auto"/>
          <w:sz w:val="22"/>
        </w:rPr>
      </w:pPr>
      <w:hyperlink w:anchor="_Toc214875865" w:history="1">
        <w:r w:rsidR="006838B7" w:rsidRPr="00EA73A4">
          <w:rPr>
            <w:rStyle w:val="Hyperlink"/>
            <w:noProof/>
          </w:rPr>
          <w:t>Chapter 3: Results</w:t>
        </w:r>
        <w:r w:rsidR="006838B7">
          <w:rPr>
            <w:noProof/>
            <w:webHidden/>
          </w:rPr>
          <w:tab/>
        </w:r>
        <w:r w:rsidR="006838B7">
          <w:rPr>
            <w:noProof/>
            <w:webHidden/>
          </w:rPr>
          <w:fldChar w:fldCharType="begin"/>
        </w:r>
        <w:r w:rsidR="006838B7">
          <w:rPr>
            <w:noProof/>
            <w:webHidden/>
          </w:rPr>
          <w:instrText xml:space="preserve"> PAGEREF _Toc214875865 \h </w:instrText>
        </w:r>
        <w:r w:rsidR="006838B7">
          <w:rPr>
            <w:noProof/>
            <w:webHidden/>
          </w:rPr>
        </w:r>
        <w:r w:rsidR="006838B7">
          <w:rPr>
            <w:noProof/>
            <w:webHidden/>
          </w:rPr>
          <w:fldChar w:fldCharType="separate"/>
        </w:r>
        <w:r w:rsidR="006838B7">
          <w:rPr>
            <w:noProof/>
            <w:webHidden/>
          </w:rPr>
          <w:t>77</w:t>
        </w:r>
        <w:r w:rsidR="006838B7">
          <w:rPr>
            <w:noProof/>
            <w:webHidden/>
          </w:rPr>
          <w:fldChar w:fldCharType="end"/>
        </w:r>
      </w:hyperlink>
    </w:p>
    <w:p w14:paraId="144F59E2" w14:textId="50858C41" w:rsidR="006838B7" w:rsidRDefault="00BF6ADA">
      <w:pPr>
        <w:pStyle w:val="TOC2"/>
        <w:tabs>
          <w:tab w:val="right" w:leader="dot" w:pos="7927"/>
        </w:tabs>
        <w:rPr>
          <w:rFonts w:eastAsiaTheme="minorEastAsia"/>
          <w:noProof/>
        </w:rPr>
      </w:pPr>
      <w:hyperlink w:anchor="_Toc214875866" w:history="1">
        <w:r w:rsidR="006838B7" w:rsidRPr="00EA73A4">
          <w:rPr>
            <w:rStyle w:val="Hyperlink"/>
            <w:noProof/>
          </w:rPr>
          <w:t>3.1 Cognitive Performance Outcomes</w:t>
        </w:r>
        <w:r w:rsidR="006838B7">
          <w:rPr>
            <w:noProof/>
            <w:webHidden/>
          </w:rPr>
          <w:tab/>
        </w:r>
        <w:r w:rsidR="006838B7">
          <w:rPr>
            <w:noProof/>
            <w:webHidden/>
          </w:rPr>
          <w:fldChar w:fldCharType="begin"/>
        </w:r>
        <w:r w:rsidR="006838B7">
          <w:rPr>
            <w:noProof/>
            <w:webHidden/>
          </w:rPr>
          <w:instrText xml:space="preserve"> PAGEREF _Toc214875866 \h </w:instrText>
        </w:r>
        <w:r w:rsidR="006838B7">
          <w:rPr>
            <w:noProof/>
            <w:webHidden/>
          </w:rPr>
        </w:r>
        <w:r w:rsidR="006838B7">
          <w:rPr>
            <w:noProof/>
            <w:webHidden/>
          </w:rPr>
          <w:fldChar w:fldCharType="separate"/>
        </w:r>
        <w:r w:rsidR="006838B7">
          <w:rPr>
            <w:noProof/>
            <w:webHidden/>
          </w:rPr>
          <w:t>77</w:t>
        </w:r>
        <w:r w:rsidR="006838B7">
          <w:rPr>
            <w:noProof/>
            <w:webHidden/>
          </w:rPr>
          <w:fldChar w:fldCharType="end"/>
        </w:r>
      </w:hyperlink>
    </w:p>
    <w:p w14:paraId="4337E0A8" w14:textId="59908E28" w:rsidR="006838B7" w:rsidRDefault="00BF6ADA">
      <w:pPr>
        <w:pStyle w:val="TOC3"/>
        <w:tabs>
          <w:tab w:val="right" w:leader="dot" w:pos="7927"/>
        </w:tabs>
        <w:rPr>
          <w:rFonts w:eastAsiaTheme="minorEastAsia"/>
          <w:noProof/>
        </w:rPr>
      </w:pPr>
      <w:hyperlink w:anchor="_Toc214875867" w:history="1">
        <w:r w:rsidR="006838B7" w:rsidRPr="00EA73A4">
          <w:rPr>
            <w:rStyle w:val="Hyperlink"/>
            <w:noProof/>
          </w:rPr>
          <w:t>3.1.1 Learning and memory performance across tasks during control phase</w:t>
        </w:r>
        <w:r w:rsidR="006838B7">
          <w:rPr>
            <w:noProof/>
            <w:webHidden/>
          </w:rPr>
          <w:tab/>
        </w:r>
        <w:r w:rsidR="006838B7">
          <w:rPr>
            <w:noProof/>
            <w:webHidden/>
          </w:rPr>
          <w:fldChar w:fldCharType="begin"/>
        </w:r>
        <w:r w:rsidR="006838B7">
          <w:rPr>
            <w:noProof/>
            <w:webHidden/>
          </w:rPr>
          <w:instrText xml:space="preserve"> PAGEREF _Toc214875867 \h </w:instrText>
        </w:r>
        <w:r w:rsidR="006838B7">
          <w:rPr>
            <w:noProof/>
            <w:webHidden/>
          </w:rPr>
        </w:r>
        <w:r w:rsidR="006838B7">
          <w:rPr>
            <w:noProof/>
            <w:webHidden/>
          </w:rPr>
          <w:fldChar w:fldCharType="separate"/>
        </w:r>
        <w:r w:rsidR="006838B7">
          <w:rPr>
            <w:noProof/>
            <w:webHidden/>
          </w:rPr>
          <w:t>77</w:t>
        </w:r>
        <w:r w:rsidR="006838B7">
          <w:rPr>
            <w:noProof/>
            <w:webHidden/>
          </w:rPr>
          <w:fldChar w:fldCharType="end"/>
        </w:r>
      </w:hyperlink>
    </w:p>
    <w:p w14:paraId="51B277A7" w14:textId="08309F45" w:rsidR="006838B7" w:rsidRDefault="00BF6ADA">
      <w:pPr>
        <w:pStyle w:val="TOC4"/>
        <w:tabs>
          <w:tab w:val="right" w:leader="dot" w:pos="7927"/>
        </w:tabs>
        <w:rPr>
          <w:rFonts w:eastAsiaTheme="minorEastAsia"/>
          <w:noProof/>
        </w:rPr>
      </w:pPr>
      <w:hyperlink w:anchor="_Toc214875868" w:history="1">
        <w:r w:rsidR="006838B7" w:rsidRPr="00EA73A4">
          <w:rPr>
            <w:rStyle w:val="Hyperlink"/>
            <w:noProof/>
          </w:rPr>
          <w:t>3.1.1.1 PVD</w:t>
        </w:r>
        <w:r w:rsidR="006838B7">
          <w:rPr>
            <w:noProof/>
            <w:webHidden/>
          </w:rPr>
          <w:tab/>
        </w:r>
        <w:r w:rsidR="006838B7">
          <w:rPr>
            <w:noProof/>
            <w:webHidden/>
          </w:rPr>
          <w:fldChar w:fldCharType="begin"/>
        </w:r>
        <w:r w:rsidR="006838B7">
          <w:rPr>
            <w:noProof/>
            <w:webHidden/>
          </w:rPr>
          <w:instrText xml:space="preserve"> PAGEREF _Toc214875868 \h </w:instrText>
        </w:r>
        <w:r w:rsidR="006838B7">
          <w:rPr>
            <w:noProof/>
            <w:webHidden/>
          </w:rPr>
        </w:r>
        <w:r w:rsidR="006838B7">
          <w:rPr>
            <w:noProof/>
            <w:webHidden/>
          </w:rPr>
          <w:fldChar w:fldCharType="separate"/>
        </w:r>
        <w:r w:rsidR="006838B7">
          <w:rPr>
            <w:noProof/>
            <w:webHidden/>
          </w:rPr>
          <w:t>77</w:t>
        </w:r>
        <w:r w:rsidR="006838B7">
          <w:rPr>
            <w:noProof/>
            <w:webHidden/>
          </w:rPr>
          <w:fldChar w:fldCharType="end"/>
        </w:r>
      </w:hyperlink>
    </w:p>
    <w:p w14:paraId="46A52DB7" w14:textId="3D83CE19" w:rsidR="006838B7" w:rsidRDefault="00BF6ADA">
      <w:pPr>
        <w:pStyle w:val="TOC4"/>
        <w:tabs>
          <w:tab w:val="right" w:leader="dot" w:pos="7927"/>
        </w:tabs>
        <w:rPr>
          <w:rFonts w:eastAsiaTheme="minorEastAsia"/>
          <w:noProof/>
        </w:rPr>
      </w:pPr>
      <w:hyperlink w:anchor="_Toc214875869" w:history="1">
        <w:r w:rsidR="006838B7" w:rsidRPr="00EA73A4">
          <w:rPr>
            <w:rStyle w:val="Hyperlink"/>
            <w:noProof/>
          </w:rPr>
          <w:t>3.1.1.2 -Paired associate learning (PAL)</w:t>
        </w:r>
        <w:r w:rsidR="006838B7">
          <w:rPr>
            <w:noProof/>
            <w:webHidden/>
          </w:rPr>
          <w:tab/>
        </w:r>
        <w:r w:rsidR="006838B7">
          <w:rPr>
            <w:noProof/>
            <w:webHidden/>
          </w:rPr>
          <w:fldChar w:fldCharType="begin"/>
        </w:r>
        <w:r w:rsidR="006838B7">
          <w:rPr>
            <w:noProof/>
            <w:webHidden/>
          </w:rPr>
          <w:instrText xml:space="preserve"> PAGEREF _Toc214875869 \h </w:instrText>
        </w:r>
        <w:r w:rsidR="006838B7">
          <w:rPr>
            <w:noProof/>
            <w:webHidden/>
          </w:rPr>
        </w:r>
        <w:r w:rsidR="006838B7">
          <w:rPr>
            <w:noProof/>
            <w:webHidden/>
          </w:rPr>
          <w:fldChar w:fldCharType="separate"/>
        </w:r>
        <w:r w:rsidR="006838B7">
          <w:rPr>
            <w:noProof/>
            <w:webHidden/>
          </w:rPr>
          <w:t>79</w:t>
        </w:r>
        <w:r w:rsidR="006838B7">
          <w:rPr>
            <w:noProof/>
            <w:webHidden/>
          </w:rPr>
          <w:fldChar w:fldCharType="end"/>
        </w:r>
      </w:hyperlink>
    </w:p>
    <w:p w14:paraId="49D79C79" w14:textId="69538B16" w:rsidR="006838B7" w:rsidRDefault="00BF6ADA">
      <w:pPr>
        <w:pStyle w:val="TOC4"/>
        <w:tabs>
          <w:tab w:val="right" w:leader="dot" w:pos="7927"/>
        </w:tabs>
        <w:rPr>
          <w:rFonts w:eastAsiaTheme="minorEastAsia"/>
          <w:noProof/>
        </w:rPr>
      </w:pPr>
      <w:hyperlink w:anchor="_Toc214875870" w:history="1">
        <w:r w:rsidR="006838B7" w:rsidRPr="00EA73A4">
          <w:rPr>
            <w:rStyle w:val="Hyperlink"/>
            <w:noProof/>
          </w:rPr>
          <w:t>3.1.1.3 5-Choice Serial Reaction Time Task (5-CSRTT)</w:t>
        </w:r>
        <w:r w:rsidR="006838B7">
          <w:rPr>
            <w:noProof/>
            <w:webHidden/>
          </w:rPr>
          <w:tab/>
        </w:r>
        <w:r w:rsidR="006838B7">
          <w:rPr>
            <w:noProof/>
            <w:webHidden/>
          </w:rPr>
          <w:fldChar w:fldCharType="begin"/>
        </w:r>
        <w:r w:rsidR="006838B7">
          <w:rPr>
            <w:noProof/>
            <w:webHidden/>
          </w:rPr>
          <w:instrText xml:space="preserve"> PAGEREF _Toc214875870 \h </w:instrText>
        </w:r>
        <w:r w:rsidR="006838B7">
          <w:rPr>
            <w:noProof/>
            <w:webHidden/>
          </w:rPr>
        </w:r>
        <w:r w:rsidR="006838B7">
          <w:rPr>
            <w:noProof/>
            <w:webHidden/>
          </w:rPr>
          <w:fldChar w:fldCharType="separate"/>
        </w:r>
        <w:r w:rsidR="006838B7">
          <w:rPr>
            <w:noProof/>
            <w:webHidden/>
          </w:rPr>
          <w:t>80</w:t>
        </w:r>
        <w:r w:rsidR="006838B7">
          <w:rPr>
            <w:noProof/>
            <w:webHidden/>
          </w:rPr>
          <w:fldChar w:fldCharType="end"/>
        </w:r>
      </w:hyperlink>
    </w:p>
    <w:p w14:paraId="6F9AA35F" w14:textId="362F47E8" w:rsidR="006838B7" w:rsidRDefault="00BF6ADA">
      <w:pPr>
        <w:pStyle w:val="TOC4"/>
        <w:tabs>
          <w:tab w:val="right" w:leader="dot" w:pos="7927"/>
        </w:tabs>
        <w:rPr>
          <w:rFonts w:eastAsiaTheme="minorEastAsia"/>
          <w:noProof/>
        </w:rPr>
      </w:pPr>
      <w:hyperlink w:anchor="_Toc214875871" w:history="1">
        <w:r w:rsidR="006838B7" w:rsidRPr="00EA73A4">
          <w:rPr>
            <w:rStyle w:val="Hyperlink"/>
            <w:noProof/>
          </w:rPr>
          <w:t>3.1.1.4 Trial Unique Non-Matching-to-Location (TUNL)</w:t>
        </w:r>
        <w:r w:rsidR="006838B7">
          <w:rPr>
            <w:noProof/>
            <w:webHidden/>
          </w:rPr>
          <w:tab/>
        </w:r>
        <w:r w:rsidR="006838B7">
          <w:rPr>
            <w:noProof/>
            <w:webHidden/>
          </w:rPr>
          <w:fldChar w:fldCharType="begin"/>
        </w:r>
        <w:r w:rsidR="006838B7">
          <w:rPr>
            <w:noProof/>
            <w:webHidden/>
          </w:rPr>
          <w:instrText xml:space="preserve"> PAGEREF _Toc214875871 \h </w:instrText>
        </w:r>
        <w:r w:rsidR="006838B7">
          <w:rPr>
            <w:noProof/>
            <w:webHidden/>
          </w:rPr>
        </w:r>
        <w:r w:rsidR="006838B7">
          <w:rPr>
            <w:noProof/>
            <w:webHidden/>
          </w:rPr>
          <w:fldChar w:fldCharType="separate"/>
        </w:r>
        <w:r w:rsidR="006838B7">
          <w:rPr>
            <w:noProof/>
            <w:webHidden/>
          </w:rPr>
          <w:t>81</w:t>
        </w:r>
        <w:r w:rsidR="006838B7">
          <w:rPr>
            <w:noProof/>
            <w:webHidden/>
          </w:rPr>
          <w:fldChar w:fldCharType="end"/>
        </w:r>
      </w:hyperlink>
    </w:p>
    <w:p w14:paraId="1A7A766A" w14:textId="4D9D4CDE" w:rsidR="006838B7" w:rsidRDefault="00BF6ADA">
      <w:pPr>
        <w:pStyle w:val="TOC4"/>
        <w:tabs>
          <w:tab w:val="right" w:leader="dot" w:pos="7927"/>
        </w:tabs>
        <w:rPr>
          <w:rFonts w:eastAsiaTheme="minorEastAsia"/>
          <w:noProof/>
        </w:rPr>
      </w:pPr>
      <w:hyperlink w:anchor="_Toc214875872" w:history="1">
        <w:r w:rsidR="006838B7" w:rsidRPr="00EA73A4">
          <w:rPr>
            <w:rStyle w:val="Hyperlink"/>
            <w:noProof/>
          </w:rPr>
          <w:t>3.1.1.5 Rodent Continuous Performance task (rCPT)</w:t>
        </w:r>
        <w:r w:rsidR="006838B7">
          <w:rPr>
            <w:noProof/>
            <w:webHidden/>
          </w:rPr>
          <w:tab/>
        </w:r>
        <w:r w:rsidR="006838B7">
          <w:rPr>
            <w:noProof/>
            <w:webHidden/>
          </w:rPr>
          <w:fldChar w:fldCharType="begin"/>
        </w:r>
        <w:r w:rsidR="006838B7">
          <w:rPr>
            <w:noProof/>
            <w:webHidden/>
          </w:rPr>
          <w:instrText xml:space="preserve"> PAGEREF _Toc214875872 \h </w:instrText>
        </w:r>
        <w:r w:rsidR="006838B7">
          <w:rPr>
            <w:noProof/>
            <w:webHidden/>
          </w:rPr>
        </w:r>
        <w:r w:rsidR="006838B7">
          <w:rPr>
            <w:noProof/>
            <w:webHidden/>
          </w:rPr>
          <w:fldChar w:fldCharType="separate"/>
        </w:r>
        <w:r w:rsidR="006838B7">
          <w:rPr>
            <w:noProof/>
            <w:webHidden/>
          </w:rPr>
          <w:t>82</w:t>
        </w:r>
        <w:r w:rsidR="006838B7">
          <w:rPr>
            <w:noProof/>
            <w:webHidden/>
          </w:rPr>
          <w:fldChar w:fldCharType="end"/>
        </w:r>
      </w:hyperlink>
    </w:p>
    <w:p w14:paraId="671D8092" w14:textId="3A62EAB1" w:rsidR="006838B7" w:rsidRDefault="00BF6ADA">
      <w:pPr>
        <w:pStyle w:val="TOC4"/>
        <w:tabs>
          <w:tab w:val="right" w:leader="dot" w:pos="7927"/>
        </w:tabs>
        <w:rPr>
          <w:rFonts w:eastAsiaTheme="minorEastAsia"/>
          <w:noProof/>
        </w:rPr>
      </w:pPr>
      <w:hyperlink w:anchor="_Toc214875873" w:history="1">
        <w:r w:rsidR="006838B7" w:rsidRPr="00EA73A4">
          <w:rPr>
            <w:rStyle w:val="Hyperlink"/>
            <w:noProof/>
          </w:rPr>
          <w:t>3.1.1.6 4-Choice Gambling Task(4-CGT)</w:t>
        </w:r>
        <w:r w:rsidR="006838B7">
          <w:rPr>
            <w:noProof/>
            <w:webHidden/>
          </w:rPr>
          <w:tab/>
        </w:r>
        <w:r w:rsidR="006838B7">
          <w:rPr>
            <w:noProof/>
            <w:webHidden/>
          </w:rPr>
          <w:fldChar w:fldCharType="begin"/>
        </w:r>
        <w:r w:rsidR="006838B7">
          <w:rPr>
            <w:noProof/>
            <w:webHidden/>
          </w:rPr>
          <w:instrText xml:space="preserve"> PAGEREF _Toc214875873 \h </w:instrText>
        </w:r>
        <w:r w:rsidR="006838B7">
          <w:rPr>
            <w:noProof/>
            <w:webHidden/>
          </w:rPr>
        </w:r>
        <w:r w:rsidR="006838B7">
          <w:rPr>
            <w:noProof/>
            <w:webHidden/>
          </w:rPr>
          <w:fldChar w:fldCharType="separate"/>
        </w:r>
        <w:r w:rsidR="006838B7">
          <w:rPr>
            <w:noProof/>
            <w:webHidden/>
          </w:rPr>
          <w:t>91</w:t>
        </w:r>
        <w:r w:rsidR="006838B7">
          <w:rPr>
            <w:noProof/>
            <w:webHidden/>
          </w:rPr>
          <w:fldChar w:fldCharType="end"/>
        </w:r>
      </w:hyperlink>
    </w:p>
    <w:p w14:paraId="71DA467D" w14:textId="31E79946" w:rsidR="006838B7" w:rsidRDefault="00BF6ADA">
      <w:pPr>
        <w:pStyle w:val="TOC1"/>
        <w:tabs>
          <w:tab w:val="right" w:leader="dot" w:pos="7927"/>
        </w:tabs>
        <w:rPr>
          <w:rFonts w:asciiTheme="minorHAnsi" w:eastAsiaTheme="minorEastAsia" w:hAnsiTheme="minorHAnsi"/>
          <w:noProof/>
          <w:color w:val="auto"/>
          <w:sz w:val="22"/>
        </w:rPr>
      </w:pPr>
      <w:hyperlink w:anchor="_Toc214875874" w:history="1">
        <w:r w:rsidR="006838B7" w:rsidRPr="00EA73A4">
          <w:rPr>
            <w:rStyle w:val="Hyperlink"/>
            <w:noProof/>
            <w:lang w:val="en-GB"/>
          </w:rPr>
          <w:t>Chapter 4: Discussion</w:t>
        </w:r>
        <w:r w:rsidR="006838B7">
          <w:rPr>
            <w:noProof/>
            <w:webHidden/>
          </w:rPr>
          <w:tab/>
        </w:r>
        <w:r w:rsidR="006838B7">
          <w:rPr>
            <w:noProof/>
            <w:webHidden/>
          </w:rPr>
          <w:fldChar w:fldCharType="begin"/>
        </w:r>
        <w:r w:rsidR="006838B7">
          <w:rPr>
            <w:noProof/>
            <w:webHidden/>
          </w:rPr>
          <w:instrText xml:space="preserve"> PAGEREF _Toc214875874 \h </w:instrText>
        </w:r>
        <w:r w:rsidR="006838B7">
          <w:rPr>
            <w:noProof/>
            <w:webHidden/>
          </w:rPr>
        </w:r>
        <w:r w:rsidR="006838B7">
          <w:rPr>
            <w:noProof/>
            <w:webHidden/>
          </w:rPr>
          <w:fldChar w:fldCharType="separate"/>
        </w:r>
        <w:r w:rsidR="006838B7">
          <w:rPr>
            <w:noProof/>
            <w:webHidden/>
          </w:rPr>
          <w:t>97</w:t>
        </w:r>
        <w:r w:rsidR="006838B7">
          <w:rPr>
            <w:noProof/>
            <w:webHidden/>
          </w:rPr>
          <w:fldChar w:fldCharType="end"/>
        </w:r>
      </w:hyperlink>
    </w:p>
    <w:p w14:paraId="5DCF275D" w14:textId="5E9312B1" w:rsidR="006838B7" w:rsidRDefault="00BF6ADA">
      <w:pPr>
        <w:pStyle w:val="TOC2"/>
        <w:tabs>
          <w:tab w:val="right" w:leader="dot" w:pos="7927"/>
        </w:tabs>
        <w:rPr>
          <w:rFonts w:eastAsiaTheme="minorEastAsia"/>
          <w:noProof/>
        </w:rPr>
      </w:pPr>
      <w:hyperlink w:anchor="_Toc214875875" w:history="1">
        <w:r w:rsidR="006838B7" w:rsidRPr="00EA73A4">
          <w:rPr>
            <w:rStyle w:val="Hyperlink"/>
            <w:noProof/>
          </w:rPr>
          <w:t>4.1 Understanding how to learn: mental adaptability and visual distinction (PVD)</w:t>
        </w:r>
        <w:r w:rsidR="006838B7">
          <w:rPr>
            <w:noProof/>
            <w:webHidden/>
          </w:rPr>
          <w:tab/>
        </w:r>
        <w:r w:rsidR="006838B7">
          <w:rPr>
            <w:noProof/>
            <w:webHidden/>
          </w:rPr>
          <w:fldChar w:fldCharType="begin"/>
        </w:r>
        <w:r w:rsidR="006838B7">
          <w:rPr>
            <w:noProof/>
            <w:webHidden/>
          </w:rPr>
          <w:instrText xml:space="preserve"> PAGEREF _Toc214875875 \h </w:instrText>
        </w:r>
        <w:r w:rsidR="006838B7">
          <w:rPr>
            <w:noProof/>
            <w:webHidden/>
          </w:rPr>
        </w:r>
        <w:r w:rsidR="006838B7">
          <w:rPr>
            <w:noProof/>
            <w:webHidden/>
          </w:rPr>
          <w:fldChar w:fldCharType="separate"/>
        </w:r>
        <w:r w:rsidR="006838B7">
          <w:rPr>
            <w:noProof/>
            <w:webHidden/>
          </w:rPr>
          <w:t>97</w:t>
        </w:r>
        <w:r w:rsidR="006838B7">
          <w:rPr>
            <w:noProof/>
            <w:webHidden/>
          </w:rPr>
          <w:fldChar w:fldCharType="end"/>
        </w:r>
      </w:hyperlink>
    </w:p>
    <w:p w14:paraId="6F2601A9" w14:textId="535964FD" w:rsidR="006838B7" w:rsidRDefault="00BF6ADA">
      <w:pPr>
        <w:pStyle w:val="TOC2"/>
        <w:tabs>
          <w:tab w:val="right" w:leader="dot" w:pos="7927"/>
        </w:tabs>
        <w:rPr>
          <w:rFonts w:eastAsiaTheme="minorEastAsia"/>
          <w:noProof/>
        </w:rPr>
      </w:pPr>
      <w:hyperlink w:anchor="_Toc214875876" w:history="1">
        <w:r w:rsidR="006838B7" w:rsidRPr="00EA73A4">
          <w:rPr>
            <w:rStyle w:val="Hyperlink"/>
            <w:noProof/>
          </w:rPr>
          <w:t>4.2 Memory as Association: Insights from the Paired-Associate Learning Paradigm (PAL)</w:t>
        </w:r>
        <w:r w:rsidR="006838B7">
          <w:rPr>
            <w:noProof/>
            <w:webHidden/>
          </w:rPr>
          <w:tab/>
        </w:r>
        <w:r w:rsidR="006838B7">
          <w:rPr>
            <w:noProof/>
            <w:webHidden/>
          </w:rPr>
          <w:fldChar w:fldCharType="begin"/>
        </w:r>
        <w:r w:rsidR="006838B7">
          <w:rPr>
            <w:noProof/>
            <w:webHidden/>
          </w:rPr>
          <w:instrText xml:space="preserve"> PAGEREF _Toc214875876 \h </w:instrText>
        </w:r>
        <w:r w:rsidR="006838B7">
          <w:rPr>
            <w:noProof/>
            <w:webHidden/>
          </w:rPr>
        </w:r>
        <w:r w:rsidR="006838B7">
          <w:rPr>
            <w:noProof/>
            <w:webHidden/>
          </w:rPr>
          <w:fldChar w:fldCharType="separate"/>
        </w:r>
        <w:r w:rsidR="006838B7">
          <w:rPr>
            <w:noProof/>
            <w:webHidden/>
          </w:rPr>
          <w:t>98</w:t>
        </w:r>
        <w:r w:rsidR="006838B7">
          <w:rPr>
            <w:noProof/>
            <w:webHidden/>
          </w:rPr>
          <w:fldChar w:fldCharType="end"/>
        </w:r>
      </w:hyperlink>
    </w:p>
    <w:p w14:paraId="201A994C" w14:textId="59CC44B2" w:rsidR="006838B7" w:rsidRDefault="00BF6ADA">
      <w:pPr>
        <w:pStyle w:val="TOC2"/>
        <w:tabs>
          <w:tab w:val="right" w:leader="dot" w:pos="7927"/>
        </w:tabs>
        <w:rPr>
          <w:rFonts w:eastAsiaTheme="minorEastAsia"/>
          <w:noProof/>
        </w:rPr>
      </w:pPr>
      <w:hyperlink w:anchor="_Toc214875877" w:history="1">
        <w:r w:rsidR="006838B7" w:rsidRPr="00EA73A4">
          <w:rPr>
            <w:rStyle w:val="Hyperlink"/>
            <w:noProof/>
          </w:rPr>
          <w:t>4.3 The Focused Mind: Sustained Attention and Impulsivity Regulation (5CSRT)</w:t>
        </w:r>
        <w:r w:rsidR="006838B7">
          <w:rPr>
            <w:noProof/>
            <w:webHidden/>
          </w:rPr>
          <w:tab/>
        </w:r>
        <w:r w:rsidR="006838B7">
          <w:rPr>
            <w:noProof/>
            <w:webHidden/>
          </w:rPr>
          <w:fldChar w:fldCharType="begin"/>
        </w:r>
        <w:r w:rsidR="006838B7">
          <w:rPr>
            <w:noProof/>
            <w:webHidden/>
          </w:rPr>
          <w:instrText xml:space="preserve"> PAGEREF _Toc214875877 \h </w:instrText>
        </w:r>
        <w:r w:rsidR="006838B7">
          <w:rPr>
            <w:noProof/>
            <w:webHidden/>
          </w:rPr>
        </w:r>
        <w:r w:rsidR="006838B7">
          <w:rPr>
            <w:noProof/>
            <w:webHidden/>
          </w:rPr>
          <w:fldChar w:fldCharType="separate"/>
        </w:r>
        <w:r w:rsidR="006838B7">
          <w:rPr>
            <w:noProof/>
            <w:webHidden/>
          </w:rPr>
          <w:t>99</w:t>
        </w:r>
        <w:r w:rsidR="006838B7">
          <w:rPr>
            <w:noProof/>
            <w:webHidden/>
          </w:rPr>
          <w:fldChar w:fldCharType="end"/>
        </w:r>
      </w:hyperlink>
    </w:p>
    <w:p w14:paraId="3777B77A" w14:textId="019D9C48" w:rsidR="006838B7" w:rsidRDefault="00BF6ADA">
      <w:pPr>
        <w:pStyle w:val="TOC2"/>
        <w:tabs>
          <w:tab w:val="right" w:leader="dot" w:pos="7927"/>
        </w:tabs>
        <w:rPr>
          <w:rFonts w:eastAsiaTheme="minorEastAsia"/>
          <w:noProof/>
        </w:rPr>
      </w:pPr>
      <w:hyperlink w:anchor="_Toc214875878" w:history="1">
        <w:r w:rsidR="006838B7" w:rsidRPr="00EA73A4">
          <w:rPr>
            <w:rStyle w:val="Hyperlink"/>
            <w:noProof/>
          </w:rPr>
          <w:t>4.4 Holding Information in Brain: Working Memory and Pattern Separation Processes (TUNL)</w:t>
        </w:r>
        <w:r w:rsidR="006838B7">
          <w:rPr>
            <w:noProof/>
            <w:webHidden/>
          </w:rPr>
          <w:tab/>
        </w:r>
        <w:r w:rsidR="006838B7">
          <w:rPr>
            <w:noProof/>
            <w:webHidden/>
          </w:rPr>
          <w:fldChar w:fldCharType="begin"/>
        </w:r>
        <w:r w:rsidR="006838B7">
          <w:rPr>
            <w:noProof/>
            <w:webHidden/>
          </w:rPr>
          <w:instrText xml:space="preserve"> PAGEREF _Toc214875878 \h </w:instrText>
        </w:r>
        <w:r w:rsidR="006838B7">
          <w:rPr>
            <w:noProof/>
            <w:webHidden/>
          </w:rPr>
        </w:r>
        <w:r w:rsidR="006838B7">
          <w:rPr>
            <w:noProof/>
            <w:webHidden/>
          </w:rPr>
          <w:fldChar w:fldCharType="separate"/>
        </w:r>
        <w:r w:rsidR="006838B7">
          <w:rPr>
            <w:noProof/>
            <w:webHidden/>
          </w:rPr>
          <w:t>100</w:t>
        </w:r>
        <w:r w:rsidR="006838B7">
          <w:rPr>
            <w:noProof/>
            <w:webHidden/>
          </w:rPr>
          <w:fldChar w:fldCharType="end"/>
        </w:r>
      </w:hyperlink>
    </w:p>
    <w:p w14:paraId="06C68603" w14:textId="6BFA0FA3" w:rsidR="006838B7" w:rsidRDefault="00BF6ADA">
      <w:pPr>
        <w:pStyle w:val="TOC2"/>
        <w:tabs>
          <w:tab w:val="right" w:leader="dot" w:pos="7927"/>
        </w:tabs>
        <w:rPr>
          <w:rFonts w:eastAsiaTheme="minorEastAsia"/>
          <w:noProof/>
        </w:rPr>
      </w:pPr>
      <w:hyperlink w:anchor="_Toc214875879" w:history="1">
        <w:r w:rsidR="006838B7" w:rsidRPr="00EA73A4">
          <w:rPr>
            <w:rStyle w:val="Hyperlink"/>
            <w:noProof/>
          </w:rPr>
          <w:t>4.5 Vigilance in Action: Evaluating Continuous Performance and Attentional Stability (rCPT)</w:t>
        </w:r>
        <w:r w:rsidR="006838B7">
          <w:rPr>
            <w:noProof/>
            <w:webHidden/>
          </w:rPr>
          <w:tab/>
        </w:r>
        <w:r w:rsidR="006838B7">
          <w:rPr>
            <w:noProof/>
            <w:webHidden/>
          </w:rPr>
          <w:fldChar w:fldCharType="begin"/>
        </w:r>
        <w:r w:rsidR="006838B7">
          <w:rPr>
            <w:noProof/>
            <w:webHidden/>
          </w:rPr>
          <w:instrText xml:space="preserve"> PAGEREF _Toc214875879 \h </w:instrText>
        </w:r>
        <w:r w:rsidR="006838B7">
          <w:rPr>
            <w:noProof/>
            <w:webHidden/>
          </w:rPr>
        </w:r>
        <w:r w:rsidR="006838B7">
          <w:rPr>
            <w:noProof/>
            <w:webHidden/>
          </w:rPr>
          <w:fldChar w:fldCharType="separate"/>
        </w:r>
        <w:r w:rsidR="006838B7">
          <w:rPr>
            <w:noProof/>
            <w:webHidden/>
          </w:rPr>
          <w:t>101</w:t>
        </w:r>
        <w:r w:rsidR="006838B7">
          <w:rPr>
            <w:noProof/>
            <w:webHidden/>
          </w:rPr>
          <w:fldChar w:fldCharType="end"/>
        </w:r>
      </w:hyperlink>
    </w:p>
    <w:p w14:paraId="090FC788" w14:textId="79A9B55A" w:rsidR="006838B7" w:rsidRDefault="00BF6ADA">
      <w:pPr>
        <w:pStyle w:val="TOC2"/>
        <w:tabs>
          <w:tab w:val="right" w:leader="dot" w:pos="7927"/>
        </w:tabs>
        <w:rPr>
          <w:rFonts w:eastAsiaTheme="minorEastAsia"/>
          <w:noProof/>
        </w:rPr>
      </w:pPr>
      <w:hyperlink w:anchor="_Toc214875880" w:history="1">
        <w:r w:rsidR="006838B7" w:rsidRPr="00EA73A4">
          <w:rPr>
            <w:rStyle w:val="Hyperlink"/>
            <w:noProof/>
          </w:rPr>
          <w:t>4.6 Decisions Under Uncertainty: Cognitive Risk and Choice Behavior (4-CGT)</w:t>
        </w:r>
        <w:r w:rsidR="006838B7">
          <w:rPr>
            <w:noProof/>
            <w:webHidden/>
          </w:rPr>
          <w:tab/>
        </w:r>
        <w:r w:rsidR="006838B7">
          <w:rPr>
            <w:noProof/>
            <w:webHidden/>
          </w:rPr>
          <w:fldChar w:fldCharType="begin"/>
        </w:r>
        <w:r w:rsidR="006838B7">
          <w:rPr>
            <w:noProof/>
            <w:webHidden/>
          </w:rPr>
          <w:instrText xml:space="preserve"> PAGEREF _Toc214875880 \h </w:instrText>
        </w:r>
        <w:r w:rsidR="006838B7">
          <w:rPr>
            <w:noProof/>
            <w:webHidden/>
          </w:rPr>
        </w:r>
        <w:r w:rsidR="006838B7">
          <w:rPr>
            <w:noProof/>
            <w:webHidden/>
          </w:rPr>
          <w:fldChar w:fldCharType="separate"/>
        </w:r>
        <w:r w:rsidR="006838B7">
          <w:rPr>
            <w:noProof/>
            <w:webHidden/>
          </w:rPr>
          <w:t>104</w:t>
        </w:r>
        <w:r w:rsidR="006838B7">
          <w:rPr>
            <w:noProof/>
            <w:webHidden/>
          </w:rPr>
          <w:fldChar w:fldCharType="end"/>
        </w:r>
      </w:hyperlink>
    </w:p>
    <w:p w14:paraId="3D6666DA" w14:textId="12BF7EBC" w:rsidR="006838B7" w:rsidRDefault="00BF6ADA">
      <w:pPr>
        <w:pStyle w:val="TOC2"/>
        <w:tabs>
          <w:tab w:val="right" w:leader="dot" w:pos="7927"/>
        </w:tabs>
        <w:rPr>
          <w:rFonts w:eastAsiaTheme="minorEastAsia"/>
          <w:noProof/>
        </w:rPr>
      </w:pPr>
      <w:hyperlink w:anchor="_Toc214875881" w:history="1">
        <w:r w:rsidR="006838B7" w:rsidRPr="00EA73A4">
          <w:rPr>
            <w:rStyle w:val="Hyperlink"/>
            <w:noProof/>
          </w:rPr>
          <w:t>4.9 Conclusion</w:t>
        </w:r>
        <w:r w:rsidR="006838B7">
          <w:rPr>
            <w:noProof/>
            <w:webHidden/>
          </w:rPr>
          <w:tab/>
        </w:r>
        <w:r w:rsidR="006838B7">
          <w:rPr>
            <w:noProof/>
            <w:webHidden/>
          </w:rPr>
          <w:fldChar w:fldCharType="begin"/>
        </w:r>
        <w:r w:rsidR="006838B7">
          <w:rPr>
            <w:noProof/>
            <w:webHidden/>
          </w:rPr>
          <w:instrText xml:space="preserve"> PAGEREF _Toc214875881 \h </w:instrText>
        </w:r>
        <w:r w:rsidR="006838B7">
          <w:rPr>
            <w:noProof/>
            <w:webHidden/>
          </w:rPr>
        </w:r>
        <w:r w:rsidR="006838B7">
          <w:rPr>
            <w:noProof/>
            <w:webHidden/>
          </w:rPr>
          <w:fldChar w:fldCharType="separate"/>
        </w:r>
        <w:r w:rsidR="006838B7">
          <w:rPr>
            <w:noProof/>
            <w:webHidden/>
          </w:rPr>
          <w:t>105</w:t>
        </w:r>
        <w:r w:rsidR="006838B7">
          <w:rPr>
            <w:noProof/>
            <w:webHidden/>
          </w:rPr>
          <w:fldChar w:fldCharType="end"/>
        </w:r>
      </w:hyperlink>
    </w:p>
    <w:p w14:paraId="1C8486C0" w14:textId="011537E9" w:rsidR="006838B7" w:rsidRDefault="00BF6ADA">
      <w:pPr>
        <w:pStyle w:val="TOC1"/>
        <w:tabs>
          <w:tab w:val="right" w:leader="dot" w:pos="7927"/>
        </w:tabs>
        <w:rPr>
          <w:rFonts w:asciiTheme="minorHAnsi" w:eastAsiaTheme="minorEastAsia" w:hAnsiTheme="minorHAnsi"/>
          <w:noProof/>
          <w:color w:val="auto"/>
          <w:sz w:val="22"/>
        </w:rPr>
      </w:pPr>
      <w:hyperlink w:anchor="_Toc214875882" w:history="1">
        <w:r w:rsidR="006838B7" w:rsidRPr="00EA73A4">
          <w:rPr>
            <w:rStyle w:val="Hyperlink"/>
            <w:noProof/>
            <w:lang w:val="en-GB"/>
          </w:rPr>
          <w:t>References</w:t>
        </w:r>
        <w:r w:rsidR="006838B7">
          <w:rPr>
            <w:noProof/>
            <w:webHidden/>
          </w:rPr>
          <w:tab/>
        </w:r>
        <w:r w:rsidR="006838B7">
          <w:rPr>
            <w:noProof/>
            <w:webHidden/>
          </w:rPr>
          <w:fldChar w:fldCharType="begin"/>
        </w:r>
        <w:r w:rsidR="006838B7">
          <w:rPr>
            <w:noProof/>
            <w:webHidden/>
          </w:rPr>
          <w:instrText xml:space="preserve"> PAGEREF _Toc214875882 \h </w:instrText>
        </w:r>
        <w:r w:rsidR="006838B7">
          <w:rPr>
            <w:noProof/>
            <w:webHidden/>
          </w:rPr>
        </w:r>
        <w:r w:rsidR="006838B7">
          <w:rPr>
            <w:noProof/>
            <w:webHidden/>
          </w:rPr>
          <w:fldChar w:fldCharType="separate"/>
        </w:r>
        <w:r w:rsidR="006838B7">
          <w:rPr>
            <w:noProof/>
            <w:webHidden/>
          </w:rPr>
          <w:t>107</w:t>
        </w:r>
        <w:r w:rsidR="006838B7">
          <w:rPr>
            <w:noProof/>
            <w:webHidden/>
          </w:rPr>
          <w:fldChar w:fldCharType="end"/>
        </w:r>
      </w:hyperlink>
    </w:p>
    <w:p w14:paraId="2853EDA1" w14:textId="23322727" w:rsidR="00285E79" w:rsidRDefault="006838B7" w:rsidP="00AA672C">
      <w:pPr>
        <w:spacing w:line="240" w:lineRule="auto"/>
        <w:ind w:left="1080"/>
        <w:jc w:val="both"/>
        <w:rPr>
          <w:rFonts w:asciiTheme="majorBidi" w:hAnsiTheme="majorBidi" w:cstheme="majorBidi"/>
          <w:b/>
          <w:bCs/>
          <w:sz w:val="24"/>
          <w:szCs w:val="24"/>
          <w:lang w:val="en-GB"/>
        </w:rPr>
      </w:pPr>
      <w:r>
        <w:rPr>
          <w:rFonts w:asciiTheme="majorBidi" w:hAnsiTheme="majorBidi" w:cstheme="majorBidi"/>
          <w:b/>
          <w:bCs/>
          <w:sz w:val="24"/>
          <w:szCs w:val="24"/>
          <w:lang w:val="en-GB"/>
        </w:rPr>
        <w:fldChar w:fldCharType="end"/>
      </w:r>
    </w:p>
    <w:p w14:paraId="3C813D1B" w14:textId="52DE4774" w:rsidR="006838B7" w:rsidRDefault="006838B7" w:rsidP="00AA672C">
      <w:pPr>
        <w:spacing w:line="240" w:lineRule="auto"/>
        <w:ind w:left="1080"/>
        <w:jc w:val="both"/>
        <w:rPr>
          <w:rFonts w:asciiTheme="majorBidi" w:hAnsiTheme="majorBidi" w:cstheme="majorBidi"/>
          <w:b/>
          <w:bCs/>
          <w:sz w:val="24"/>
          <w:szCs w:val="24"/>
          <w:lang w:val="en-GB"/>
        </w:rPr>
      </w:pPr>
    </w:p>
    <w:p w14:paraId="34681E22" w14:textId="1958D4E5" w:rsidR="006838B7" w:rsidRDefault="006838B7" w:rsidP="00AA672C">
      <w:pPr>
        <w:spacing w:line="240" w:lineRule="auto"/>
        <w:ind w:left="1080"/>
        <w:jc w:val="both"/>
        <w:rPr>
          <w:rFonts w:asciiTheme="majorBidi" w:hAnsiTheme="majorBidi" w:cstheme="majorBidi"/>
          <w:b/>
          <w:bCs/>
          <w:sz w:val="24"/>
          <w:szCs w:val="24"/>
          <w:lang w:val="en-GB"/>
        </w:rPr>
      </w:pPr>
    </w:p>
    <w:p w14:paraId="7FEC2729" w14:textId="21A74529" w:rsidR="006838B7" w:rsidRDefault="006838B7" w:rsidP="00AA672C">
      <w:pPr>
        <w:spacing w:line="240" w:lineRule="auto"/>
        <w:ind w:left="1080"/>
        <w:jc w:val="both"/>
        <w:rPr>
          <w:rFonts w:asciiTheme="majorBidi" w:hAnsiTheme="majorBidi" w:cstheme="majorBidi"/>
          <w:b/>
          <w:bCs/>
          <w:sz w:val="24"/>
          <w:szCs w:val="24"/>
          <w:lang w:val="en-GB"/>
        </w:rPr>
      </w:pPr>
    </w:p>
    <w:p w14:paraId="2914F3B6" w14:textId="23D66157" w:rsidR="006838B7" w:rsidRDefault="006838B7" w:rsidP="00AA672C">
      <w:pPr>
        <w:spacing w:line="240" w:lineRule="auto"/>
        <w:ind w:left="1080"/>
        <w:jc w:val="both"/>
        <w:rPr>
          <w:rFonts w:asciiTheme="majorBidi" w:hAnsiTheme="majorBidi" w:cstheme="majorBidi"/>
          <w:b/>
          <w:bCs/>
          <w:sz w:val="24"/>
          <w:szCs w:val="24"/>
          <w:lang w:val="en-GB"/>
        </w:rPr>
      </w:pPr>
    </w:p>
    <w:p w14:paraId="7261005F" w14:textId="0E583E71" w:rsidR="006838B7" w:rsidRDefault="006838B7" w:rsidP="00AA672C">
      <w:pPr>
        <w:spacing w:line="240" w:lineRule="auto"/>
        <w:ind w:left="1080"/>
        <w:jc w:val="both"/>
        <w:rPr>
          <w:rFonts w:asciiTheme="majorBidi" w:hAnsiTheme="majorBidi" w:cstheme="majorBidi"/>
          <w:b/>
          <w:bCs/>
          <w:sz w:val="24"/>
          <w:szCs w:val="24"/>
          <w:lang w:val="en-GB"/>
        </w:rPr>
      </w:pPr>
    </w:p>
    <w:p w14:paraId="6A602753" w14:textId="05D196CA" w:rsidR="006838B7" w:rsidRDefault="006838B7" w:rsidP="00AA672C">
      <w:pPr>
        <w:spacing w:line="240" w:lineRule="auto"/>
        <w:ind w:left="1080"/>
        <w:jc w:val="both"/>
        <w:rPr>
          <w:rFonts w:asciiTheme="majorBidi" w:hAnsiTheme="majorBidi" w:cstheme="majorBidi"/>
          <w:b/>
          <w:bCs/>
          <w:sz w:val="24"/>
          <w:szCs w:val="24"/>
          <w:lang w:val="en-GB"/>
        </w:rPr>
      </w:pPr>
    </w:p>
    <w:p w14:paraId="54926B9E" w14:textId="10377AFF" w:rsidR="006838B7" w:rsidRDefault="006838B7" w:rsidP="00AA672C">
      <w:pPr>
        <w:spacing w:line="240" w:lineRule="auto"/>
        <w:ind w:left="1080"/>
        <w:jc w:val="both"/>
        <w:rPr>
          <w:rFonts w:asciiTheme="majorBidi" w:hAnsiTheme="majorBidi" w:cstheme="majorBidi"/>
          <w:b/>
          <w:bCs/>
          <w:sz w:val="24"/>
          <w:szCs w:val="24"/>
          <w:lang w:val="en-GB"/>
        </w:rPr>
      </w:pPr>
    </w:p>
    <w:p w14:paraId="3B764002" w14:textId="42826F7B" w:rsidR="006838B7" w:rsidRDefault="006838B7" w:rsidP="00AA672C">
      <w:pPr>
        <w:spacing w:line="240" w:lineRule="auto"/>
        <w:ind w:left="1080"/>
        <w:jc w:val="both"/>
        <w:rPr>
          <w:rFonts w:asciiTheme="majorBidi" w:hAnsiTheme="majorBidi" w:cstheme="majorBidi"/>
          <w:b/>
          <w:bCs/>
          <w:sz w:val="24"/>
          <w:szCs w:val="24"/>
          <w:lang w:val="en-GB"/>
        </w:rPr>
      </w:pPr>
    </w:p>
    <w:p w14:paraId="20FBAAF6" w14:textId="71DA5AB5" w:rsidR="006838B7" w:rsidRDefault="006838B7" w:rsidP="00AA672C">
      <w:pPr>
        <w:spacing w:line="240" w:lineRule="auto"/>
        <w:ind w:left="1080"/>
        <w:jc w:val="both"/>
        <w:rPr>
          <w:rFonts w:asciiTheme="majorBidi" w:hAnsiTheme="majorBidi" w:cstheme="majorBidi"/>
          <w:b/>
          <w:bCs/>
          <w:sz w:val="24"/>
          <w:szCs w:val="24"/>
          <w:lang w:val="en-GB"/>
        </w:rPr>
      </w:pPr>
    </w:p>
    <w:p w14:paraId="60D6CC8F" w14:textId="2B727F10" w:rsidR="006838B7" w:rsidRDefault="006838B7" w:rsidP="00AA672C">
      <w:pPr>
        <w:spacing w:line="240" w:lineRule="auto"/>
        <w:ind w:left="1080"/>
        <w:jc w:val="both"/>
        <w:rPr>
          <w:rFonts w:asciiTheme="majorBidi" w:hAnsiTheme="majorBidi" w:cstheme="majorBidi"/>
          <w:b/>
          <w:bCs/>
          <w:sz w:val="24"/>
          <w:szCs w:val="24"/>
          <w:lang w:val="en-GB"/>
        </w:rPr>
      </w:pPr>
    </w:p>
    <w:p w14:paraId="62815EFA" w14:textId="182598AE" w:rsidR="006838B7" w:rsidRDefault="006838B7" w:rsidP="00AA672C">
      <w:pPr>
        <w:spacing w:line="240" w:lineRule="auto"/>
        <w:ind w:left="1080"/>
        <w:jc w:val="both"/>
        <w:rPr>
          <w:rFonts w:asciiTheme="majorBidi" w:hAnsiTheme="majorBidi" w:cstheme="majorBidi"/>
          <w:b/>
          <w:bCs/>
          <w:sz w:val="24"/>
          <w:szCs w:val="24"/>
          <w:lang w:val="en-GB"/>
        </w:rPr>
      </w:pPr>
    </w:p>
    <w:p w14:paraId="755F0859" w14:textId="59D046ED" w:rsidR="006838B7" w:rsidRDefault="006838B7" w:rsidP="00AA672C">
      <w:pPr>
        <w:spacing w:line="240" w:lineRule="auto"/>
        <w:ind w:left="1080"/>
        <w:jc w:val="both"/>
        <w:rPr>
          <w:rFonts w:asciiTheme="majorBidi" w:hAnsiTheme="majorBidi" w:cstheme="majorBidi"/>
          <w:b/>
          <w:bCs/>
          <w:sz w:val="24"/>
          <w:szCs w:val="24"/>
          <w:lang w:val="en-GB"/>
        </w:rPr>
      </w:pPr>
    </w:p>
    <w:p w14:paraId="263DD109" w14:textId="2C88FF11" w:rsidR="006838B7" w:rsidRDefault="006838B7" w:rsidP="00AA672C">
      <w:pPr>
        <w:spacing w:line="240" w:lineRule="auto"/>
        <w:ind w:left="1080"/>
        <w:jc w:val="both"/>
        <w:rPr>
          <w:rFonts w:asciiTheme="majorBidi" w:hAnsiTheme="majorBidi" w:cstheme="majorBidi"/>
          <w:b/>
          <w:bCs/>
          <w:sz w:val="24"/>
          <w:szCs w:val="24"/>
          <w:lang w:val="en-GB"/>
        </w:rPr>
      </w:pPr>
    </w:p>
    <w:p w14:paraId="1EADFCE1" w14:textId="13CB0514" w:rsidR="006838B7" w:rsidRDefault="006838B7" w:rsidP="00AA672C">
      <w:pPr>
        <w:spacing w:line="240" w:lineRule="auto"/>
        <w:ind w:left="1080"/>
        <w:jc w:val="both"/>
        <w:rPr>
          <w:rFonts w:asciiTheme="majorBidi" w:hAnsiTheme="majorBidi" w:cstheme="majorBidi"/>
          <w:b/>
          <w:bCs/>
          <w:sz w:val="24"/>
          <w:szCs w:val="24"/>
          <w:lang w:val="en-GB"/>
        </w:rPr>
      </w:pPr>
    </w:p>
    <w:p w14:paraId="6E8E92B9" w14:textId="6E9FC7D4" w:rsidR="006838B7" w:rsidRDefault="006838B7" w:rsidP="00AA672C">
      <w:pPr>
        <w:spacing w:line="240" w:lineRule="auto"/>
        <w:ind w:left="1080"/>
        <w:jc w:val="both"/>
        <w:rPr>
          <w:rFonts w:asciiTheme="majorBidi" w:hAnsiTheme="majorBidi" w:cstheme="majorBidi"/>
          <w:b/>
          <w:bCs/>
          <w:sz w:val="24"/>
          <w:szCs w:val="24"/>
          <w:lang w:val="en-GB"/>
        </w:rPr>
      </w:pPr>
    </w:p>
    <w:p w14:paraId="02C1FD57" w14:textId="6720A6AE" w:rsidR="006838B7" w:rsidRDefault="006838B7" w:rsidP="00AA672C">
      <w:pPr>
        <w:spacing w:line="240" w:lineRule="auto"/>
        <w:ind w:left="1080"/>
        <w:jc w:val="both"/>
        <w:rPr>
          <w:rFonts w:asciiTheme="majorBidi" w:hAnsiTheme="majorBidi" w:cstheme="majorBidi"/>
          <w:b/>
          <w:bCs/>
          <w:sz w:val="24"/>
          <w:szCs w:val="24"/>
          <w:lang w:val="en-GB"/>
        </w:rPr>
      </w:pPr>
    </w:p>
    <w:p w14:paraId="6AA74444" w14:textId="2DF2DA7E" w:rsidR="006838B7" w:rsidRDefault="006838B7" w:rsidP="00AA672C">
      <w:pPr>
        <w:spacing w:line="240" w:lineRule="auto"/>
        <w:ind w:left="1080"/>
        <w:jc w:val="both"/>
        <w:rPr>
          <w:rFonts w:asciiTheme="majorBidi" w:hAnsiTheme="majorBidi" w:cstheme="majorBidi"/>
          <w:b/>
          <w:bCs/>
          <w:sz w:val="24"/>
          <w:szCs w:val="24"/>
          <w:lang w:val="en-GB"/>
        </w:rPr>
      </w:pPr>
    </w:p>
    <w:p w14:paraId="58B4DBEE" w14:textId="2D66103B" w:rsidR="006838B7" w:rsidRDefault="006838B7" w:rsidP="00AA672C">
      <w:pPr>
        <w:spacing w:line="240" w:lineRule="auto"/>
        <w:ind w:left="1080"/>
        <w:jc w:val="both"/>
        <w:rPr>
          <w:rFonts w:asciiTheme="majorBidi" w:hAnsiTheme="majorBidi" w:cstheme="majorBidi"/>
          <w:b/>
          <w:bCs/>
          <w:sz w:val="24"/>
          <w:szCs w:val="24"/>
          <w:lang w:val="en-GB"/>
        </w:rPr>
      </w:pPr>
    </w:p>
    <w:p w14:paraId="1B9E1CA2" w14:textId="6285C193" w:rsidR="003F117C" w:rsidRDefault="003F117C" w:rsidP="006838B7">
      <w:pPr>
        <w:spacing w:line="360" w:lineRule="auto"/>
        <w:jc w:val="both"/>
        <w:rPr>
          <w:rFonts w:asciiTheme="majorBidi" w:hAnsiTheme="majorBidi" w:cstheme="majorBidi"/>
          <w:b/>
          <w:bCs/>
          <w:sz w:val="24"/>
          <w:szCs w:val="24"/>
        </w:rPr>
      </w:pPr>
    </w:p>
    <w:p w14:paraId="20877359" w14:textId="77777777" w:rsidR="00890742" w:rsidRDefault="00890742" w:rsidP="00F4382F">
      <w:pPr>
        <w:spacing w:line="360" w:lineRule="auto"/>
        <w:ind w:left="1080"/>
        <w:jc w:val="both"/>
        <w:rPr>
          <w:rFonts w:asciiTheme="majorBidi" w:hAnsiTheme="majorBidi" w:cstheme="majorBidi"/>
          <w:b/>
          <w:bCs/>
          <w:sz w:val="24"/>
          <w:szCs w:val="24"/>
        </w:rPr>
      </w:pPr>
    </w:p>
    <w:p w14:paraId="2BACBF0A" w14:textId="77777777" w:rsidR="00890742" w:rsidRDefault="00890742" w:rsidP="00F4382F">
      <w:pPr>
        <w:spacing w:line="360" w:lineRule="auto"/>
        <w:ind w:left="1080"/>
        <w:jc w:val="both"/>
        <w:rPr>
          <w:rFonts w:asciiTheme="majorBidi" w:hAnsiTheme="majorBidi" w:cstheme="majorBidi"/>
          <w:b/>
          <w:bCs/>
          <w:sz w:val="24"/>
          <w:szCs w:val="24"/>
        </w:rPr>
      </w:pPr>
    </w:p>
    <w:p w14:paraId="64A08618" w14:textId="77777777" w:rsidR="00890742" w:rsidRDefault="00890742" w:rsidP="00F4382F">
      <w:pPr>
        <w:spacing w:line="360" w:lineRule="auto"/>
        <w:ind w:left="1080"/>
        <w:jc w:val="both"/>
        <w:rPr>
          <w:rFonts w:asciiTheme="majorBidi" w:hAnsiTheme="majorBidi" w:cstheme="majorBidi"/>
          <w:b/>
          <w:bCs/>
          <w:sz w:val="24"/>
          <w:szCs w:val="24"/>
        </w:rPr>
      </w:pPr>
    </w:p>
    <w:p w14:paraId="620FC7D3" w14:textId="77777777" w:rsidR="00890742" w:rsidRDefault="00890742" w:rsidP="00F4382F">
      <w:pPr>
        <w:spacing w:line="360" w:lineRule="auto"/>
        <w:ind w:left="1080"/>
        <w:jc w:val="both"/>
        <w:rPr>
          <w:rFonts w:asciiTheme="majorBidi" w:hAnsiTheme="majorBidi" w:cstheme="majorBidi"/>
          <w:b/>
          <w:bCs/>
          <w:sz w:val="24"/>
          <w:szCs w:val="24"/>
        </w:rPr>
      </w:pPr>
    </w:p>
    <w:p w14:paraId="448E6572" w14:textId="7D452E57" w:rsidR="00F4382F" w:rsidRDefault="00F4382F" w:rsidP="00F4382F">
      <w:pPr>
        <w:spacing w:line="360" w:lineRule="auto"/>
        <w:ind w:left="1080"/>
        <w:jc w:val="both"/>
        <w:rPr>
          <w:rFonts w:asciiTheme="majorBidi" w:hAnsiTheme="majorBidi" w:cstheme="majorBidi"/>
          <w:b/>
          <w:bCs/>
          <w:sz w:val="24"/>
          <w:szCs w:val="24"/>
        </w:rPr>
      </w:pPr>
      <w:r w:rsidRPr="00F4382F">
        <w:rPr>
          <w:rFonts w:asciiTheme="majorBidi" w:hAnsiTheme="majorBidi" w:cstheme="majorBidi"/>
          <w:b/>
          <w:bCs/>
          <w:sz w:val="24"/>
          <w:szCs w:val="24"/>
        </w:rPr>
        <w:lastRenderedPageBreak/>
        <w:t>List of Abbreviations</w:t>
      </w:r>
    </w:p>
    <w:p w14:paraId="6569F063" w14:textId="77777777" w:rsidR="00ED7F55" w:rsidRPr="00ED7F55" w:rsidRDefault="00ED7F55" w:rsidP="005A6A0C">
      <w:pPr>
        <w:spacing w:line="360" w:lineRule="auto"/>
        <w:ind w:left="1080"/>
        <w:rPr>
          <w:rFonts w:asciiTheme="majorBidi" w:hAnsiTheme="majorBidi" w:cstheme="majorBidi"/>
          <w:sz w:val="24"/>
          <w:szCs w:val="24"/>
        </w:rPr>
      </w:pPr>
      <w:bookmarkStart w:id="2" w:name="_Hlk206587751"/>
      <w:r w:rsidRPr="00ED7F55">
        <w:rPr>
          <w:rFonts w:asciiTheme="majorBidi" w:hAnsiTheme="majorBidi" w:cstheme="majorBidi"/>
          <w:sz w:val="24"/>
          <w:szCs w:val="24"/>
        </w:rPr>
        <w:t>ACC — Anterior Cingulate Cortex</w:t>
      </w:r>
      <w:r w:rsidRPr="00ED7F55">
        <w:rPr>
          <w:rFonts w:asciiTheme="majorBidi" w:hAnsiTheme="majorBidi" w:cstheme="majorBidi"/>
          <w:sz w:val="24"/>
          <w:szCs w:val="24"/>
        </w:rPr>
        <w:br/>
        <w:t>AD — Alzheimer’s Disease</w:t>
      </w:r>
      <w:r w:rsidRPr="00ED7F55">
        <w:rPr>
          <w:rFonts w:asciiTheme="majorBidi" w:hAnsiTheme="majorBidi" w:cstheme="majorBidi"/>
          <w:sz w:val="24"/>
          <w:szCs w:val="24"/>
        </w:rPr>
        <w:br/>
        <w:t>Aβ — Amyloid-beta</w:t>
      </w:r>
      <w:r w:rsidRPr="00ED7F55">
        <w:rPr>
          <w:rFonts w:asciiTheme="majorBidi" w:hAnsiTheme="majorBidi" w:cstheme="majorBidi"/>
          <w:sz w:val="24"/>
          <w:szCs w:val="24"/>
        </w:rPr>
        <w:br/>
        <w:t>ALS — Amyotrophic Lateral Sclerosis</w:t>
      </w:r>
      <w:r w:rsidRPr="00ED7F55">
        <w:rPr>
          <w:rFonts w:asciiTheme="majorBidi" w:hAnsiTheme="majorBidi" w:cstheme="majorBidi"/>
          <w:sz w:val="24"/>
          <w:szCs w:val="24"/>
        </w:rPr>
        <w:br/>
        <w:t>ABET II — Animal Behaviour Environment Test (Lafayette Instrument Company)</w:t>
      </w:r>
      <w:r w:rsidRPr="00ED7F55">
        <w:rPr>
          <w:rFonts w:asciiTheme="majorBidi" w:hAnsiTheme="majorBidi" w:cstheme="majorBidi"/>
          <w:sz w:val="24"/>
          <w:szCs w:val="24"/>
        </w:rPr>
        <w:br/>
        <w:t>ATP — Adenosine Triphosphate</w:t>
      </w:r>
      <w:r w:rsidRPr="00ED7F55">
        <w:rPr>
          <w:rFonts w:asciiTheme="majorBidi" w:hAnsiTheme="majorBidi" w:cstheme="majorBidi"/>
          <w:sz w:val="24"/>
          <w:szCs w:val="24"/>
        </w:rPr>
        <w:br/>
        <w:t>BBB — Blood–Brain Barrier</w:t>
      </w:r>
      <w:r w:rsidRPr="00ED7F55">
        <w:rPr>
          <w:rFonts w:asciiTheme="majorBidi" w:hAnsiTheme="majorBidi" w:cstheme="majorBidi"/>
          <w:sz w:val="24"/>
          <w:szCs w:val="24"/>
        </w:rPr>
        <w:br/>
        <w:t>BDNF — Brain-Derived Neurotrophic Factor</w:t>
      </w:r>
      <w:r w:rsidRPr="00ED7F55">
        <w:rPr>
          <w:rFonts w:asciiTheme="majorBidi" w:hAnsiTheme="majorBidi" w:cstheme="majorBidi"/>
          <w:sz w:val="24"/>
          <w:szCs w:val="24"/>
        </w:rPr>
        <w:br/>
        <w:t>BLA — Basolateral Amygdala</w:t>
      </w:r>
      <w:r w:rsidRPr="00ED7F55">
        <w:rPr>
          <w:rFonts w:asciiTheme="majorBidi" w:hAnsiTheme="majorBidi" w:cstheme="majorBidi"/>
          <w:sz w:val="24"/>
          <w:szCs w:val="24"/>
        </w:rPr>
        <w:br/>
        <w:t>CANTAB — Cambridge Neuropsychological Test Automated Battery</w:t>
      </w:r>
      <w:r w:rsidRPr="00ED7F55">
        <w:rPr>
          <w:rFonts w:asciiTheme="majorBidi" w:hAnsiTheme="majorBidi" w:cstheme="majorBidi"/>
          <w:sz w:val="24"/>
          <w:szCs w:val="24"/>
        </w:rPr>
        <w:br/>
        <w:t>CNS — Central Nervous System</w:t>
      </w:r>
      <w:r w:rsidRPr="00ED7F55">
        <w:rPr>
          <w:rFonts w:asciiTheme="majorBidi" w:hAnsiTheme="majorBidi" w:cstheme="majorBidi"/>
          <w:sz w:val="24"/>
          <w:szCs w:val="24"/>
        </w:rPr>
        <w:br/>
        <w:t>COGS — Consortium on the Genetics of Schizophrenia</w:t>
      </w:r>
      <w:r w:rsidRPr="00ED7F55">
        <w:rPr>
          <w:rFonts w:asciiTheme="majorBidi" w:hAnsiTheme="majorBidi" w:cstheme="majorBidi"/>
          <w:sz w:val="24"/>
          <w:szCs w:val="24"/>
        </w:rPr>
        <w:br/>
        <w:t>CPT — Continuous Performance Task</w:t>
      </w:r>
      <w:r w:rsidRPr="00ED7F55">
        <w:rPr>
          <w:rFonts w:asciiTheme="majorBidi" w:hAnsiTheme="majorBidi" w:cstheme="majorBidi"/>
          <w:sz w:val="24"/>
          <w:szCs w:val="24"/>
        </w:rPr>
        <w:br/>
        <w:t>CSF — Cerebrospinal Fluid</w:t>
      </w:r>
      <w:r w:rsidRPr="00ED7F55">
        <w:rPr>
          <w:rFonts w:asciiTheme="majorBidi" w:hAnsiTheme="majorBidi" w:cstheme="majorBidi"/>
          <w:sz w:val="24"/>
          <w:szCs w:val="24"/>
        </w:rPr>
        <w:br/>
        <w:t>dPAL — Different Paired Associates Learning</w:t>
      </w:r>
      <w:r w:rsidRPr="00ED7F55">
        <w:rPr>
          <w:rFonts w:asciiTheme="majorBidi" w:hAnsiTheme="majorBidi" w:cstheme="majorBidi"/>
          <w:sz w:val="24"/>
          <w:szCs w:val="24"/>
        </w:rPr>
        <w:br/>
        <w:t>DLG2 — Discs Large MAGUK Scaffold Protein 2</w:t>
      </w:r>
      <w:r w:rsidRPr="00ED7F55">
        <w:rPr>
          <w:rFonts w:asciiTheme="majorBidi" w:hAnsiTheme="majorBidi" w:cstheme="majorBidi"/>
          <w:sz w:val="24"/>
          <w:szCs w:val="24"/>
        </w:rPr>
        <w:br/>
        <w:t>DLPFC — Dorsolateral Prefrontal Cortex</w:t>
      </w:r>
      <w:r w:rsidRPr="00ED7F55">
        <w:rPr>
          <w:rFonts w:asciiTheme="majorBidi" w:hAnsiTheme="majorBidi" w:cstheme="majorBidi"/>
          <w:sz w:val="24"/>
          <w:szCs w:val="24"/>
        </w:rPr>
        <w:br/>
        <w:t>DNA/RNA — Deoxyribonucleic Acid / Ribonucleic Acid</w:t>
      </w:r>
      <w:r w:rsidRPr="00ED7F55">
        <w:rPr>
          <w:rFonts w:asciiTheme="majorBidi" w:hAnsiTheme="majorBidi" w:cstheme="majorBidi"/>
          <w:sz w:val="24"/>
          <w:szCs w:val="24"/>
        </w:rPr>
        <w:br/>
        <w:t>EAE — Experimental Autoimmune Encephalomyelitis</w:t>
      </w:r>
      <w:r w:rsidRPr="00ED7F55">
        <w:rPr>
          <w:rFonts w:asciiTheme="majorBidi" w:hAnsiTheme="majorBidi" w:cstheme="majorBidi"/>
          <w:sz w:val="24"/>
          <w:szCs w:val="24"/>
        </w:rPr>
        <w:br/>
        <w:t>EEG — Electroencephalography</w:t>
      </w:r>
      <w:r w:rsidRPr="00ED7F55">
        <w:rPr>
          <w:rFonts w:asciiTheme="majorBidi" w:hAnsiTheme="majorBidi" w:cstheme="majorBidi"/>
          <w:sz w:val="24"/>
          <w:szCs w:val="24"/>
        </w:rPr>
        <w:br/>
        <w:t>fMRI — Functional Magnetic Resonance Imaging</w:t>
      </w:r>
      <w:r w:rsidRPr="00ED7F55">
        <w:rPr>
          <w:rFonts w:asciiTheme="majorBidi" w:hAnsiTheme="majorBidi" w:cstheme="majorBidi"/>
          <w:sz w:val="24"/>
          <w:szCs w:val="24"/>
        </w:rPr>
        <w:br/>
        <w:t>fNIRS — Functional Near-Infrared Spectroscopy</w:t>
      </w:r>
      <w:r w:rsidRPr="00ED7F55">
        <w:rPr>
          <w:rFonts w:asciiTheme="majorBidi" w:hAnsiTheme="majorBidi" w:cstheme="majorBidi"/>
          <w:sz w:val="24"/>
          <w:szCs w:val="24"/>
        </w:rPr>
        <w:br/>
        <w:t>FTD — Frontotemporal Dementia</w:t>
      </w:r>
      <w:r w:rsidRPr="00ED7F55">
        <w:rPr>
          <w:rFonts w:asciiTheme="majorBidi" w:hAnsiTheme="majorBidi" w:cstheme="majorBidi"/>
          <w:sz w:val="24"/>
          <w:szCs w:val="24"/>
        </w:rPr>
        <w:br/>
        <w:t>GABA — Gamma-Aminobutyric Acid</w:t>
      </w:r>
      <w:r w:rsidRPr="00ED7F55">
        <w:rPr>
          <w:rFonts w:asciiTheme="majorBidi" w:hAnsiTheme="majorBidi" w:cstheme="majorBidi"/>
          <w:sz w:val="24"/>
          <w:szCs w:val="24"/>
        </w:rPr>
        <w:br/>
        <w:t>HD — Huntington’s Disease</w:t>
      </w:r>
      <w:r w:rsidRPr="00ED7F55">
        <w:rPr>
          <w:rFonts w:asciiTheme="majorBidi" w:hAnsiTheme="majorBidi" w:cstheme="majorBidi"/>
          <w:sz w:val="24"/>
          <w:szCs w:val="24"/>
        </w:rPr>
        <w:br/>
        <w:t>HPC — Hippocampus</w:t>
      </w:r>
      <w:r w:rsidRPr="00ED7F55">
        <w:rPr>
          <w:rFonts w:asciiTheme="majorBidi" w:hAnsiTheme="majorBidi" w:cstheme="majorBidi"/>
          <w:sz w:val="24"/>
          <w:szCs w:val="24"/>
        </w:rPr>
        <w:br/>
        <w:t>ID — Identification Number</w:t>
      </w:r>
      <w:r w:rsidRPr="00ED7F55">
        <w:rPr>
          <w:rFonts w:asciiTheme="majorBidi" w:hAnsiTheme="majorBidi" w:cstheme="majorBidi"/>
          <w:sz w:val="24"/>
          <w:szCs w:val="24"/>
        </w:rPr>
        <w:br/>
        <w:t>ITI — Inter-Trial Interval</w:t>
      </w:r>
      <w:r w:rsidRPr="00ED7F55">
        <w:rPr>
          <w:rFonts w:asciiTheme="majorBidi" w:hAnsiTheme="majorBidi" w:cstheme="majorBidi"/>
          <w:sz w:val="24"/>
          <w:szCs w:val="24"/>
        </w:rPr>
        <w:br/>
        <w:t>LD/HDL — Low-Density / High-Density Lipoprotein</w:t>
      </w:r>
      <w:r w:rsidRPr="00ED7F55">
        <w:rPr>
          <w:rFonts w:asciiTheme="majorBidi" w:hAnsiTheme="majorBidi" w:cstheme="majorBidi"/>
          <w:sz w:val="24"/>
          <w:szCs w:val="24"/>
        </w:rPr>
        <w:br/>
        <w:t>MCI — Mild Cognitive Impairment</w:t>
      </w:r>
      <w:r w:rsidRPr="00ED7F55">
        <w:rPr>
          <w:rFonts w:asciiTheme="majorBidi" w:hAnsiTheme="majorBidi" w:cstheme="majorBidi"/>
          <w:sz w:val="24"/>
          <w:szCs w:val="24"/>
        </w:rPr>
        <w:br/>
      </w:r>
      <w:r w:rsidRPr="00ED7F55">
        <w:rPr>
          <w:rFonts w:asciiTheme="majorBidi" w:hAnsiTheme="majorBidi" w:cstheme="majorBidi"/>
          <w:sz w:val="24"/>
          <w:szCs w:val="24"/>
        </w:rPr>
        <w:lastRenderedPageBreak/>
        <w:t>MRI — Magnetic Resonance Imaging</w:t>
      </w:r>
      <w:r w:rsidRPr="00ED7F55">
        <w:rPr>
          <w:rFonts w:asciiTheme="majorBidi" w:hAnsiTheme="majorBidi" w:cstheme="majorBidi"/>
          <w:sz w:val="24"/>
          <w:szCs w:val="24"/>
        </w:rPr>
        <w:br/>
        <w:t>MWM — Morris Water Maze</w:t>
      </w:r>
      <w:r w:rsidRPr="00ED7F55">
        <w:rPr>
          <w:rFonts w:asciiTheme="majorBidi" w:hAnsiTheme="majorBidi" w:cstheme="majorBidi"/>
          <w:sz w:val="24"/>
          <w:szCs w:val="24"/>
        </w:rPr>
        <w:br/>
        <w:t>NDDs — Neurodegenerative Diseases</w:t>
      </w:r>
      <w:r w:rsidRPr="00ED7F55">
        <w:rPr>
          <w:rFonts w:asciiTheme="majorBidi" w:hAnsiTheme="majorBidi" w:cstheme="majorBidi"/>
          <w:sz w:val="24"/>
          <w:szCs w:val="24"/>
        </w:rPr>
        <w:br/>
        <w:t>NFTs — Neurofibrillary Tangles</w:t>
      </w:r>
      <w:r w:rsidRPr="00ED7F55">
        <w:rPr>
          <w:rFonts w:asciiTheme="majorBidi" w:hAnsiTheme="majorBidi" w:cstheme="majorBidi"/>
          <w:sz w:val="24"/>
          <w:szCs w:val="24"/>
        </w:rPr>
        <w:br/>
        <w:t>NMDA — N-Methyl-D-Aspartate</w:t>
      </w:r>
      <w:r w:rsidRPr="00ED7F55">
        <w:rPr>
          <w:rFonts w:asciiTheme="majorBidi" w:hAnsiTheme="majorBidi" w:cstheme="majorBidi"/>
          <w:sz w:val="24"/>
          <w:szCs w:val="24"/>
        </w:rPr>
        <w:br/>
        <w:t>Nrf2/ARE — Nuclear Factor (Erythroid-Derived 2)-Like 2 / Antioxidant Response Element</w:t>
      </w:r>
      <w:r w:rsidRPr="00ED7F55">
        <w:rPr>
          <w:rFonts w:asciiTheme="majorBidi" w:hAnsiTheme="majorBidi" w:cstheme="majorBidi"/>
          <w:sz w:val="24"/>
          <w:szCs w:val="24"/>
        </w:rPr>
        <w:br/>
        <w:t>OFC — Orbitofrontal Cortex</w:t>
      </w:r>
      <w:r w:rsidRPr="00ED7F55">
        <w:rPr>
          <w:rFonts w:asciiTheme="majorBidi" w:hAnsiTheme="majorBidi" w:cstheme="majorBidi"/>
          <w:sz w:val="24"/>
          <w:szCs w:val="24"/>
        </w:rPr>
        <w:br/>
        <w:t>PAL — Paired Associate Learning</w:t>
      </w:r>
      <w:r w:rsidRPr="00ED7F55">
        <w:rPr>
          <w:rFonts w:asciiTheme="majorBidi" w:hAnsiTheme="majorBidi" w:cstheme="majorBidi"/>
          <w:sz w:val="24"/>
          <w:szCs w:val="24"/>
        </w:rPr>
        <w:br/>
        <w:t>PD — Parkinson’s Disease</w:t>
      </w:r>
      <w:r w:rsidRPr="00ED7F55">
        <w:rPr>
          <w:rFonts w:asciiTheme="majorBidi" w:hAnsiTheme="majorBidi" w:cstheme="majorBidi"/>
          <w:sz w:val="24"/>
          <w:szCs w:val="24"/>
        </w:rPr>
        <w:br/>
        <w:t>PFC — Prefrontal Cortex</w:t>
      </w:r>
      <w:r w:rsidRPr="00ED7F55">
        <w:rPr>
          <w:rFonts w:asciiTheme="majorBidi" w:hAnsiTheme="majorBidi" w:cstheme="majorBidi"/>
          <w:sz w:val="24"/>
          <w:szCs w:val="24"/>
        </w:rPr>
        <w:br/>
        <w:t>PGC-1α — Peroxisome Proliferator–Activated Receptor Gamma Coactivator 1-alpha</w:t>
      </w:r>
      <w:r w:rsidRPr="00ED7F55">
        <w:rPr>
          <w:rFonts w:asciiTheme="majorBidi" w:hAnsiTheme="majorBidi" w:cstheme="majorBidi"/>
          <w:sz w:val="24"/>
          <w:szCs w:val="24"/>
        </w:rPr>
        <w:br/>
        <w:t>PPC — Posterior Parietal Cortex</w:t>
      </w:r>
      <w:r w:rsidRPr="00ED7F55">
        <w:rPr>
          <w:rFonts w:asciiTheme="majorBidi" w:hAnsiTheme="majorBidi" w:cstheme="majorBidi"/>
          <w:sz w:val="24"/>
          <w:szCs w:val="24"/>
        </w:rPr>
        <w:br/>
        <w:t>PVD — Pairwise Visual Discrimination</w:t>
      </w:r>
      <w:r w:rsidRPr="00ED7F55">
        <w:rPr>
          <w:rFonts w:asciiTheme="majorBidi" w:hAnsiTheme="majorBidi" w:cstheme="majorBidi"/>
          <w:sz w:val="24"/>
          <w:szCs w:val="24"/>
        </w:rPr>
        <w:br/>
        <w:t>RCT — Randomized Controlled Trial</w:t>
      </w:r>
      <w:r w:rsidRPr="00ED7F55">
        <w:rPr>
          <w:rFonts w:asciiTheme="majorBidi" w:hAnsiTheme="majorBidi" w:cstheme="majorBidi"/>
          <w:sz w:val="24"/>
          <w:szCs w:val="24"/>
        </w:rPr>
        <w:br/>
        <w:t>rCPT — Rodent Continuous Performance Test</w:t>
      </w:r>
      <w:r w:rsidRPr="00ED7F55">
        <w:rPr>
          <w:rFonts w:asciiTheme="majorBidi" w:hAnsiTheme="majorBidi" w:cstheme="majorBidi"/>
          <w:sz w:val="24"/>
          <w:szCs w:val="24"/>
        </w:rPr>
        <w:br/>
        <w:t>RGT — Rodent Gambling Task</w:t>
      </w:r>
      <w:r w:rsidRPr="00ED7F55">
        <w:rPr>
          <w:rFonts w:asciiTheme="majorBidi" w:hAnsiTheme="majorBidi" w:cstheme="majorBidi"/>
          <w:sz w:val="24"/>
          <w:szCs w:val="24"/>
        </w:rPr>
        <w:br/>
        <w:t>RI — Responsivity Index</w:t>
      </w:r>
      <w:r w:rsidRPr="00ED7F55">
        <w:rPr>
          <w:rFonts w:asciiTheme="majorBidi" w:hAnsiTheme="majorBidi" w:cstheme="majorBidi"/>
          <w:sz w:val="24"/>
          <w:szCs w:val="24"/>
        </w:rPr>
        <w:br/>
        <w:t>ROS/RNS — Reactive Oxygen Species / Reactive Nitrogen Species</w:t>
      </w:r>
      <w:r w:rsidRPr="00ED7F55">
        <w:rPr>
          <w:rFonts w:asciiTheme="majorBidi" w:hAnsiTheme="majorBidi" w:cstheme="majorBidi"/>
          <w:sz w:val="24"/>
          <w:szCs w:val="24"/>
        </w:rPr>
        <w:br/>
        <w:t>RT — Reaction Time</w:t>
      </w:r>
      <w:r w:rsidRPr="00ED7F55">
        <w:rPr>
          <w:rFonts w:asciiTheme="majorBidi" w:hAnsiTheme="majorBidi" w:cstheme="majorBidi"/>
          <w:sz w:val="24"/>
          <w:szCs w:val="24"/>
        </w:rPr>
        <w:br/>
        <w:t>S+/S– — Target Stimulus / Non-Target Stimulus</w:t>
      </w:r>
      <w:r w:rsidRPr="00ED7F55">
        <w:rPr>
          <w:rFonts w:asciiTheme="majorBidi" w:hAnsiTheme="majorBidi" w:cstheme="majorBidi"/>
          <w:sz w:val="24"/>
          <w:szCs w:val="24"/>
        </w:rPr>
        <w:br/>
        <w:t>SEM — Standard Error of the Mean</w:t>
      </w:r>
      <w:r w:rsidRPr="00ED7F55">
        <w:rPr>
          <w:rFonts w:asciiTheme="majorBidi" w:hAnsiTheme="majorBidi" w:cstheme="majorBidi"/>
          <w:sz w:val="24"/>
          <w:szCs w:val="24"/>
        </w:rPr>
        <w:br/>
        <w:t>SI — Sensitivity Index</w:t>
      </w:r>
      <w:r w:rsidRPr="00ED7F55">
        <w:rPr>
          <w:rFonts w:asciiTheme="majorBidi" w:hAnsiTheme="majorBidi" w:cstheme="majorBidi"/>
          <w:sz w:val="24"/>
          <w:szCs w:val="24"/>
        </w:rPr>
        <w:br/>
        <w:t>TFAM — Transcription Factor A, Mitochondrial</w:t>
      </w:r>
      <w:r w:rsidRPr="00ED7F55">
        <w:rPr>
          <w:rFonts w:asciiTheme="majorBidi" w:hAnsiTheme="majorBidi" w:cstheme="majorBidi"/>
          <w:sz w:val="24"/>
          <w:szCs w:val="24"/>
        </w:rPr>
        <w:br/>
        <w:t>TUNL — Trial-Unique Nonmatching-to-Location Task</w:t>
      </w:r>
      <w:r w:rsidRPr="00ED7F55">
        <w:rPr>
          <w:rFonts w:asciiTheme="majorBidi" w:hAnsiTheme="majorBidi" w:cstheme="majorBidi"/>
          <w:sz w:val="24"/>
          <w:szCs w:val="24"/>
        </w:rPr>
        <w:br/>
        <w:t>VR — Virtual Reality</w:t>
      </w:r>
      <w:r w:rsidRPr="00ED7F55">
        <w:rPr>
          <w:rFonts w:asciiTheme="majorBidi" w:hAnsiTheme="majorBidi" w:cstheme="majorBidi"/>
          <w:sz w:val="24"/>
          <w:szCs w:val="24"/>
        </w:rPr>
        <w:br/>
        <w:t>WHO — World Health Organization</w:t>
      </w:r>
      <w:r w:rsidRPr="00ED7F55">
        <w:rPr>
          <w:rFonts w:asciiTheme="majorBidi" w:hAnsiTheme="majorBidi" w:cstheme="majorBidi"/>
          <w:sz w:val="24"/>
          <w:szCs w:val="24"/>
        </w:rPr>
        <w:br/>
        <w:t>WM — Working Memory</w:t>
      </w:r>
      <w:r w:rsidRPr="00ED7F55">
        <w:rPr>
          <w:rFonts w:asciiTheme="majorBidi" w:hAnsiTheme="majorBidi" w:cstheme="majorBidi"/>
          <w:sz w:val="24"/>
          <w:szCs w:val="24"/>
        </w:rPr>
        <w:br/>
        <w:t>4-CGT — 4-Choice Gambling Task</w:t>
      </w:r>
    </w:p>
    <w:p w14:paraId="31293BFA" w14:textId="77777777" w:rsidR="00F42AF9" w:rsidRDefault="00F42AF9" w:rsidP="00F4382F">
      <w:pPr>
        <w:spacing w:line="276" w:lineRule="auto"/>
        <w:ind w:left="1080"/>
        <w:jc w:val="both"/>
        <w:rPr>
          <w:rFonts w:asciiTheme="majorBidi" w:hAnsiTheme="majorBidi" w:cstheme="majorBidi"/>
          <w:b/>
          <w:bCs/>
          <w:sz w:val="24"/>
          <w:szCs w:val="24"/>
        </w:rPr>
      </w:pPr>
    </w:p>
    <w:p w14:paraId="508E0F05" w14:textId="77777777" w:rsidR="003715CF" w:rsidRDefault="003715CF" w:rsidP="002361C5">
      <w:pPr>
        <w:spacing w:line="276" w:lineRule="auto"/>
        <w:ind w:left="1080"/>
        <w:jc w:val="both"/>
        <w:rPr>
          <w:rFonts w:asciiTheme="majorBidi" w:hAnsiTheme="majorBidi" w:cstheme="majorBidi"/>
          <w:b/>
          <w:bCs/>
          <w:sz w:val="24"/>
          <w:szCs w:val="24"/>
        </w:rPr>
      </w:pPr>
    </w:p>
    <w:p w14:paraId="0F8BBDF6" w14:textId="2D23C6CA" w:rsidR="002361C5" w:rsidRDefault="002361C5" w:rsidP="002361C5">
      <w:pPr>
        <w:spacing w:line="276" w:lineRule="auto"/>
        <w:ind w:left="1080"/>
        <w:jc w:val="both"/>
        <w:rPr>
          <w:rFonts w:asciiTheme="majorBidi" w:hAnsiTheme="majorBidi" w:cstheme="majorBidi"/>
          <w:b/>
          <w:bCs/>
          <w:sz w:val="24"/>
          <w:szCs w:val="24"/>
        </w:rPr>
      </w:pPr>
      <w:r>
        <w:rPr>
          <w:rFonts w:asciiTheme="majorBidi" w:hAnsiTheme="majorBidi" w:cstheme="majorBidi"/>
          <w:b/>
          <w:bCs/>
          <w:sz w:val="24"/>
          <w:szCs w:val="24"/>
        </w:rPr>
        <w:lastRenderedPageBreak/>
        <w:t>List of figures</w:t>
      </w:r>
    </w:p>
    <w:p w14:paraId="5F09FAB5" w14:textId="7B5DB67E" w:rsidR="002361C5" w:rsidRPr="002B48BE" w:rsidRDefault="002B48BE" w:rsidP="002B48BE">
      <w:pPr>
        <w:spacing w:line="360" w:lineRule="auto"/>
        <w:ind w:left="1080"/>
        <w:rPr>
          <w:rFonts w:asciiTheme="majorBidi" w:hAnsiTheme="majorBidi" w:cstheme="majorBidi"/>
          <w:sz w:val="24"/>
          <w:szCs w:val="24"/>
        </w:rPr>
      </w:pPr>
      <w:r w:rsidRPr="002B48BE">
        <w:rPr>
          <w:rFonts w:asciiTheme="majorBidi" w:hAnsiTheme="majorBidi" w:cstheme="majorBidi"/>
          <w:sz w:val="24"/>
          <w:szCs w:val="24"/>
        </w:rPr>
        <w:t>Figure 1. Second Generation Bussey-Saksida Touch Screen Chamber for mice (Campden Instruments, UK).</w:t>
      </w:r>
      <w:r w:rsidRPr="002B48BE">
        <w:rPr>
          <w:rFonts w:asciiTheme="majorBidi" w:hAnsiTheme="majorBidi" w:cstheme="majorBidi"/>
          <w:sz w:val="24"/>
          <w:szCs w:val="24"/>
        </w:rPr>
        <w:br/>
        <w:t xml:space="preserve">Figure 2. Software environment of the ABET Cognition </w:t>
      </w:r>
      <w:r w:rsidRPr="002B48BE">
        <w:rPr>
          <w:rFonts w:asciiTheme="majorBidi" w:hAnsiTheme="majorBidi" w:cstheme="majorBidi"/>
          <w:sz w:val="24"/>
          <w:szCs w:val="24"/>
        </w:rPr>
        <w:br/>
        <w:t xml:space="preserve">Figure 3. Pairwise visual discrimination (PVD) acquisition and reversal learning </w:t>
      </w:r>
      <w:r w:rsidRPr="002B48BE">
        <w:rPr>
          <w:rFonts w:asciiTheme="majorBidi" w:hAnsiTheme="majorBidi" w:cstheme="majorBidi"/>
          <w:sz w:val="24"/>
          <w:szCs w:val="24"/>
        </w:rPr>
        <w:br/>
        <w:t xml:space="preserve">Figure 4. Paired Associate Learning (PAL) </w:t>
      </w:r>
      <w:r w:rsidRPr="002B48BE">
        <w:rPr>
          <w:rFonts w:asciiTheme="majorBidi" w:hAnsiTheme="majorBidi" w:cstheme="majorBidi"/>
          <w:sz w:val="24"/>
          <w:szCs w:val="24"/>
        </w:rPr>
        <w:br/>
        <w:t>Figure 5. 5-Choice Serial Reaction Time Task (5CSRTT) (Campden Instruments, UK).</w:t>
      </w:r>
      <w:r w:rsidRPr="002B48BE">
        <w:rPr>
          <w:rFonts w:asciiTheme="majorBidi" w:hAnsiTheme="majorBidi" w:cstheme="majorBidi"/>
          <w:sz w:val="24"/>
          <w:szCs w:val="24"/>
        </w:rPr>
        <w:br/>
        <w:t xml:space="preserve">Figure 6. Rodent Continuous Performance Test (rCPT) </w:t>
      </w:r>
      <w:r w:rsidRPr="002B48BE">
        <w:rPr>
          <w:rFonts w:asciiTheme="majorBidi" w:hAnsiTheme="majorBidi" w:cstheme="majorBidi"/>
          <w:sz w:val="24"/>
          <w:szCs w:val="24"/>
        </w:rPr>
        <w:br/>
        <w:t xml:space="preserve">Figure 7. Incentive conditions for each of the four options presented during the gambling task </w:t>
      </w:r>
      <w:r w:rsidRPr="002B48BE">
        <w:rPr>
          <w:rFonts w:asciiTheme="majorBidi" w:hAnsiTheme="majorBidi" w:cstheme="majorBidi"/>
          <w:sz w:val="24"/>
          <w:szCs w:val="24"/>
        </w:rPr>
        <w:br/>
        <w:t xml:space="preserve">Figure 8. Trial schematic for the mouse TUNL task </w:t>
      </w:r>
      <w:r w:rsidRPr="002B48BE">
        <w:rPr>
          <w:rFonts w:asciiTheme="majorBidi" w:hAnsiTheme="majorBidi" w:cstheme="majorBidi"/>
          <w:sz w:val="24"/>
          <w:szCs w:val="24"/>
        </w:rPr>
        <w:br/>
        <w:t>Figure 9. Pairwise visual discrimination (PVD) acquisition and reversal learning in C57BL/6 mice (n = 14).</w:t>
      </w:r>
      <w:r w:rsidRPr="002B48BE">
        <w:rPr>
          <w:rFonts w:asciiTheme="majorBidi" w:hAnsiTheme="majorBidi" w:cstheme="majorBidi"/>
          <w:sz w:val="24"/>
          <w:szCs w:val="24"/>
        </w:rPr>
        <w:br/>
        <w:t>Figure 10. Validation of different paired associates learning (dPAL) performance in C57BL/6 mice.</w:t>
      </w:r>
      <w:r w:rsidRPr="002B48BE">
        <w:rPr>
          <w:rFonts w:asciiTheme="majorBidi" w:hAnsiTheme="majorBidi" w:cstheme="majorBidi"/>
          <w:sz w:val="24"/>
          <w:szCs w:val="24"/>
        </w:rPr>
        <w:br/>
        <w:t>Figure 11. Performance of C57BL/6 mice (n = 14) in the 5-choice serial reaction time task (5-CSRTT).</w:t>
      </w:r>
      <w:r w:rsidRPr="002B48BE">
        <w:rPr>
          <w:rFonts w:asciiTheme="majorBidi" w:hAnsiTheme="majorBidi" w:cstheme="majorBidi"/>
          <w:sz w:val="24"/>
          <w:szCs w:val="24"/>
        </w:rPr>
        <w:br/>
        <w:t>Figure 12. Trial Unique Non-Matching-to-Location (TUNL) performance in C57BL/6 mice (n = 14).</w:t>
      </w:r>
      <w:r w:rsidRPr="002B48BE">
        <w:rPr>
          <w:rFonts w:asciiTheme="majorBidi" w:hAnsiTheme="majorBidi" w:cstheme="majorBidi"/>
          <w:sz w:val="24"/>
          <w:szCs w:val="24"/>
        </w:rPr>
        <w:br/>
        <w:t>Figure 13. Training performance in the rodent Continuous Performance Task (rCPT) in C57BL/6 mice (n = 14).</w:t>
      </w:r>
      <w:r w:rsidRPr="002B48BE">
        <w:rPr>
          <w:rFonts w:asciiTheme="majorBidi" w:hAnsiTheme="majorBidi" w:cstheme="majorBidi"/>
          <w:sz w:val="24"/>
          <w:szCs w:val="24"/>
        </w:rPr>
        <w:br/>
        <w:t>Figure 14. Performance metrics during Stage 3 of the rodent continuous performance task (rCPT) in C57BL/6 mice (n = 14).</w:t>
      </w:r>
      <w:r w:rsidRPr="002B48BE">
        <w:rPr>
          <w:rFonts w:asciiTheme="majorBidi" w:hAnsiTheme="majorBidi" w:cstheme="majorBidi"/>
          <w:sz w:val="24"/>
          <w:szCs w:val="24"/>
        </w:rPr>
        <w:br/>
        <w:t>Figure 15. Performance metrics during Stage 4 of the rodent Continuous Performance Task (rCPT) in C57BL/6 mice (n = 14).</w:t>
      </w:r>
      <w:r w:rsidRPr="002B48BE">
        <w:rPr>
          <w:rFonts w:asciiTheme="majorBidi" w:hAnsiTheme="majorBidi" w:cstheme="majorBidi"/>
          <w:sz w:val="24"/>
          <w:szCs w:val="24"/>
        </w:rPr>
        <w:br/>
        <w:t>Figure 16. Performance in the SD Probe 2 task across variable stimulus durations (1 s, 0.75 s, 0.5 s, 0.25 s).</w:t>
      </w:r>
      <w:r w:rsidRPr="002B48BE">
        <w:rPr>
          <w:rFonts w:asciiTheme="majorBidi" w:hAnsiTheme="majorBidi" w:cstheme="majorBidi"/>
          <w:sz w:val="24"/>
          <w:szCs w:val="24"/>
        </w:rPr>
        <w:br/>
        <w:t>Figure 17. Performance in the Stimulus Contrast Probe.</w:t>
      </w:r>
      <w:r w:rsidRPr="002B48BE">
        <w:rPr>
          <w:rFonts w:asciiTheme="majorBidi" w:hAnsiTheme="majorBidi" w:cstheme="majorBidi"/>
          <w:sz w:val="24"/>
          <w:szCs w:val="24"/>
        </w:rPr>
        <w:br/>
        <w:t>Figure 18. Performance in the Flanker Distractor Probe.</w:t>
      </w:r>
      <w:r w:rsidRPr="002B48BE">
        <w:rPr>
          <w:rFonts w:asciiTheme="majorBidi" w:hAnsiTheme="majorBidi" w:cstheme="majorBidi"/>
          <w:sz w:val="24"/>
          <w:szCs w:val="24"/>
        </w:rPr>
        <w:br/>
        <w:t>Figure 19. Training performance of C57BL/6 mice (n = 14) in the 4-</w:t>
      </w:r>
      <w:r w:rsidRPr="002B48BE">
        <w:rPr>
          <w:rFonts w:asciiTheme="majorBidi" w:hAnsiTheme="majorBidi" w:cstheme="majorBidi"/>
          <w:sz w:val="24"/>
          <w:szCs w:val="24"/>
        </w:rPr>
        <w:lastRenderedPageBreak/>
        <w:t>choice gambling task (4-CGT).</w:t>
      </w:r>
      <w:r w:rsidRPr="002B48BE">
        <w:rPr>
          <w:rFonts w:asciiTheme="majorBidi" w:hAnsiTheme="majorBidi" w:cstheme="majorBidi"/>
          <w:sz w:val="24"/>
          <w:szCs w:val="24"/>
        </w:rPr>
        <w:br/>
        <w:t>Figure 20. Performance of C57BL/6 mice (n = 14) in the forced-choice phase of the 4-choice gambling task (4-CGT).</w:t>
      </w:r>
      <w:r w:rsidRPr="002B48BE">
        <w:rPr>
          <w:rFonts w:asciiTheme="majorBidi" w:hAnsiTheme="majorBidi" w:cstheme="majorBidi"/>
          <w:sz w:val="24"/>
          <w:szCs w:val="24"/>
        </w:rPr>
        <w:br/>
        <w:t>Figure 21. Free-choice performance in the 4-choice gambling task (4-CGT) in C57BL/6 mice (n = 14).</w:t>
      </w:r>
      <w:r w:rsidRPr="002B48BE">
        <w:rPr>
          <w:rFonts w:asciiTheme="majorBidi" w:hAnsiTheme="majorBidi" w:cstheme="majorBidi"/>
          <w:sz w:val="24"/>
          <w:szCs w:val="24"/>
        </w:rPr>
        <w:br/>
        <w:t>Figure 22. Percentage of choices for each response option (P1–P4) across 7 days of the free-choice stage in the mouse gambling task.</w:t>
      </w:r>
      <w:r w:rsidRPr="002B48BE">
        <w:rPr>
          <w:rFonts w:asciiTheme="majorBidi" w:hAnsiTheme="majorBidi" w:cstheme="majorBidi"/>
          <w:sz w:val="24"/>
          <w:szCs w:val="24"/>
        </w:rPr>
        <w:br/>
        <w:t>Figure 23. Performance of mice in the four-choice gambling task (4</w:t>
      </w:r>
      <w:r w:rsidR="00676DF9">
        <w:rPr>
          <w:rFonts w:asciiTheme="majorBidi" w:hAnsiTheme="majorBidi" w:cstheme="majorBidi"/>
          <w:sz w:val="24"/>
          <w:szCs w:val="24"/>
        </w:rPr>
        <w:t>-</w:t>
      </w:r>
      <w:r w:rsidRPr="002B48BE">
        <w:rPr>
          <w:rFonts w:asciiTheme="majorBidi" w:hAnsiTheme="majorBidi" w:cstheme="majorBidi"/>
          <w:sz w:val="24"/>
          <w:szCs w:val="24"/>
        </w:rPr>
        <w:t>CGT) during the 7-day free-choice phase.</w:t>
      </w:r>
    </w:p>
    <w:p w14:paraId="2B263675" w14:textId="77777777" w:rsidR="002B48BE" w:rsidRDefault="002B48BE" w:rsidP="00C80A17">
      <w:pPr>
        <w:ind w:left="1080"/>
        <w:jc w:val="both"/>
        <w:rPr>
          <w:rFonts w:asciiTheme="majorBidi" w:hAnsiTheme="majorBidi" w:cstheme="majorBidi"/>
          <w:b/>
          <w:bCs/>
          <w:sz w:val="24"/>
          <w:szCs w:val="24"/>
          <w:lang w:val="en-GB"/>
        </w:rPr>
      </w:pPr>
    </w:p>
    <w:p w14:paraId="57A52C1D" w14:textId="77777777" w:rsidR="002B48BE" w:rsidRDefault="002B48BE" w:rsidP="00C80A17">
      <w:pPr>
        <w:ind w:left="1080"/>
        <w:jc w:val="both"/>
        <w:rPr>
          <w:rFonts w:asciiTheme="majorBidi" w:hAnsiTheme="majorBidi" w:cstheme="majorBidi"/>
          <w:b/>
          <w:bCs/>
          <w:sz w:val="24"/>
          <w:szCs w:val="24"/>
          <w:lang w:val="en-GB"/>
        </w:rPr>
      </w:pPr>
    </w:p>
    <w:p w14:paraId="17EB7CC5" w14:textId="77777777" w:rsidR="002B48BE" w:rsidRDefault="002B48BE" w:rsidP="00C80A17">
      <w:pPr>
        <w:ind w:left="1080"/>
        <w:jc w:val="both"/>
        <w:rPr>
          <w:rFonts w:asciiTheme="majorBidi" w:hAnsiTheme="majorBidi" w:cstheme="majorBidi"/>
          <w:b/>
          <w:bCs/>
          <w:sz w:val="24"/>
          <w:szCs w:val="24"/>
          <w:lang w:val="en-GB"/>
        </w:rPr>
      </w:pPr>
    </w:p>
    <w:p w14:paraId="64120B41" w14:textId="77777777" w:rsidR="002B48BE" w:rsidRDefault="002B48BE" w:rsidP="00C80A17">
      <w:pPr>
        <w:ind w:left="1080"/>
        <w:jc w:val="both"/>
        <w:rPr>
          <w:rFonts w:asciiTheme="majorBidi" w:hAnsiTheme="majorBidi" w:cstheme="majorBidi"/>
          <w:b/>
          <w:bCs/>
          <w:sz w:val="24"/>
          <w:szCs w:val="24"/>
          <w:lang w:val="en-GB"/>
        </w:rPr>
      </w:pPr>
    </w:p>
    <w:p w14:paraId="66CFE8C2" w14:textId="77777777" w:rsidR="002B48BE" w:rsidRDefault="002B48BE" w:rsidP="00C80A17">
      <w:pPr>
        <w:ind w:left="1080"/>
        <w:jc w:val="both"/>
        <w:rPr>
          <w:rFonts w:asciiTheme="majorBidi" w:hAnsiTheme="majorBidi" w:cstheme="majorBidi"/>
          <w:b/>
          <w:bCs/>
          <w:sz w:val="24"/>
          <w:szCs w:val="24"/>
          <w:lang w:val="en-GB"/>
        </w:rPr>
      </w:pPr>
    </w:p>
    <w:p w14:paraId="0492BA10" w14:textId="77777777" w:rsidR="002B48BE" w:rsidRDefault="002B48BE" w:rsidP="00C80A17">
      <w:pPr>
        <w:ind w:left="1080"/>
        <w:jc w:val="both"/>
        <w:rPr>
          <w:rFonts w:asciiTheme="majorBidi" w:hAnsiTheme="majorBidi" w:cstheme="majorBidi"/>
          <w:b/>
          <w:bCs/>
          <w:sz w:val="24"/>
          <w:szCs w:val="24"/>
          <w:lang w:val="en-GB"/>
        </w:rPr>
      </w:pPr>
    </w:p>
    <w:p w14:paraId="5F00B9D8" w14:textId="77777777" w:rsidR="002B48BE" w:rsidRDefault="002B48BE" w:rsidP="00C80A17">
      <w:pPr>
        <w:ind w:left="1080"/>
        <w:jc w:val="both"/>
        <w:rPr>
          <w:rFonts w:asciiTheme="majorBidi" w:hAnsiTheme="majorBidi" w:cstheme="majorBidi"/>
          <w:b/>
          <w:bCs/>
          <w:sz w:val="24"/>
          <w:szCs w:val="24"/>
          <w:lang w:val="en-GB"/>
        </w:rPr>
      </w:pPr>
    </w:p>
    <w:p w14:paraId="5B71998A" w14:textId="77777777" w:rsidR="002B48BE" w:rsidRDefault="002B48BE" w:rsidP="00C80A17">
      <w:pPr>
        <w:ind w:left="1080"/>
        <w:jc w:val="both"/>
        <w:rPr>
          <w:rFonts w:asciiTheme="majorBidi" w:hAnsiTheme="majorBidi" w:cstheme="majorBidi"/>
          <w:b/>
          <w:bCs/>
          <w:sz w:val="24"/>
          <w:szCs w:val="24"/>
          <w:lang w:val="en-GB"/>
        </w:rPr>
      </w:pPr>
    </w:p>
    <w:p w14:paraId="41009498" w14:textId="77777777" w:rsidR="002B48BE" w:rsidRDefault="002B48BE" w:rsidP="00C80A17">
      <w:pPr>
        <w:ind w:left="1080"/>
        <w:jc w:val="both"/>
        <w:rPr>
          <w:rFonts w:asciiTheme="majorBidi" w:hAnsiTheme="majorBidi" w:cstheme="majorBidi"/>
          <w:b/>
          <w:bCs/>
          <w:sz w:val="24"/>
          <w:szCs w:val="24"/>
          <w:lang w:val="en-GB"/>
        </w:rPr>
      </w:pPr>
    </w:p>
    <w:p w14:paraId="25AFAA54" w14:textId="77777777" w:rsidR="002B48BE" w:rsidRDefault="002B48BE" w:rsidP="00C80A17">
      <w:pPr>
        <w:ind w:left="1080"/>
        <w:jc w:val="both"/>
        <w:rPr>
          <w:rFonts w:asciiTheme="majorBidi" w:hAnsiTheme="majorBidi" w:cstheme="majorBidi"/>
          <w:b/>
          <w:bCs/>
          <w:sz w:val="24"/>
          <w:szCs w:val="24"/>
          <w:lang w:val="en-GB"/>
        </w:rPr>
      </w:pPr>
    </w:p>
    <w:p w14:paraId="52EE9234" w14:textId="77777777" w:rsidR="002B48BE" w:rsidRDefault="002B48BE" w:rsidP="00C80A17">
      <w:pPr>
        <w:ind w:left="1080"/>
        <w:jc w:val="both"/>
        <w:rPr>
          <w:rFonts w:asciiTheme="majorBidi" w:hAnsiTheme="majorBidi" w:cstheme="majorBidi"/>
          <w:b/>
          <w:bCs/>
          <w:sz w:val="24"/>
          <w:szCs w:val="24"/>
          <w:lang w:val="en-GB"/>
        </w:rPr>
      </w:pPr>
    </w:p>
    <w:p w14:paraId="2D9F9EAE" w14:textId="77777777" w:rsidR="002B48BE" w:rsidRDefault="002B48BE" w:rsidP="00C80A17">
      <w:pPr>
        <w:ind w:left="1080"/>
        <w:jc w:val="both"/>
        <w:rPr>
          <w:rFonts w:asciiTheme="majorBidi" w:hAnsiTheme="majorBidi" w:cstheme="majorBidi"/>
          <w:b/>
          <w:bCs/>
          <w:sz w:val="24"/>
          <w:szCs w:val="24"/>
          <w:lang w:val="en-GB"/>
        </w:rPr>
      </w:pPr>
    </w:p>
    <w:p w14:paraId="76EDAA52" w14:textId="77777777" w:rsidR="002B48BE" w:rsidRDefault="002B48BE" w:rsidP="00C80A17">
      <w:pPr>
        <w:ind w:left="1080"/>
        <w:jc w:val="both"/>
        <w:rPr>
          <w:rFonts w:asciiTheme="majorBidi" w:hAnsiTheme="majorBidi" w:cstheme="majorBidi"/>
          <w:b/>
          <w:bCs/>
          <w:sz w:val="24"/>
          <w:szCs w:val="24"/>
          <w:lang w:val="en-GB"/>
        </w:rPr>
      </w:pPr>
    </w:p>
    <w:p w14:paraId="583CEDEC" w14:textId="77777777" w:rsidR="00043C85" w:rsidRDefault="00043C85" w:rsidP="00EF5663">
      <w:pPr>
        <w:jc w:val="both"/>
        <w:rPr>
          <w:rFonts w:asciiTheme="majorBidi" w:hAnsiTheme="majorBidi" w:cstheme="majorBidi"/>
          <w:b/>
          <w:bCs/>
          <w:sz w:val="24"/>
          <w:szCs w:val="24"/>
          <w:lang w:val="en-GB"/>
        </w:rPr>
      </w:pPr>
    </w:p>
    <w:p w14:paraId="0635DE30" w14:textId="77777777" w:rsidR="00505832" w:rsidRDefault="00505832" w:rsidP="00D623DE">
      <w:pPr>
        <w:pStyle w:val="Heading1"/>
        <w:ind w:left="1080"/>
        <w:rPr>
          <w:lang w:val="en-GB"/>
        </w:rPr>
      </w:pPr>
      <w:bookmarkStart w:id="3" w:name="_Toc214875814"/>
    </w:p>
    <w:p w14:paraId="2A7BFB50" w14:textId="69DFA43C" w:rsidR="00505832" w:rsidRDefault="00505832" w:rsidP="00D623DE">
      <w:pPr>
        <w:pStyle w:val="Heading1"/>
        <w:ind w:left="1080"/>
        <w:rPr>
          <w:lang w:val="en-GB"/>
        </w:rPr>
      </w:pPr>
    </w:p>
    <w:p w14:paraId="43AC8AE2" w14:textId="4D58C7F5" w:rsidR="00505832" w:rsidRDefault="00505832" w:rsidP="00505832">
      <w:pPr>
        <w:rPr>
          <w:lang w:val="en-GB"/>
        </w:rPr>
      </w:pPr>
    </w:p>
    <w:p w14:paraId="61FBE342" w14:textId="77777777" w:rsidR="00505832" w:rsidRPr="00505832" w:rsidRDefault="00505832" w:rsidP="00505832">
      <w:pPr>
        <w:rPr>
          <w:lang w:val="en-GB"/>
        </w:rPr>
      </w:pPr>
    </w:p>
    <w:p w14:paraId="2633F700" w14:textId="7164FDBB" w:rsidR="00DF68EE" w:rsidRPr="00F71F57" w:rsidRDefault="00DF68EE" w:rsidP="00D623DE">
      <w:pPr>
        <w:pStyle w:val="Heading1"/>
        <w:ind w:left="1080"/>
        <w:rPr>
          <w:b w:val="0"/>
          <w:lang w:val="en-GB"/>
        </w:rPr>
      </w:pPr>
      <w:r w:rsidRPr="00F71F57">
        <w:rPr>
          <w:lang w:val="en-GB"/>
        </w:rPr>
        <w:lastRenderedPageBreak/>
        <w:t xml:space="preserve">Chapter 1: </w:t>
      </w:r>
      <w:r w:rsidR="002059EF" w:rsidRPr="00F71F57">
        <w:rPr>
          <w:lang w:val="en-GB"/>
        </w:rPr>
        <w:t>General i</w:t>
      </w:r>
      <w:r w:rsidRPr="00F71F57">
        <w:rPr>
          <w:lang w:val="en-GB"/>
        </w:rPr>
        <w:t>ntroduction</w:t>
      </w:r>
      <w:bookmarkEnd w:id="3"/>
    </w:p>
    <w:p w14:paraId="32977B11" w14:textId="055F57B5" w:rsidR="00DF68EE" w:rsidRPr="00D623DE" w:rsidRDefault="00DF68EE" w:rsidP="00D623DE">
      <w:pPr>
        <w:pStyle w:val="Heading2"/>
        <w:ind w:left="1080"/>
        <w:rPr>
          <w:lang w:val="en-GB"/>
        </w:rPr>
      </w:pPr>
      <w:bookmarkStart w:id="4" w:name="_Toc214875815"/>
      <w:r w:rsidRPr="00D623DE">
        <w:rPr>
          <w:lang w:val="en-GB"/>
        </w:rPr>
        <w:t xml:space="preserve">1.1 </w:t>
      </w:r>
      <w:r w:rsidR="00926DCD" w:rsidRPr="00D623DE">
        <w:rPr>
          <w:lang w:val="en-GB"/>
        </w:rPr>
        <w:t>Overview of neurocognitive disorders and the need for novel therapeutic strategies</w:t>
      </w:r>
      <w:bookmarkEnd w:id="4"/>
    </w:p>
    <w:p w14:paraId="62BCFFFF" w14:textId="7C0CBB4E" w:rsidR="00DE1486" w:rsidRPr="00F71F57" w:rsidRDefault="00B61BA9" w:rsidP="00C80A17">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Neurodegeneration </w:t>
      </w:r>
      <w:r w:rsidR="00D8770D" w:rsidRPr="00F71F57">
        <w:rPr>
          <w:rFonts w:asciiTheme="majorBidi" w:hAnsiTheme="majorBidi" w:cstheme="majorBidi"/>
          <w:sz w:val="24"/>
          <w:szCs w:val="24"/>
          <w:lang w:val="en-GB"/>
        </w:rPr>
        <w:t>is</w:t>
      </w:r>
      <w:r w:rsidRPr="00F71F57">
        <w:rPr>
          <w:rFonts w:asciiTheme="majorBidi" w:hAnsiTheme="majorBidi" w:cstheme="majorBidi"/>
          <w:sz w:val="24"/>
          <w:szCs w:val="24"/>
          <w:lang w:val="en-GB"/>
        </w:rPr>
        <w:t xml:space="preserve"> any pathological condition in which neurons progressively lose their structure or function. It encompasses a </w:t>
      </w:r>
      <w:r w:rsidR="00D8770D" w:rsidRPr="00F71F57">
        <w:rPr>
          <w:rFonts w:asciiTheme="majorBidi" w:hAnsiTheme="majorBidi" w:cstheme="majorBidi"/>
          <w:sz w:val="24"/>
          <w:szCs w:val="24"/>
          <w:lang w:val="en-GB"/>
        </w:rPr>
        <w:t>broad</w:t>
      </w:r>
      <w:r w:rsidRPr="00F71F57">
        <w:rPr>
          <w:rFonts w:asciiTheme="majorBidi" w:hAnsiTheme="majorBidi" w:cstheme="majorBidi"/>
          <w:sz w:val="24"/>
          <w:szCs w:val="24"/>
          <w:lang w:val="en-GB"/>
        </w:rPr>
        <w:t xml:space="preserve"> spectrum of diseases, including Alzheimer’s disease (AD), Parkinson’s disease (PD), Huntington’s disease (HD), and amyotrophic lateral sclerosis (ALS). These conditions often present with relentless progression and can be fatal, especially when they compromise vital functions such as respiration. Neurodegenerative diseases (NDDs) are characterized by eight major hallmarks: pathological protein aggregation, synaptic and neuronal network dysfunction, aberrant proteostasis, cytoskeletal abnormalities, altered energy homeostasis, DNA and RNA defects, inflammation, and neuronal cell death. Collectively, these pathological features contribute to the progressive deterioration of neuronal integrity, resulting in impairments in cognition, behavior, motor skills, and sensory processing </w:t>
      </w:r>
      <w:r w:rsidR="00CC05E9" w:rsidRPr="00F71F57">
        <w:rPr>
          <w:rFonts w:asciiTheme="majorBidi" w:hAnsiTheme="majorBidi" w:cstheme="majorBidi"/>
          <w:sz w:val="24"/>
          <w:szCs w:val="24"/>
          <w:lang w:val="en-GB"/>
        </w:rPr>
        <w:fldChar w:fldCharType="begin">
          <w:fldData xml:space="preserve">PEVuZE5vdGU+PENpdGU+PEF1dGhvcj5XaWxzb248L0F1dGhvcj48WWVhcj4yMDIzPC9ZZWFyPjxS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</w:fldData>
        </w:fldChar>
      </w:r>
      <w:r w:rsidR="0040230E" w:rsidRPr="00F71F57">
        <w:rPr>
          <w:rFonts w:asciiTheme="majorBidi" w:hAnsiTheme="majorBidi" w:cstheme="majorBidi"/>
          <w:sz w:val="24"/>
          <w:szCs w:val="24"/>
          <w:lang w:val="en-GB"/>
        </w:rPr>
        <w:instrText xml:space="preserve"> ADDIN EN.CITE </w:instrText>
      </w:r>
      <w:r w:rsidR="0040230E" w:rsidRPr="00F71F57">
        <w:rPr>
          <w:rFonts w:asciiTheme="majorBidi" w:hAnsiTheme="majorBidi" w:cstheme="majorBidi"/>
          <w:sz w:val="24"/>
          <w:szCs w:val="24"/>
          <w:lang w:val="en-GB"/>
        </w:rPr>
        <w:fldChar w:fldCharType="begin">
          <w:fldData xml:space="preserve">PEVuZE5vdGU+PENpdGU+PEF1dGhvcj5XaWxzb248L0F1dGhvcj48WWVhcj4yMDIzPC9ZZWFyPjxS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</w:fldData>
        </w:fldChar>
      </w:r>
      <w:r w:rsidR="0040230E" w:rsidRPr="00F71F57">
        <w:rPr>
          <w:rFonts w:asciiTheme="majorBidi" w:hAnsiTheme="majorBidi" w:cstheme="majorBidi"/>
          <w:sz w:val="24"/>
          <w:szCs w:val="24"/>
          <w:lang w:val="en-GB"/>
        </w:rPr>
        <w:instrText xml:space="preserve"> ADDIN EN.CITE.DATA </w:instrText>
      </w:r>
      <w:r w:rsidR="0040230E" w:rsidRPr="00F71F57">
        <w:rPr>
          <w:rFonts w:asciiTheme="majorBidi" w:hAnsiTheme="majorBidi" w:cstheme="majorBidi"/>
          <w:sz w:val="24"/>
          <w:szCs w:val="24"/>
          <w:lang w:val="en-GB"/>
        </w:rPr>
      </w:r>
      <w:r w:rsidR="0040230E" w:rsidRPr="00F71F57">
        <w:rPr>
          <w:rFonts w:asciiTheme="majorBidi" w:hAnsiTheme="majorBidi" w:cstheme="majorBidi"/>
          <w:sz w:val="24"/>
          <w:szCs w:val="24"/>
          <w:lang w:val="en-GB"/>
        </w:rPr>
        <w:fldChar w:fldCharType="end"/>
      </w:r>
      <w:r w:rsidR="00CC05E9" w:rsidRPr="00F71F57">
        <w:rPr>
          <w:rFonts w:asciiTheme="majorBidi" w:hAnsiTheme="majorBidi" w:cstheme="majorBidi"/>
          <w:sz w:val="24"/>
          <w:szCs w:val="24"/>
          <w:lang w:val="en-GB"/>
        </w:rPr>
      </w:r>
      <w:r w:rsidR="00CC05E9" w:rsidRPr="00F71F57">
        <w:rPr>
          <w:rFonts w:asciiTheme="majorBidi" w:hAnsiTheme="majorBidi" w:cstheme="majorBidi"/>
          <w:sz w:val="24"/>
          <w:szCs w:val="24"/>
          <w:lang w:val="en-GB"/>
        </w:rPr>
        <w:fldChar w:fldCharType="separate"/>
      </w:r>
      <w:r w:rsidR="00CC05E9" w:rsidRPr="00F71F57">
        <w:rPr>
          <w:rFonts w:asciiTheme="majorBidi" w:hAnsiTheme="majorBidi" w:cstheme="majorBidi"/>
          <w:sz w:val="24"/>
          <w:szCs w:val="24"/>
          <w:lang w:val="en-GB"/>
        </w:rPr>
        <w:t>(</w:t>
      </w:r>
      <w:hyperlink w:anchor="_ENREF_259" w:tooltip="Wilson, 2023 #6" w:history="1">
        <w:r w:rsidR="00DE113E" w:rsidRPr="00F71F57">
          <w:rPr>
            <w:rFonts w:asciiTheme="majorBidi" w:hAnsiTheme="majorBidi" w:cstheme="majorBidi"/>
            <w:sz w:val="24"/>
            <w:szCs w:val="24"/>
            <w:lang w:val="en-GB"/>
          </w:rPr>
          <w:t>Wilson et al., 2023</w:t>
        </w:r>
      </w:hyperlink>
      <w:r w:rsidR="00CC05E9" w:rsidRPr="00F71F57">
        <w:rPr>
          <w:rFonts w:asciiTheme="majorBidi" w:hAnsiTheme="majorBidi" w:cstheme="majorBidi"/>
          <w:sz w:val="24"/>
          <w:szCs w:val="24"/>
          <w:lang w:val="en-GB"/>
        </w:rPr>
        <w:t>)</w:t>
      </w:r>
      <w:r w:rsidR="00CC05E9" w:rsidRPr="00F71F57">
        <w:rPr>
          <w:rFonts w:asciiTheme="majorBidi" w:hAnsiTheme="majorBidi" w:cstheme="majorBidi"/>
          <w:sz w:val="24"/>
          <w:szCs w:val="24"/>
          <w:lang w:val="en-GB"/>
        </w:rPr>
        <w:fldChar w:fldCharType="end"/>
      </w:r>
      <w:r w:rsidR="00CC05E9" w:rsidRPr="00F71F57">
        <w:rPr>
          <w:rFonts w:ascii="Times New Roman" w:hAnsi="Times New Roman" w:cs="Times New Roman"/>
          <w:sz w:val="24"/>
          <w:lang w:val="en-GB"/>
        </w:rPr>
        <w:t>.</w:t>
      </w:r>
      <w:r w:rsidR="00D8770D" w:rsidRPr="00F71F57">
        <w:rPr>
          <w:rFonts w:ascii="Times New Roman" w:hAnsi="Times New Roman" w:cs="Times New Roman"/>
          <w:sz w:val="24"/>
          <w:lang w:val="en-GB"/>
        </w:rPr>
        <w:t xml:space="preserve"> </w:t>
      </w:r>
      <w:r w:rsidRPr="00F71F57">
        <w:rPr>
          <w:rFonts w:asciiTheme="majorBidi" w:hAnsiTheme="majorBidi" w:cstheme="majorBidi"/>
          <w:sz w:val="24"/>
          <w:szCs w:val="24"/>
          <w:lang w:val="en-GB"/>
        </w:rPr>
        <w:t xml:space="preserve">The underlying causes of neurodegenerative diseases remain largely unknown, although they are thought to involve a complex interplay between genetic and environmental factors </w:t>
      </w:r>
      <w:r w:rsidR="0040230E" w:rsidRPr="00F71F57">
        <w:rPr>
          <w:rFonts w:asciiTheme="majorBidi" w:hAnsiTheme="majorBidi" w:cstheme="majorBidi"/>
          <w:sz w:val="24"/>
          <w:szCs w:val="24"/>
          <w:lang w:val="en-GB"/>
        </w:rPr>
        <w:fldChar w:fldCharType="begin">
          <w:fldData xml:space="preserve">PEVuZE5vdGU+PENpdGU+PEF1dGhvcj5QcnplZGJvcnNraTwvQXV0aG9yPjxZZWFyPjIwMTc8L1ll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</w:fldData>
        </w:fldChar>
      </w:r>
      <w:r w:rsidR="0022359A" w:rsidRPr="00F71F57">
        <w:rPr>
          <w:rFonts w:asciiTheme="majorBidi" w:hAnsiTheme="majorBidi" w:cstheme="majorBidi"/>
          <w:sz w:val="24"/>
          <w:szCs w:val="24"/>
          <w:lang w:val="en-GB"/>
        </w:rPr>
        <w:instrText xml:space="preserve"> ADDIN EN.CITE </w:instrText>
      </w:r>
      <w:r w:rsidR="0022359A" w:rsidRPr="00F71F57">
        <w:rPr>
          <w:rFonts w:asciiTheme="majorBidi" w:hAnsiTheme="majorBidi" w:cstheme="majorBidi"/>
          <w:sz w:val="24"/>
          <w:szCs w:val="24"/>
          <w:lang w:val="en-GB"/>
        </w:rPr>
        <w:fldChar w:fldCharType="begin">
          <w:fldData xml:space="preserve">PEVuZE5vdGU+PENpdGU+PEF1dGhvcj5QcnplZGJvcnNraTwvQXV0aG9yPjxZZWFyPjIwMTc8L1ll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</w:fldData>
        </w:fldChar>
      </w:r>
      <w:r w:rsidR="0022359A" w:rsidRPr="00F71F57">
        <w:rPr>
          <w:rFonts w:asciiTheme="majorBidi" w:hAnsiTheme="majorBidi" w:cstheme="majorBidi"/>
          <w:sz w:val="24"/>
          <w:szCs w:val="24"/>
          <w:lang w:val="en-GB"/>
        </w:rPr>
        <w:instrText xml:space="preserve"> ADDIN EN.CITE.DATA </w:instrText>
      </w:r>
      <w:r w:rsidR="0022359A" w:rsidRPr="00F71F57">
        <w:rPr>
          <w:rFonts w:asciiTheme="majorBidi" w:hAnsiTheme="majorBidi" w:cstheme="majorBidi"/>
          <w:sz w:val="24"/>
          <w:szCs w:val="24"/>
          <w:lang w:val="en-GB"/>
        </w:rPr>
      </w:r>
      <w:r w:rsidR="0022359A" w:rsidRPr="00F71F57">
        <w:rPr>
          <w:rFonts w:asciiTheme="majorBidi" w:hAnsiTheme="majorBidi" w:cstheme="majorBidi"/>
          <w:sz w:val="24"/>
          <w:szCs w:val="24"/>
          <w:lang w:val="en-GB"/>
        </w:rPr>
        <w:fldChar w:fldCharType="end"/>
      </w:r>
      <w:r w:rsidR="0040230E" w:rsidRPr="00F71F57">
        <w:rPr>
          <w:rFonts w:asciiTheme="majorBidi" w:hAnsiTheme="majorBidi" w:cstheme="majorBidi"/>
          <w:sz w:val="24"/>
          <w:szCs w:val="24"/>
          <w:lang w:val="en-GB"/>
        </w:rPr>
      </w:r>
      <w:r w:rsidR="0040230E" w:rsidRPr="00F71F57">
        <w:rPr>
          <w:rFonts w:asciiTheme="majorBidi" w:hAnsiTheme="majorBidi" w:cstheme="majorBidi"/>
          <w:sz w:val="24"/>
          <w:szCs w:val="24"/>
          <w:lang w:val="en-GB"/>
        </w:rPr>
        <w:fldChar w:fldCharType="separate"/>
      </w:r>
      <w:r w:rsidR="0022359A" w:rsidRPr="00F71F57">
        <w:rPr>
          <w:rFonts w:asciiTheme="majorBidi" w:hAnsiTheme="majorBidi" w:cstheme="majorBidi"/>
          <w:sz w:val="24"/>
          <w:szCs w:val="24"/>
          <w:lang w:val="en-GB"/>
        </w:rPr>
        <w:t>(</w:t>
      </w:r>
      <w:hyperlink w:anchor="_ENREF_188" w:tooltip="Przedborski, 2017 #8" w:history="1">
        <w:r w:rsidR="00DE113E" w:rsidRPr="00F71F57">
          <w:rPr>
            <w:rFonts w:asciiTheme="majorBidi" w:hAnsiTheme="majorBidi" w:cstheme="majorBidi"/>
            <w:sz w:val="24"/>
            <w:szCs w:val="24"/>
            <w:lang w:val="en-GB"/>
          </w:rPr>
          <w:t>Przedborski, 2017</w:t>
        </w:r>
      </w:hyperlink>
      <w:r w:rsidR="0022359A" w:rsidRPr="00F71F57">
        <w:rPr>
          <w:rFonts w:asciiTheme="majorBidi" w:hAnsiTheme="majorBidi" w:cstheme="majorBidi"/>
          <w:sz w:val="24"/>
          <w:szCs w:val="24"/>
          <w:lang w:val="en-GB"/>
        </w:rPr>
        <w:t xml:space="preserve">; </w:t>
      </w:r>
      <w:hyperlink w:anchor="_ENREF_189" w:tooltip="Przedborski, 2003 #9" w:history="1">
        <w:r w:rsidR="00DE113E" w:rsidRPr="00F71F57">
          <w:rPr>
            <w:rFonts w:asciiTheme="majorBidi" w:hAnsiTheme="majorBidi" w:cstheme="majorBidi"/>
            <w:sz w:val="24"/>
            <w:szCs w:val="24"/>
            <w:lang w:val="en-GB"/>
          </w:rPr>
          <w:t>Przedborski et al., 2003</w:t>
        </w:r>
      </w:hyperlink>
      <w:r w:rsidR="0022359A" w:rsidRPr="00F71F57">
        <w:rPr>
          <w:rFonts w:asciiTheme="majorBidi" w:hAnsiTheme="majorBidi" w:cstheme="majorBidi"/>
          <w:sz w:val="24"/>
          <w:szCs w:val="24"/>
          <w:lang w:val="en-GB"/>
        </w:rPr>
        <w:t>)</w:t>
      </w:r>
      <w:r w:rsidR="0040230E" w:rsidRPr="00F71F57">
        <w:rPr>
          <w:rFonts w:asciiTheme="majorBidi" w:hAnsiTheme="majorBidi" w:cstheme="majorBidi"/>
          <w:sz w:val="24"/>
          <w:szCs w:val="24"/>
          <w:lang w:val="en-GB"/>
        </w:rPr>
        <w:fldChar w:fldCharType="end"/>
      </w:r>
      <w:r w:rsidR="0040230E" w:rsidRPr="00F71F57">
        <w:rPr>
          <w:rFonts w:asciiTheme="majorBidi" w:hAnsiTheme="majorBidi" w:cstheme="majorBidi"/>
          <w:sz w:val="24"/>
          <w:szCs w:val="24"/>
          <w:lang w:val="en-GB"/>
        </w:rPr>
        <w:t>.</w:t>
      </w:r>
      <w:r w:rsidR="009F4526"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Among various risk factors, aging is the most significant. Age-related changes in neuroanatomical pathways facilitate the accumulation and propagation of pathogenic proteins, contributing to the</w:t>
      </w:r>
      <w:r w:rsidR="00B342FC" w:rsidRPr="00F71F57">
        <w:rPr>
          <w:rFonts w:asciiTheme="majorBidi" w:hAnsiTheme="majorBidi" w:cstheme="majorBidi"/>
          <w:sz w:val="24"/>
          <w:szCs w:val="24"/>
          <w:lang w:val="en-GB"/>
        </w:rPr>
        <w:t>se disorders</w:t>
      </w:r>
      <w:r w:rsidRPr="00F71F57">
        <w:rPr>
          <w:rFonts w:asciiTheme="majorBidi" w:hAnsiTheme="majorBidi" w:cstheme="majorBidi"/>
          <w:sz w:val="24"/>
          <w:szCs w:val="24"/>
          <w:lang w:val="en-GB"/>
        </w:rPr>
        <w:t xml:space="preserve"> clinical and pathological heterogeneity </w:t>
      </w:r>
      <w:r w:rsidR="0040230E" w:rsidRPr="00F71F57">
        <w:rPr>
          <w:rFonts w:asciiTheme="majorBidi" w:hAnsiTheme="majorBidi" w:cstheme="majorBidi"/>
          <w:sz w:val="24"/>
          <w:szCs w:val="24"/>
          <w:lang w:val="en-GB"/>
        </w:rPr>
        <w:fldChar w:fldCharType="begin"/>
      </w:r>
      <w:r w:rsidR="0040230E" w:rsidRPr="00F71F57">
        <w:rPr>
          <w:rFonts w:asciiTheme="majorBidi" w:hAnsiTheme="majorBidi" w:cstheme="majorBidi"/>
          <w:sz w:val="24"/>
          <w:szCs w:val="24"/>
          <w:lang w:val="en-GB"/>
        </w:rPr>
        <w:instrText xml:space="preserve"> ADDIN EN.CITE &lt;EndNote&gt;&lt;Cite&gt;&lt;Author&gt;Armstrong&lt;/Author&gt;&lt;Year&gt;2020&lt;/Year&gt;&lt;RecNum&gt;10&lt;/RecNum&gt;&lt;DisplayText&gt;(Armstrong, 2020)&lt;/DisplayText&gt;&lt;record&gt;&lt;rec-number&gt;10&lt;/rec-number&gt;&lt;foreign-keys&gt;&lt;key app="EN" db-id="2ptrtps0adr9vke22dn5tpwzrsfaxtxrfwet" timestamp="1755514616"&gt;10&lt;/key&gt;&lt;/foreign-keys&gt;&lt;ref-type name="Journal Article"&gt;17&lt;/ref-type&gt;&lt;contributors&gt;&lt;authors&gt;&lt;author&gt;Armstrong, Richard&lt;/author&gt;&lt;/authors&gt;&lt;/contributors&gt;&lt;titles&gt;&lt;title&gt;What causes neurodegenerative disease?&lt;/title&gt;&lt;secondary-title&gt;Folia Neuropathologica&lt;/secondary-title&gt;&lt;/titles&gt;&lt;periodical&gt;&lt;full-title&gt;Folia Neuropathologica&lt;/full-title&gt;&lt;/periodical&gt;&lt;pages&gt;93-112&lt;/pages&gt;&lt;volume&gt;58&lt;/volume&gt;&lt;number&gt;2&lt;/number&gt;&lt;dates&gt;&lt;year&gt;2020&lt;/year&gt;&lt;/dates&gt;&lt;isbn&gt;1641-4640&lt;/isbn&gt;&lt;label&gt;Armstrong2020&lt;/label&gt;&lt;work-type&gt;journal article&lt;/work-type&gt;&lt;urls&gt;&lt;related-urls&gt;&lt;url&gt;http://dx.doi.org/10.5114/fn.2020.96707&lt;/url&gt;&lt;/related-urls&gt;&lt;/urls&gt;&lt;electronic-resource-num&gt;10.5114/fn.2020.96707&lt;/electronic-resource-num&gt;&lt;/record&gt;&lt;/Cite&gt;&lt;/EndNote&gt;</w:instrText>
      </w:r>
      <w:r w:rsidR="0040230E" w:rsidRPr="00F71F57">
        <w:rPr>
          <w:rFonts w:asciiTheme="majorBidi" w:hAnsiTheme="majorBidi" w:cstheme="majorBidi"/>
          <w:sz w:val="24"/>
          <w:szCs w:val="24"/>
          <w:lang w:val="en-GB"/>
        </w:rPr>
        <w:fldChar w:fldCharType="separate"/>
      </w:r>
      <w:r w:rsidR="0040230E" w:rsidRPr="00F71F57">
        <w:rPr>
          <w:rFonts w:asciiTheme="majorBidi" w:hAnsiTheme="majorBidi" w:cstheme="majorBidi"/>
          <w:sz w:val="24"/>
          <w:szCs w:val="24"/>
          <w:lang w:val="en-GB"/>
        </w:rPr>
        <w:t>(</w:t>
      </w:r>
      <w:hyperlink w:anchor="_ENREF_9" w:tooltip="Armstrong, 2020 #10" w:history="1">
        <w:r w:rsidR="00DE113E" w:rsidRPr="00F71F57">
          <w:rPr>
            <w:rFonts w:asciiTheme="majorBidi" w:hAnsiTheme="majorBidi" w:cstheme="majorBidi"/>
            <w:sz w:val="24"/>
            <w:szCs w:val="24"/>
            <w:lang w:val="en-GB"/>
          </w:rPr>
          <w:t>Armstrong, 2020</w:t>
        </w:r>
      </w:hyperlink>
      <w:r w:rsidR="0040230E" w:rsidRPr="00F71F57">
        <w:rPr>
          <w:rFonts w:asciiTheme="majorBidi" w:hAnsiTheme="majorBidi" w:cstheme="majorBidi"/>
          <w:sz w:val="24"/>
          <w:szCs w:val="24"/>
          <w:lang w:val="en-GB"/>
        </w:rPr>
        <w:t>)</w:t>
      </w:r>
      <w:r w:rsidR="0040230E" w:rsidRPr="00F71F57">
        <w:rPr>
          <w:rFonts w:asciiTheme="majorBidi" w:hAnsiTheme="majorBidi" w:cstheme="majorBidi"/>
          <w:sz w:val="24"/>
          <w:szCs w:val="24"/>
          <w:lang w:val="en-GB"/>
        </w:rPr>
        <w:fldChar w:fldCharType="end"/>
      </w:r>
      <w:r w:rsidR="0040230E" w:rsidRPr="00F71F57">
        <w:rPr>
          <w:rFonts w:asciiTheme="majorBidi" w:hAnsiTheme="majorBidi" w:cstheme="majorBidi"/>
          <w:sz w:val="24"/>
          <w:szCs w:val="24"/>
          <w:lang w:val="en-GB"/>
        </w:rPr>
        <w:t xml:space="preserve"> .</w:t>
      </w:r>
      <w:r w:rsidR="00B342FC"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The classification of neurodegenerative diseases is often based on clinical manifestations and anatomical involvement; however, overlapping symptoms and varied phenotypes can complicate diagnosis.</w:t>
      </w:r>
      <w:r w:rsidR="00C91DEC"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 xml:space="preserve">The mechanisms that drive neurodegeneration involve multiple interrelated cellular and molecular processes. Key among these are oxidative stress, mitochondrial dysfunction, excitotoxicity, and apoptosis. Oxidative stress, which results from the accumulation of reactive oxygen species (ROS) and reactive nitrogen species (RNS), plays a critical role in the pathogenesis of AD, PD, and ALS </w:t>
      </w:r>
      <w:r w:rsidR="00861B7C" w:rsidRPr="00F71F57">
        <w:rPr>
          <w:rFonts w:asciiTheme="majorBidi" w:hAnsiTheme="majorBidi" w:cstheme="majorBidi"/>
          <w:sz w:val="24"/>
          <w:szCs w:val="24"/>
          <w:lang w:val="en-GB"/>
        </w:rPr>
        <w:fldChar w:fldCharType="begin"/>
      </w:r>
      <w:r w:rsidR="008E643D" w:rsidRPr="00F71F57">
        <w:rPr>
          <w:rFonts w:asciiTheme="majorBidi" w:hAnsiTheme="majorBidi" w:cstheme="majorBidi"/>
          <w:sz w:val="24"/>
          <w:szCs w:val="24"/>
          <w:lang w:val="en-GB"/>
        </w:rPr>
        <w:instrText xml:space="preserve"> ADDIN EN.CITE &lt;EndNote&gt;&lt;Cite&gt;&lt;Author&gt;Emerit&lt;/Author&gt;&lt;Year&gt;2004&lt;/Year&gt;&lt;RecNum&gt;12&lt;/RecNum&gt;&lt;DisplayText&gt;(Emerit et al., 2004)&lt;/DisplayText&gt;&lt;record&gt;&lt;rec-number&gt;12&lt;/rec-number&gt;&lt;foreign-keys&gt;&lt;key app="EN" db-id="2ptrtps0adr9vke22dn5tpwzrsfaxtxrfwet" timestamp="1755514857"&gt;12&lt;/key&gt;&lt;/foreign-keys&gt;&lt;ref-type name="Journal Article"&gt;17&lt;/ref-type&gt;&lt;contributors&gt;&lt;authors&gt;&lt;author&gt;Emerit, J.&lt;/author&gt;&lt;author&gt;Edeas, M.&lt;/author&gt;&lt;author&gt;Bricaire, F.&lt;/author&gt;&lt;/authors&gt;&lt;/contributors&gt;&lt;titles&gt;&lt;title&gt;Neurodegenerative diseases and oxidative stress&lt;/title&gt;&lt;secondary-title&gt;Biomedicine &amp;amp; Pharmacotherapy&lt;/secondary-title&gt;&lt;/titles&gt;&lt;periodical&gt;&lt;full-title&gt;Biomedicine &amp;amp; Pharmacotherapy&lt;/full-title&gt;&lt;/periodical&gt;&lt;pages&gt;39-46&lt;/pages&gt;&lt;volume&gt;58&lt;/volume&gt;&lt;number&gt;1&lt;/number&gt;&lt;keywords&gt;&lt;keyword&gt;Apoptosis&lt;/keyword&gt;&lt;keyword&gt;Mitochondrial dysfunction&lt;/keyword&gt;&lt;keyword&gt;Excitotoxity&lt;/keyword&gt;&lt;/keywords&gt;&lt;dates&gt;&lt;year&gt;2004&lt;/year&gt;&lt;pub-dates&gt;&lt;date&gt;2004/01/01/&lt;/date&gt;&lt;/pub-dates&gt;&lt;/dates&gt;&lt;isbn&gt;0753-3322&lt;/isbn&gt;&lt;urls&gt;&lt;related-urls&gt;&lt;url&gt;https://www.sciencedirect.com/science/article/pii/S0753332203001914&lt;/url&gt;&lt;/related-urls&gt;&lt;/urls&gt;&lt;electronic-resource-num&gt;https://doi.org/10.1016/j.biopha.2003.11.004&lt;/electronic-resource-num&gt;&lt;/record&gt;&lt;/Cite&gt;&lt;/EndNote&gt;</w:instrText>
      </w:r>
      <w:r w:rsidR="00861B7C" w:rsidRPr="00F71F57">
        <w:rPr>
          <w:rFonts w:asciiTheme="majorBidi" w:hAnsiTheme="majorBidi" w:cstheme="majorBidi"/>
          <w:sz w:val="24"/>
          <w:szCs w:val="24"/>
          <w:lang w:val="en-GB"/>
        </w:rPr>
        <w:fldChar w:fldCharType="separate"/>
      </w:r>
      <w:r w:rsidR="00861B7C" w:rsidRPr="00F71F57">
        <w:rPr>
          <w:rFonts w:asciiTheme="majorBidi" w:hAnsiTheme="majorBidi" w:cstheme="majorBidi"/>
          <w:sz w:val="24"/>
          <w:szCs w:val="24"/>
          <w:lang w:val="en-GB"/>
        </w:rPr>
        <w:t>(</w:t>
      </w:r>
      <w:hyperlink w:anchor="_ENREF_72" w:tooltip="Emerit, 2004 #12" w:history="1">
        <w:r w:rsidR="00DE113E" w:rsidRPr="00F71F57">
          <w:rPr>
            <w:rFonts w:asciiTheme="majorBidi" w:hAnsiTheme="majorBidi" w:cstheme="majorBidi"/>
            <w:sz w:val="24"/>
            <w:szCs w:val="24"/>
            <w:lang w:val="en-GB"/>
          </w:rPr>
          <w:t xml:space="preserve">Emerit et </w:t>
        </w:r>
        <w:r w:rsidR="00DE113E" w:rsidRPr="00F71F57">
          <w:rPr>
            <w:rFonts w:asciiTheme="majorBidi" w:hAnsiTheme="majorBidi" w:cstheme="majorBidi"/>
            <w:sz w:val="24"/>
            <w:szCs w:val="24"/>
            <w:lang w:val="en-GB"/>
          </w:rPr>
          <w:lastRenderedPageBreak/>
          <w:t>al., 2004</w:t>
        </w:r>
      </w:hyperlink>
      <w:r w:rsidR="00861B7C" w:rsidRPr="00F71F57">
        <w:rPr>
          <w:rFonts w:asciiTheme="majorBidi" w:hAnsiTheme="majorBidi" w:cstheme="majorBidi"/>
          <w:sz w:val="24"/>
          <w:szCs w:val="24"/>
          <w:lang w:val="en-GB"/>
        </w:rPr>
        <w:t>)</w:t>
      </w:r>
      <w:r w:rsidR="00861B7C" w:rsidRPr="00F71F57">
        <w:rPr>
          <w:rFonts w:asciiTheme="majorBidi" w:hAnsiTheme="majorBidi" w:cstheme="majorBidi"/>
          <w:sz w:val="24"/>
          <w:szCs w:val="24"/>
          <w:lang w:val="en-GB"/>
        </w:rPr>
        <w:fldChar w:fldCharType="end"/>
      </w:r>
      <w:r w:rsidRPr="00F71F57">
        <w:rPr>
          <w:rFonts w:asciiTheme="majorBidi" w:hAnsiTheme="majorBidi" w:cstheme="majorBidi"/>
          <w:sz w:val="24"/>
          <w:szCs w:val="24"/>
          <w:lang w:val="en-GB"/>
        </w:rPr>
        <w:t xml:space="preserve">. Mitochondrial impairment further exacerbates neuronal vulnerability, while glial cells contribute to non-cell autonomous neurodegeneration by modulating inflammatory responses and neuronal support </w:t>
      </w:r>
      <w:r w:rsidR="007B584B" w:rsidRPr="00F71F57">
        <w:rPr>
          <w:rFonts w:asciiTheme="majorBidi" w:hAnsiTheme="majorBidi" w:cstheme="majorBidi"/>
          <w:sz w:val="24"/>
          <w:szCs w:val="24"/>
          <w:lang w:val="en-GB"/>
        </w:rPr>
        <w:fldChar w:fldCharType="begin"/>
      </w:r>
      <w:r w:rsidR="007B584B" w:rsidRPr="00F71F57">
        <w:rPr>
          <w:rFonts w:asciiTheme="majorBidi" w:hAnsiTheme="majorBidi" w:cstheme="majorBidi"/>
          <w:sz w:val="24"/>
          <w:szCs w:val="24"/>
          <w:lang w:val="en-GB"/>
        </w:rPr>
        <w:instrText xml:space="preserve"> ADDIN EN.CITE &lt;EndNote&gt;&lt;Cite&gt;&lt;Author&gt;Przedborski&lt;/Author&gt;&lt;Year&gt;2017&lt;/Year&gt;&lt;RecNum&gt;8&lt;/RecNum&gt;&lt;DisplayText&gt;(Przedborski, 2017)&lt;/DisplayText&gt;&lt;record&gt;&lt;rec-number&gt;8&lt;/rec-number&gt;&lt;foreign-keys&gt;&lt;key app="EN" db-id="2ptrtps0adr9vke22dn5tpwzrsfaxtxrfwet" timestamp="1755514332"&gt;8&lt;/key&gt;&lt;/foreign-keys&gt;&lt;ref-type name="Book Section"&gt;5&lt;/ref-type&gt;&lt;contributors&gt;&lt;authors&gt;&lt;author&gt;Przedborski, Serge&lt;/author&gt;&lt;/authors&gt;&lt;secondary-authors&gt;&lt;author&gt;Ikezu, Tsuneya&lt;/author&gt;&lt;author&gt;Gendelman, Howard E.&lt;/author&gt;&lt;/secondary-authors&gt;&lt;/contributors&gt;&lt;titles&gt;&lt;title&gt;Neurodegeneration&lt;/title&gt;&lt;secondary-title&gt;Neuroimmune Pharmacology&lt;/secondary-title&gt;&lt;/titles&gt;&lt;pages&gt;345-354&lt;/pages&gt;&lt;dates&gt;&lt;year&gt;2017&lt;/year&gt;&lt;/dates&gt;&lt;pub-location&gt;Cham&lt;/pub-location&gt;&lt;publisher&gt;Springer International Publishing&lt;/publisher&gt;&lt;isbn&gt;978-3-319-44022-4&lt;/isbn&gt;&lt;label&gt;Przedborski2017&lt;/label&gt;&lt;urls&gt;&lt;related-urls&gt;&lt;url&gt;https://doi.org/10.1007/978-3-319-44022-4_22&lt;/url&gt;&lt;/related-urls&gt;&lt;/urls&gt;&lt;electronic-resource-num&gt;10.1007/978-3-319-44022-4_22&lt;/electronic-resource-num&gt;&lt;/record&gt;&lt;/Cite&gt;&lt;/EndNote&gt;</w:instrText>
      </w:r>
      <w:r w:rsidR="007B584B" w:rsidRPr="00F71F57">
        <w:rPr>
          <w:rFonts w:asciiTheme="majorBidi" w:hAnsiTheme="majorBidi" w:cstheme="majorBidi"/>
          <w:sz w:val="24"/>
          <w:szCs w:val="24"/>
          <w:lang w:val="en-GB"/>
        </w:rPr>
        <w:fldChar w:fldCharType="separate"/>
      </w:r>
      <w:r w:rsidR="007B584B" w:rsidRPr="00F71F57">
        <w:rPr>
          <w:rFonts w:asciiTheme="majorBidi" w:hAnsiTheme="majorBidi" w:cstheme="majorBidi"/>
          <w:sz w:val="24"/>
          <w:szCs w:val="24"/>
          <w:lang w:val="en-GB"/>
        </w:rPr>
        <w:t>(</w:t>
      </w:r>
      <w:hyperlink w:anchor="_ENREF_188" w:tooltip="Przedborski, 2017 #8" w:history="1">
        <w:r w:rsidR="00DE113E" w:rsidRPr="00F71F57">
          <w:rPr>
            <w:rFonts w:asciiTheme="majorBidi" w:hAnsiTheme="majorBidi" w:cstheme="majorBidi"/>
            <w:sz w:val="24"/>
            <w:szCs w:val="24"/>
            <w:lang w:val="en-GB"/>
          </w:rPr>
          <w:t>Przedborski, 2017</w:t>
        </w:r>
      </w:hyperlink>
      <w:r w:rsidR="007B584B" w:rsidRPr="00F71F57">
        <w:rPr>
          <w:rFonts w:asciiTheme="majorBidi" w:hAnsiTheme="majorBidi" w:cstheme="majorBidi"/>
          <w:sz w:val="24"/>
          <w:szCs w:val="24"/>
          <w:lang w:val="en-GB"/>
        </w:rPr>
        <w:t>)</w:t>
      </w:r>
      <w:r w:rsidR="007B584B" w:rsidRPr="00F71F57">
        <w:rPr>
          <w:rFonts w:asciiTheme="majorBidi" w:hAnsiTheme="majorBidi" w:cstheme="majorBidi"/>
          <w:sz w:val="24"/>
          <w:szCs w:val="24"/>
          <w:lang w:val="en-GB"/>
        </w:rPr>
        <w:fldChar w:fldCharType="end"/>
      </w:r>
      <w:r w:rsidRPr="00F71F57">
        <w:rPr>
          <w:rFonts w:asciiTheme="majorBidi" w:hAnsiTheme="majorBidi" w:cstheme="majorBidi"/>
          <w:sz w:val="24"/>
          <w:szCs w:val="24"/>
          <w:lang w:val="en-GB"/>
        </w:rPr>
        <w:t xml:space="preserve">. Disruptions in protein, mitochondrial, and transcriptional homeostasis are commonly observed in these disorders. For instance, Alzheimer’s disease is marked by synaptic dysfunction, Parkinson’s disease by mitochondrial and proteostatic failure, and Huntington’s disease by polyglutamine-mediated protein aggregation and transcriptional dysregulation </w:t>
      </w:r>
      <w:bookmarkStart w:id="5" w:name="ZOTERO_BREF_L4mH6MqOobKB"/>
      <w:r w:rsidR="007229F1" w:rsidRPr="00F71F57">
        <w:rPr>
          <w:rFonts w:asciiTheme="majorBidi" w:hAnsiTheme="majorBidi" w:cstheme="majorBidi"/>
          <w:sz w:val="24"/>
          <w:szCs w:val="24"/>
          <w:lang w:val="en-GB"/>
        </w:rPr>
        <w:fldChar w:fldCharType="begin"/>
      </w:r>
      <w:r w:rsidR="007229F1" w:rsidRPr="00F71F57">
        <w:rPr>
          <w:rFonts w:asciiTheme="majorBidi" w:hAnsiTheme="majorBidi" w:cstheme="majorBidi"/>
          <w:sz w:val="24"/>
          <w:szCs w:val="24"/>
          <w:lang w:val="en-GB"/>
        </w:rPr>
        <w:instrText xml:space="preserve"> ADDIN EN.CITE &lt;EndNote&gt;&lt;Cite&gt;&lt;Author&gt;Montie&lt;/Author&gt;&lt;Year&gt;2013&lt;/Year&gt;&lt;RecNum&gt;13&lt;/RecNum&gt;&lt;DisplayText&gt;(Montie &amp;amp; Durcan, 2013)&lt;/DisplayText&gt;&lt;record&gt;&lt;rec-number&gt;13&lt;/rec-number&gt;&lt;foreign-keys&gt;&lt;key app="EN" db-id="2ptrtps0adr9vke22dn5tpwzrsfaxtxrfwet" timestamp="1755514928"&gt;13&lt;/key&gt;&lt;/foreign-keys&gt;&lt;ref-type name="Journal Article"&gt;17&lt;/ref-type&gt;&lt;contributors&gt;&lt;authors&gt;&lt;author&gt;Montie,Heather L.&lt;/author&gt;&lt;author&gt;Durcan,Thomas M.&lt;/author&gt;&lt;/authors&gt;&lt;/contributors&gt;&lt;auth-address&gt;Dr Heather Montie,Philadelphia College of Osteopathic Medicine,Department of Bio-Medical Sciences,4170 City Avenue,335 Evans,Philadelphia,19131-1694,United States,PA,heathermon@pcom.edu&lt;/auth-address&gt;&lt;titles&gt;&lt;title&gt;The Cell and Molecular Biology of Neurodegenerative Diseases: An Overview&lt;/title&gt;&lt;secondary-title&gt;Frontiers in Neurology&lt;/secondary-title&gt;&lt;/titles&gt;&lt;periodical&gt;&lt;full-title&gt;Frontiers in Neurology&lt;/full-title&gt;&lt;/periodical&gt;&lt;volume&gt;Volume 4 - 2013&lt;/volume&gt;&lt;keywords&gt;&lt;keyword&gt;neurodegeneration,Aggregation,polyglutamine,Parkinsons Disease,Alzheimer Disease,ALS&lt;/keyword&gt;&lt;/keywords&gt;&lt;dates&gt;&lt;year&gt;2013&lt;/year&gt;&lt;pub-dates&gt;&lt;date&gt;2013-November-29&lt;/date&gt;&lt;/pub-dates&gt;&lt;/dates&gt;&lt;isbn&gt;1664-2295&lt;/isbn&gt;&lt;work-type&gt;Editorial&lt;/work-type&gt;&lt;urls&gt;&lt;related-urls&gt;&lt;url&gt;https://www.frontiersin.org/journals/neurology/articles/10.3389/fneur.2013.00194&lt;/url&gt;&lt;/related-urls&gt;&lt;/urls&gt;&lt;electronic-resource-num&gt;10.3389/fneur.2013.00194&lt;/electronic-resource-num&gt;&lt;language&gt;English&lt;/language&gt;&lt;/record&gt;&lt;/Cite&gt;&lt;/EndNote&gt;</w:instrText>
      </w:r>
      <w:r w:rsidR="007229F1" w:rsidRPr="00F71F57">
        <w:rPr>
          <w:rFonts w:asciiTheme="majorBidi" w:hAnsiTheme="majorBidi" w:cstheme="majorBidi"/>
          <w:sz w:val="24"/>
          <w:szCs w:val="24"/>
          <w:lang w:val="en-GB"/>
        </w:rPr>
        <w:fldChar w:fldCharType="separate"/>
      </w:r>
      <w:r w:rsidR="007229F1" w:rsidRPr="00F71F57">
        <w:rPr>
          <w:rFonts w:asciiTheme="majorBidi" w:hAnsiTheme="majorBidi" w:cstheme="majorBidi"/>
          <w:sz w:val="24"/>
          <w:szCs w:val="24"/>
          <w:lang w:val="en-GB"/>
        </w:rPr>
        <w:t>(</w:t>
      </w:r>
      <w:hyperlink w:anchor="_ENREF_160" w:tooltip="Montie, 2013 #13" w:history="1">
        <w:r w:rsidR="00DE113E" w:rsidRPr="00F71F57">
          <w:rPr>
            <w:rFonts w:asciiTheme="majorBidi" w:hAnsiTheme="majorBidi" w:cstheme="majorBidi"/>
            <w:sz w:val="24"/>
            <w:szCs w:val="24"/>
            <w:lang w:val="en-GB"/>
          </w:rPr>
          <w:t>Montie &amp; Durcan, 2013</w:t>
        </w:r>
      </w:hyperlink>
      <w:r w:rsidR="007229F1" w:rsidRPr="00F71F57">
        <w:rPr>
          <w:rFonts w:asciiTheme="majorBidi" w:hAnsiTheme="majorBidi" w:cstheme="majorBidi"/>
          <w:sz w:val="24"/>
          <w:szCs w:val="24"/>
          <w:lang w:val="en-GB"/>
        </w:rPr>
        <w:t>)</w:t>
      </w:r>
      <w:r w:rsidR="007229F1" w:rsidRPr="00F71F57">
        <w:rPr>
          <w:rFonts w:asciiTheme="majorBidi" w:hAnsiTheme="majorBidi" w:cstheme="majorBidi"/>
          <w:sz w:val="24"/>
          <w:szCs w:val="24"/>
          <w:lang w:val="en-GB"/>
        </w:rPr>
        <w:fldChar w:fldCharType="end"/>
      </w:r>
      <w:bookmarkEnd w:id="5"/>
      <w:r w:rsidRPr="00F71F57">
        <w:rPr>
          <w:rFonts w:asciiTheme="majorBidi" w:hAnsiTheme="majorBidi" w:cstheme="majorBidi"/>
          <w:sz w:val="24"/>
          <w:szCs w:val="24"/>
          <w:lang w:val="en-GB"/>
        </w:rPr>
        <w:t>.</w:t>
      </w:r>
      <w:r w:rsidR="00C91DEC"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Neurodegenerative diseases are collectively prevalent, although each condition is individually rare. They typically emerge after a period of normal development and include diverse subtypes such as leukoencephalopathies, neuronal ceroid lipofuscinoses, gangliosidoses, and mucopolysaccharidoses. Diagnosis requires the recognition of specific clinical features and is supported by focused investigations</w:t>
      </w:r>
      <w:r w:rsidR="00B342FC" w:rsidRPr="00F71F57">
        <w:rPr>
          <w:rFonts w:asciiTheme="majorBidi" w:hAnsiTheme="majorBidi" w:cstheme="majorBidi"/>
          <w:sz w:val="24"/>
          <w:szCs w:val="24"/>
          <w:lang w:val="en-GB"/>
        </w:rPr>
        <w:t>,</w:t>
      </w:r>
      <w:r w:rsidRPr="00F71F57">
        <w:rPr>
          <w:rFonts w:asciiTheme="majorBidi" w:hAnsiTheme="majorBidi" w:cstheme="majorBidi"/>
          <w:sz w:val="24"/>
          <w:szCs w:val="24"/>
          <w:lang w:val="en-GB"/>
        </w:rPr>
        <w:t xml:space="preserve"> including magnetic resonance imaging (MRI) and neurophysiological assessments </w:t>
      </w:r>
      <w:r w:rsidR="007229F1" w:rsidRPr="00F71F57">
        <w:rPr>
          <w:rFonts w:asciiTheme="majorBidi" w:hAnsiTheme="majorBidi" w:cstheme="majorBidi"/>
          <w:sz w:val="24"/>
          <w:szCs w:val="24"/>
          <w:lang w:val="en-GB"/>
        </w:rPr>
        <w:fldChar w:fldCharType="begin"/>
      </w:r>
      <w:r w:rsidR="007229F1" w:rsidRPr="00F71F57">
        <w:rPr>
          <w:rFonts w:asciiTheme="majorBidi" w:hAnsiTheme="majorBidi" w:cstheme="majorBidi"/>
          <w:sz w:val="24"/>
          <w:szCs w:val="24"/>
          <w:lang w:val="en-GB"/>
        </w:rPr>
        <w:instrText xml:space="preserve"> ADDIN EN.CITE &lt;EndNote&gt;&lt;Cite&gt;&lt;Author&gt;Surtees&lt;/Author&gt;&lt;Year&gt;2002&lt;/Year&gt;&lt;RecNum&gt;14&lt;/RecNum&gt;&lt;DisplayText&gt;(Surtees, 2002)&lt;/DisplayText&gt;&lt;record&gt;&lt;rec-number&gt;14&lt;/rec-number&gt;&lt;foreign-keys&gt;&lt;key app="EN" db-id="2ptrtps0adr9vke22dn5tpwzrsfaxtxrfwet" timestamp="1755515033"&gt;14&lt;/key&gt;&lt;/foreign-keys&gt;&lt;ref-type name="Journal Article"&gt;17&lt;/ref-type&gt;&lt;contributors&gt;&lt;authors&gt;&lt;author&gt;Surtees, Robert&lt;/author&gt;&lt;/authors&gt;&lt;/contributors&gt;&lt;titles&gt;&lt;title&gt;Understanding neurodegenerative disorders&lt;/title&gt;&lt;secondary-title&gt;Current Paediatrics&lt;/secondary-title&gt;&lt;/titles&gt;&lt;periodical&gt;&lt;full-title&gt;Current Paediatrics&lt;/full-title&gt;&lt;/periodical&gt;&lt;pages&gt;191-198&lt;/pages&gt;&lt;volume&gt;12&lt;/volume&gt;&lt;number&gt;3&lt;/number&gt;&lt;keywords&gt;&lt;keyword&gt;heredodegenerative disorders, nervous system&lt;/keyword&gt;&lt;keyword&gt;paediatrics&lt;/keyword&gt;&lt;keyword&gt;leukodystrophy, neuronal ceroid lipofuscinosis&lt;/keyword&gt;&lt;keyword&gt;gangliosidoses&lt;/keyword&gt;&lt;keyword&gt;mucopolysaccharidosis&lt;/keyword&gt;&lt;/keywords&gt;&lt;dates&gt;&lt;year&gt;2002&lt;/year&gt;&lt;pub-dates&gt;&lt;date&gt;2002/06/01/&lt;/date&gt;&lt;/pub-dates&gt;&lt;/dates&gt;&lt;isbn&gt;0957-5839&lt;/isbn&gt;&lt;urls&gt;&lt;related-urls&gt;&lt;url&gt;https://www.sciencedirect.com/science/article/pii/S0957583901902830&lt;/url&gt;&lt;/related-urls&gt;&lt;/urls&gt;&lt;electronic-resource-num&gt;https://doi.org/10.1054/cupe.2001.0283&lt;/electronic-resource-num&gt;&lt;/record&gt;&lt;/Cite&gt;&lt;/EndNote&gt;</w:instrText>
      </w:r>
      <w:r w:rsidR="007229F1" w:rsidRPr="00F71F57">
        <w:rPr>
          <w:rFonts w:asciiTheme="majorBidi" w:hAnsiTheme="majorBidi" w:cstheme="majorBidi"/>
          <w:sz w:val="24"/>
          <w:szCs w:val="24"/>
          <w:lang w:val="en-GB"/>
        </w:rPr>
        <w:fldChar w:fldCharType="separate"/>
      </w:r>
      <w:r w:rsidR="007229F1" w:rsidRPr="00F71F57">
        <w:rPr>
          <w:rFonts w:asciiTheme="majorBidi" w:hAnsiTheme="majorBidi" w:cstheme="majorBidi"/>
          <w:sz w:val="24"/>
          <w:szCs w:val="24"/>
          <w:lang w:val="en-GB"/>
        </w:rPr>
        <w:t>(</w:t>
      </w:r>
      <w:hyperlink w:anchor="_ENREF_237" w:tooltip="Surtees, 2002 #14" w:history="1">
        <w:r w:rsidR="00DE113E" w:rsidRPr="00F71F57">
          <w:rPr>
            <w:rFonts w:asciiTheme="majorBidi" w:hAnsiTheme="majorBidi" w:cstheme="majorBidi"/>
            <w:sz w:val="24"/>
            <w:szCs w:val="24"/>
            <w:lang w:val="en-GB"/>
          </w:rPr>
          <w:t>Surtees, 2002</w:t>
        </w:r>
      </w:hyperlink>
      <w:r w:rsidR="007229F1" w:rsidRPr="00F71F57">
        <w:rPr>
          <w:rFonts w:asciiTheme="majorBidi" w:hAnsiTheme="majorBidi" w:cstheme="majorBidi"/>
          <w:sz w:val="24"/>
          <w:szCs w:val="24"/>
          <w:lang w:val="en-GB"/>
        </w:rPr>
        <w:t>)</w:t>
      </w:r>
      <w:r w:rsidR="007229F1" w:rsidRPr="00F71F57">
        <w:rPr>
          <w:rFonts w:asciiTheme="majorBidi" w:hAnsiTheme="majorBidi" w:cstheme="majorBidi"/>
          <w:sz w:val="24"/>
          <w:szCs w:val="24"/>
          <w:lang w:val="en-GB"/>
        </w:rPr>
        <w:fldChar w:fldCharType="end"/>
      </w:r>
      <w:r w:rsidRPr="00F71F57">
        <w:rPr>
          <w:rFonts w:asciiTheme="majorBidi" w:hAnsiTheme="majorBidi" w:cstheme="majorBidi"/>
          <w:sz w:val="24"/>
          <w:szCs w:val="24"/>
          <w:lang w:val="en-GB"/>
        </w:rPr>
        <w:t>.</w:t>
      </w:r>
      <w:r w:rsidR="00C91DEC"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Advancements in disease modeling have significantly contributed to our understanding of neurodegeneration. Traditional in vitro and animal models have been instrumental</w:t>
      </w:r>
      <w:r w:rsidR="00B342FC" w:rsidRPr="00F71F57">
        <w:rPr>
          <w:rFonts w:asciiTheme="majorBidi" w:hAnsiTheme="majorBidi" w:cstheme="majorBidi"/>
          <w:sz w:val="24"/>
          <w:szCs w:val="24"/>
          <w:lang w:val="en-GB"/>
        </w:rPr>
        <w:t>. At the same time</w:t>
      </w:r>
      <w:r w:rsidRPr="00F71F57">
        <w:rPr>
          <w:rFonts w:asciiTheme="majorBidi" w:hAnsiTheme="majorBidi" w:cstheme="majorBidi"/>
          <w:sz w:val="24"/>
          <w:szCs w:val="24"/>
          <w:lang w:val="en-GB"/>
        </w:rPr>
        <w:t xml:space="preserve"> recent developments—such as induced pluripotent stem cells (iPSCs) and three-dimensional brain organoids—offer more physiologically relevant platforms for studying disease mechanisms and testing therapeutic interventions. Genetic discoveries and therapeutic innovations, such as antisense oligonucleotides for spinal muscular atrophy, underscore the potential of translational research in this field </w:t>
      </w:r>
      <w:r w:rsidR="00B43724" w:rsidRPr="00F71F57">
        <w:rPr>
          <w:rFonts w:asciiTheme="majorBidi" w:hAnsiTheme="majorBidi" w:cstheme="majorBidi"/>
          <w:sz w:val="24"/>
          <w:szCs w:val="24"/>
          <w:lang w:val="en-GB"/>
        </w:rPr>
        <w:fldChar w:fldCharType="begin"/>
      </w:r>
      <w:r w:rsidR="00B43724" w:rsidRPr="00F71F57">
        <w:rPr>
          <w:rFonts w:asciiTheme="majorBidi" w:hAnsiTheme="majorBidi" w:cstheme="majorBidi"/>
          <w:sz w:val="24"/>
          <w:szCs w:val="24"/>
          <w:lang w:val="en-GB"/>
        </w:rPr>
        <w:instrText xml:space="preserve"> ADDIN EN.CITE &lt;EndNote&gt;&lt;Cite&gt;&lt;Author&gt;Gitler&lt;/Author&gt;&lt;Year&gt;2017&lt;/Year&gt;&lt;RecNum&gt;15&lt;/RecNum&gt;&lt;DisplayText&gt;(Gitler et al., 2017)&lt;/DisplayText&gt;&lt;record&gt;&lt;rec-number&gt;15&lt;/rec-number&gt;&lt;foreign-keys&gt;&lt;key app="EN" db-id="2ptrtps0adr9vke22dn5tpwzrsfaxtxrfwet" timestamp="1755516008"&gt;15&lt;/key&gt;&lt;/foreign-keys&gt;&lt;ref-type name="Journal Article"&gt;17&lt;/ref-type&gt;&lt;contributors&gt;&lt;authors&gt;&lt;author&gt;Gitler, Aaron D.&lt;/author&gt;&lt;author&gt;Dhillon, Paraminder&lt;/author&gt;&lt;author&gt;Shorter, James&lt;/author&gt;&lt;/authors&gt;&lt;/contributors&gt;&lt;titles&gt;&lt;title&gt;Neurodegenerative disease: models, mechanisms, and a new hope&lt;/title&gt;&lt;secondary-title&gt;Disease Models &amp;amp; Mechanisms&lt;/secondary-title&gt;&lt;/titles&gt;&lt;periodical&gt;&lt;full-title&gt;Disease Models &amp;amp; Mechanisms&lt;/full-title&gt;&lt;/periodical&gt;&lt;pages&gt;499-502&lt;/pages&gt;&lt;volume&gt;10&lt;/volume&gt;&lt;number&gt;5&lt;/number&gt;&lt;dates&gt;&lt;year&gt;2017&lt;/year&gt;&lt;/dates&gt;&lt;isbn&gt;1754-8403&lt;/isbn&gt;&lt;urls&gt;&lt;related-urls&gt;&lt;url&gt;https://doi.org/10.1242/dmm.030205&lt;/url&gt;&lt;/related-urls&gt;&lt;/urls&gt;&lt;electronic-resource-num&gt;10.1242/dmm.030205&lt;/electronic-resource-num&gt;&lt;access-date&gt;8/18/2025&lt;/access-date&gt;&lt;/record&gt;&lt;/Cite&gt;&lt;/EndNote&gt;</w:instrText>
      </w:r>
      <w:r w:rsidR="00B43724" w:rsidRPr="00F71F57">
        <w:rPr>
          <w:rFonts w:asciiTheme="majorBidi" w:hAnsiTheme="majorBidi" w:cstheme="majorBidi"/>
          <w:sz w:val="24"/>
          <w:szCs w:val="24"/>
          <w:lang w:val="en-GB"/>
        </w:rPr>
        <w:fldChar w:fldCharType="separate"/>
      </w:r>
      <w:r w:rsidR="00B43724" w:rsidRPr="00F71F57">
        <w:rPr>
          <w:rFonts w:asciiTheme="majorBidi" w:hAnsiTheme="majorBidi" w:cstheme="majorBidi"/>
          <w:sz w:val="24"/>
          <w:szCs w:val="24"/>
          <w:lang w:val="en-GB"/>
        </w:rPr>
        <w:t>(</w:t>
      </w:r>
      <w:hyperlink w:anchor="_ENREF_88" w:tooltip="Gitler, 2017 #15" w:history="1">
        <w:r w:rsidR="00DE113E" w:rsidRPr="00F71F57">
          <w:rPr>
            <w:rFonts w:asciiTheme="majorBidi" w:hAnsiTheme="majorBidi" w:cstheme="majorBidi"/>
            <w:sz w:val="24"/>
            <w:szCs w:val="24"/>
            <w:lang w:val="en-GB"/>
          </w:rPr>
          <w:t>Gitler et al., 2017</w:t>
        </w:r>
      </w:hyperlink>
      <w:r w:rsidR="00B43724" w:rsidRPr="00F71F57">
        <w:rPr>
          <w:rFonts w:asciiTheme="majorBidi" w:hAnsiTheme="majorBidi" w:cstheme="majorBidi"/>
          <w:sz w:val="24"/>
          <w:szCs w:val="24"/>
          <w:lang w:val="en-GB"/>
        </w:rPr>
        <w:t>)</w:t>
      </w:r>
      <w:r w:rsidR="00B43724" w:rsidRPr="00F71F57">
        <w:rPr>
          <w:rFonts w:asciiTheme="majorBidi" w:hAnsiTheme="majorBidi" w:cstheme="majorBidi"/>
          <w:sz w:val="24"/>
          <w:szCs w:val="24"/>
          <w:lang w:val="en-GB"/>
        </w:rPr>
        <w:fldChar w:fldCharType="end"/>
      </w:r>
      <w:r w:rsidRPr="00F71F57">
        <w:rPr>
          <w:rFonts w:asciiTheme="majorBidi" w:hAnsiTheme="majorBidi" w:cstheme="majorBidi"/>
          <w:sz w:val="24"/>
          <w:szCs w:val="24"/>
          <w:lang w:val="en-GB"/>
        </w:rPr>
        <w:t>.</w:t>
      </w:r>
      <w:r w:rsidR="00C91DEC"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Current therapeutic approaches for neurodegenerative diseases primarily aim to alleviate symptoms rather than alter the course of disease progression. Ongoing research is focused on targeting disease-specific mechanisms such as mitochondrial dysfunction, protein aggregation, prion-like propagation, and neuroinflammation to develop disease-modifying treatments</w:t>
      </w:r>
      <w:r w:rsidR="00B342FC" w:rsidRPr="00F71F57">
        <w:rPr>
          <w:rFonts w:asciiTheme="majorBidi" w:hAnsiTheme="majorBidi" w:cstheme="majorBidi"/>
          <w:sz w:val="24"/>
          <w:szCs w:val="24"/>
          <w:lang w:val="en-GB"/>
        </w:rPr>
        <w:t xml:space="preserve"> </w:t>
      </w:r>
      <w:r w:rsidR="006E4948" w:rsidRPr="00F71F57">
        <w:rPr>
          <w:rFonts w:asciiTheme="majorBidi" w:hAnsiTheme="majorBidi" w:cstheme="majorBidi"/>
          <w:sz w:val="24"/>
          <w:szCs w:val="24"/>
          <w:lang w:val="en-GB"/>
        </w:rPr>
        <w:fldChar w:fldCharType="begin"/>
      </w:r>
      <w:r w:rsidR="006E4948" w:rsidRPr="00F71F57">
        <w:rPr>
          <w:rFonts w:asciiTheme="majorBidi" w:hAnsiTheme="majorBidi" w:cstheme="majorBidi"/>
          <w:sz w:val="24"/>
          <w:szCs w:val="24"/>
          <w:lang w:val="en-GB"/>
        </w:rPr>
        <w:instrText xml:space="preserve"> ADDIN EN.CITE &lt;EndNote&gt;&lt;Cite&gt;&lt;Author&gt;Yacoubian&lt;/Author&gt;&lt;Year&gt;2017&lt;/Year&gt;&lt;RecNum&gt;16&lt;/RecNum&gt;&lt;DisplayText&gt;(Yacoubian, 2017)&lt;/DisplayText&gt;&lt;record&gt;&lt;rec-number&gt;16&lt;/rec-number&gt;&lt;foreign-keys&gt;&lt;key app="EN" db-id="2ptrtps0adr9vke22dn5tpwzrsfaxtxrfwet" timestamp="1755516095"&gt;16&lt;/key&gt;&lt;/foreign-keys&gt;&lt;ref-type name="Book Section"&gt;5&lt;/ref-type&gt;&lt;contributors&gt;&lt;authors&gt;&lt;author&gt;Yacoubian, T. A.&lt;/author&gt;&lt;/authors&gt;&lt;secondary-authors&gt;&lt;author&gt;Adejare, Adeboye&lt;/author&gt;&lt;/secondary-authors&gt;&lt;/contributors&gt;&lt;titles&gt;&lt;title&gt;Chapter 1 - Neurodegenerative Disorders: Why Do We Need New Therapies?&lt;/title&gt;&lt;secondary-title&gt;Drug Discovery Approaches for the Treatment of Neurodegenerative Disorders&lt;/secondary-title&gt;&lt;/titles&gt;&lt;pages&gt;1-16&lt;/pages&gt;&lt;keywords&gt;&lt;keyword&gt;Alzheimer&amp;apos;s disease (AD)&lt;/keyword&gt;&lt;keyword&gt;Amyotrophic lateral sclerosis (ALS)&lt;/keyword&gt;&lt;keyword&gt;Huntington&amp;apos;s disease (HD)&lt;/keyword&gt;&lt;keyword&gt;Neurodegeneration&lt;/keyword&gt;&lt;keyword&gt;Parkinson&amp;apos;s disease (PD)&lt;/keyword&gt;&lt;/keywords&gt;&lt;dates&gt;&lt;year&gt;2017&lt;/year&gt;&lt;pub-dates&gt;&lt;date&gt;2017/01/01/&lt;/date&gt;&lt;/pub-dates&gt;&lt;/dates&gt;&lt;publisher&gt;Academic Press&lt;/publisher&gt;&lt;isbn&gt;978-0-12-802810-0&lt;/isbn&gt;&lt;urls&gt;&lt;related-urls&gt;&lt;url&gt;https://www.sciencedirect.com/science/article/pii/B9780128028100000015&lt;/url&gt;&lt;/related-urls&gt;&lt;/urls&gt;&lt;electronic-resource-num&gt;https://doi.org/10.1016/B978-0-12-802810-0.00001-5&lt;/electronic-resource-num&gt;&lt;/record&gt;&lt;/Cite&gt;&lt;/EndNote&gt;</w:instrText>
      </w:r>
      <w:r w:rsidR="006E4948" w:rsidRPr="00F71F57">
        <w:rPr>
          <w:rFonts w:asciiTheme="majorBidi" w:hAnsiTheme="majorBidi" w:cstheme="majorBidi"/>
          <w:sz w:val="24"/>
          <w:szCs w:val="24"/>
          <w:lang w:val="en-GB"/>
        </w:rPr>
        <w:fldChar w:fldCharType="separate"/>
      </w:r>
      <w:r w:rsidR="006E4948" w:rsidRPr="00F71F57">
        <w:rPr>
          <w:rFonts w:asciiTheme="majorBidi" w:hAnsiTheme="majorBidi" w:cstheme="majorBidi"/>
          <w:sz w:val="24"/>
          <w:szCs w:val="24"/>
          <w:lang w:val="en-GB"/>
        </w:rPr>
        <w:t>(</w:t>
      </w:r>
      <w:hyperlink w:anchor="_ENREF_265" w:tooltip="Yacoubian, 2017 #16" w:history="1">
        <w:r w:rsidR="00DE113E" w:rsidRPr="00F71F57">
          <w:rPr>
            <w:rFonts w:asciiTheme="majorBidi" w:hAnsiTheme="majorBidi" w:cstheme="majorBidi"/>
            <w:sz w:val="24"/>
            <w:szCs w:val="24"/>
            <w:lang w:val="en-GB"/>
          </w:rPr>
          <w:t>Yacoubian, 2017</w:t>
        </w:r>
      </w:hyperlink>
      <w:r w:rsidR="006E4948" w:rsidRPr="00F71F57">
        <w:rPr>
          <w:rFonts w:asciiTheme="majorBidi" w:hAnsiTheme="majorBidi" w:cstheme="majorBidi"/>
          <w:sz w:val="24"/>
          <w:szCs w:val="24"/>
          <w:lang w:val="en-GB"/>
        </w:rPr>
        <w:t>)</w:t>
      </w:r>
      <w:r w:rsidR="006E4948" w:rsidRPr="00F71F57">
        <w:rPr>
          <w:rFonts w:asciiTheme="majorBidi" w:hAnsiTheme="majorBidi" w:cstheme="majorBidi"/>
          <w:sz w:val="24"/>
          <w:szCs w:val="24"/>
          <w:lang w:val="en-GB"/>
        </w:rPr>
        <w:fldChar w:fldCharType="end"/>
      </w:r>
      <w:r w:rsidRPr="00F71F57">
        <w:rPr>
          <w:rFonts w:asciiTheme="majorBidi" w:hAnsiTheme="majorBidi" w:cstheme="majorBidi"/>
          <w:sz w:val="24"/>
          <w:szCs w:val="24"/>
          <w:lang w:val="en-GB"/>
        </w:rPr>
        <w:t xml:space="preserve">. These diseases also have a profound impact on </w:t>
      </w:r>
      <w:r w:rsidRPr="00F71F57">
        <w:rPr>
          <w:rFonts w:asciiTheme="majorBidi" w:hAnsiTheme="majorBidi" w:cstheme="majorBidi"/>
          <w:sz w:val="24"/>
          <w:szCs w:val="24"/>
          <w:lang w:val="en-GB"/>
        </w:rPr>
        <w:lastRenderedPageBreak/>
        <w:t xml:space="preserve">patients’ ability to perform activities of daily living (ADLs), including eating, dressing, personal hygiene, and mobility. As a result, they impose a substantial economic burden encompassing both direct medical costs and indirect societal costs due to lost productivity and caregiving demands. Effective interventions and tailored care strategies are essential to improve patient outcomes and reduce the overall healthcare burden </w:t>
      </w:r>
      <w:r w:rsidR="009710D9" w:rsidRPr="00F71F57">
        <w:rPr>
          <w:rFonts w:asciiTheme="majorBidi" w:hAnsiTheme="majorBidi" w:cstheme="majorBidi"/>
          <w:sz w:val="24"/>
          <w:szCs w:val="24"/>
          <w:lang w:val="en-GB"/>
        </w:rPr>
        <w:fldChar w:fldCharType="begin">
          <w:fldData xml:space="preserve">PEVuZE5vdGU+PENpdGU+PEF1dGhvcj5NYXJlc292YTwvQXV0aG9yPjxZZWFyPjIwMjA8L1llYXI+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</w:fldData>
        </w:fldChar>
      </w:r>
      <w:r w:rsidR="009710D9" w:rsidRPr="00F71F57">
        <w:rPr>
          <w:rFonts w:asciiTheme="majorBidi" w:hAnsiTheme="majorBidi" w:cstheme="majorBidi"/>
          <w:sz w:val="24"/>
          <w:szCs w:val="24"/>
          <w:lang w:val="en-GB"/>
        </w:rPr>
        <w:instrText xml:space="preserve"> ADDIN EN.CITE </w:instrText>
      </w:r>
      <w:r w:rsidR="009710D9" w:rsidRPr="00F71F57">
        <w:rPr>
          <w:rFonts w:asciiTheme="majorBidi" w:hAnsiTheme="majorBidi" w:cstheme="majorBidi"/>
          <w:sz w:val="24"/>
          <w:szCs w:val="24"/>
          <w:lang w:val="en-GB"/>
        </w:rPr>
        <w:fldChar w:fldCharType="begin">
          <w:fldData xml:space="preserve">PEVuZE5vdGU+PENpdGU+PEF1dGhvcj5NYXJlc292YTwvQXV0aG9yPjxZZWFyPjIwMjA8L1llYXI+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</w:fldData>
        </w:fldChar>
      </w:r>
      <w:r w:rsidR="009710D9" w:rsidRPr="00F71F57">
        <w:rPr>
          <w:rFonts w:asciiTheme="majorBidi" w:hAnsiTheme="majorBidi" w:cstheme="majorBidi"/>
          <w:sz w:val="24"/>
          <w:szCs w:val="24"/>
          <w:lang w:val="en-GB"/>
        </w:rPr>
        <w:instrText xml:space="preserve"> ADDIN EN.CITE.DATA </w:instrText>
      </w:r>
      <w:r w:rsidR="009710D9" w:rsidRPr="00F71F57">
        <w:rPr>
          <w:rFonts w:asciiTheme="majorBidi" w:hAnsiTheme="majorBidi" w:cstheme="majorBidi"/>
          <w:sz w:val="24"/>
          <w:szCs w:val="24"/>
          <w:lang w:val="en-GB"/>
        </w:rPr>
      </w:r>
      <w:r w:rsidR="009710D9" w:rsidRPr="00F71F57">
        <w:rPr>
          <w:rFonts w:asciiTheme="majorBidi" w:hAnsiTheme="majorBidi" w:cstheme="majorBidi"/>
          <w:sz w:val="24"/>
          <w:szCs w:val="24"/>
          <w:lang w:val="en-GB"/>
        </w:rPr>
        <w:fldChar w:fldCharType="end"/>
      </w:r>
      <w:r w:rsidR="009710D9" w:rsidRPr="00F71F57">
        <w:rPr>
          <w:rFonts w:asciiTheme="majorBidi" w:hAnsiTheme="majorBidi" w:cstheme="majorBidi"/>
          <w:sz w:val="24"/>
          <w:szCs w:val="24"/>
          <w:lang w:val="en-GB"/>
        </w:rPr>
      </w:r>
      <w:r w:rsidR="009710D9" w:rsidRPr="00F71F57">
        <w:rPr>
          <w:rFonts w:asciiTheme="majorBidi" w:hAnsiTheme="majorBidi" w:cstheme="majorBidi"/>
          <w:sz w:val="24"/>
          <w:szCs w:val="24"/>
          <w:lang w:val="en-GB"/>
        </w:rPr>
        <w:fldChar w:fldCharType="separate"/>
      </w:r>
      <w:r w:rsidR="009710D9" w:rsidRPr="00F71F57">
        <w:rPr>
          <w:rFonts w:asciiTheme="majorBidi" w:hAnsiTheme="majorBidi" w:cstheme="majorBidi"/>
          <w:sz w:val="24"/>
          <w:szCs w:val="24"/>
          <w:lang w:val="en-GB"/>
        </w:rPr>
        <w:t>(</w:t>
      </w:r>
      <w:hyperlink w:anchor="_ENREF_149" w:tooltip="Maresova, 2020 #17" w:history="1">
        <w:r w:rsidR="00DE113E" w:rsidRPr="00F71F57">
          <w:rPr>
            <w:rFonts w:asciiTheme="majorBidi" w:hAnsiTheme="majorBidi" w:cstheme="majorBidi"/>
            <w:sz w:val="24"/>
            <w:szCs w:val="24"/>
            <w:lang w:val="en-GB"/>
          </w:rPr>
          <w:t>Maresova et al., 2020</w:t>
        </w:r>
      </w:hyperlink>
      <w:r w:rsidR="009710D9" w:rsidRPr="00F71F57">
        <w:rPr>
          <w:rFonts w:asciiTheme="majorBidi" w:hAnsiTheme="majorBidi" w:cstheme="majorBidi"/>
          <w:sz w:val="24"/>
          <w:szCs w:val="24"/>
          <w:lang w:val="en-GB"/>
        </w:rPr>
        <w:t>)</w:t>
      </w:r>
      <w:r w:rsidR="009710D9" w:rsidRPr="00F71F57">
        <w:rPr>
          <w:rFonts w:asciiTheme="majorBidi" w:hAnsiTheme="majorBidi" w:cstheme="majorBidi"/>
          <w:sz w:val="24"/>
          <w:szCs w:val="24"/>
          <w:lang w:val="en-GB"/>
        </w:rPr>
        <w:fldChar w:fldCharType="end"/>
      </w:r>
      <w:r w:rsidRPr="00F71F57">
        <w:rPr>
          <w:rFonts w:asciiTheme="majorBidi" w:hAnsiTheme="majorBidi" w:cstheme="majorBidi"/>
          <w:sz w:val="24"/>
          <w:szCs w:val="24"/>
          <w:lang w:val="en-GB"/>
        </w:rPr>
        <w:t>.</w:t>
      </w:r>
    </w:p>
    <w:p w14:paraId="63324E5D" w14:textId="77777777" w:rsidR="00D66CCE" w:rsidRPr="00F71F57" w:rsidRDefault="00D66CCE" w:rsidP="00C80A17">
      <w:pPr>
        <w:ind w:left="1080"/>
        <w:jc w:val="both"/>
        <w:rPr>
          <w:rFonts w:asciiTheme="majorBidi" w:hAnsiTheme="majorBidi" w:cstheme="majorBidi"/>
          <w:b/>
          <w:bCs/>
          <w:sz w:val="24"/>
          <w:szCs w:val="24"/>
          <w:lang w:val="en-GB"/>
        </w:rPr>
      </w:pPr>
    </w:p>
    <w:p w14:paraId="70C2E20A" w14:textId="67082D22" w:rsidR="00C41E62" w:rsidRPr="00D623DE" w:rsidRDefault="00C41E62" w:rsidP="00D623DE">
      <w:pPr>
        <w:pStyle w:val="Heading3"/>
        <w:ind w:left="1080"/>
        <w:rPr>
          <w:lang w:val="en-GB"/>
        </w:rPr>
      </w:pPr>
      <w:bookmarkStart w:id="6" w:name="_Toc214875816"/>
      <w:r w:rsidRPr="00D623DE">
        <w:rPr>
          <w:lang w:val="en-GB"/>
        </w:rPr>
        <w:t>1.1.1 Global Prevalence and Economic Impact of Neurodegenerative Diseases</w:t>
      </w:r>
      <w:bookmarkEnd w:id="6"/>
    </w:p>
    <w:p w14:paraId="331E96A4" w14:textId="230200C2" w:rsidR="00D976BA" w:rsidRPr="00000C98" w:rsidRDefault="00310151" w:rsidP="00000C98">
      <w:pPr>
        <w:spacing w:line="360" w:lineRule="auto"/>
        <w:ind w:left="1080"/>
        <w:jc w:val="both"/>
        <w:rPr>
          <w:rFonts w:asciiTheme="majorBidi" w:hAnsiTheme="majorBidi" w:cstheme="majorBidi"/>
          <w:sz w:val="24"/>
          <w:szCs w:val="24"/>
        </w:rPr>
      </w:pPr>
      <w:r w:rsidRPr="00000C98">
        <w:rPr>
          <w:rFonts w:asciiTheme="majorBidi" w:hAnsiTheme="majorBidi" w:cstheme="majorBidi"/>
          <w:sz w:val="24"/>
          <w:szCs w:val="24"/>
          <w:lang w:val="en-GB"/>
        </w:rPr>
        <w:t>According to the report of the 31 march of 2025 by the World Health Organization</w:t>
      </w:r>
      <w:r w:rsidR="008374B7" w:rsidRPr="00000C98">
        <w:rPr>
          <w:rFonts w:asciiTheme="majorBidi" w:hAnsiTheme="majorBidi" w:cstheme="majorBidi"/>
          <w:sz w:val="24"/>
          <w:szCs w:val="24"/>
          <w:lang w:val="en-GB"/>
        </w:rPr>
        <w:t>,</w:t>
      </w:r>
      <w:r w:rsidRPr="00000C98">
        <w:rPr>
          <w:rFonts w:asciiTheme="majorBidi" w:hAnsiTheme="majorBidi" w:cstheme="majorBidi"/>
          <w:sz w:val="24"/>
          <w:szCs w:val="24"/>
          <w:lang w:val="en-GB"/>
        </w:rPr>
        <w:t xml:space="preserve"> in 2021 near 57 million of the people around the world had dementia, and more than 60% of them live in the low economic countr</w:t>
      </w:r>
      <w:r w:rsidR="008374B7" w:rsidRPr="00000C98">
        <w:rPr>
          <w:rFonts w:asciiTheme="majorBidi" w:hAnsiTheme="majorBidi" w:cstheme="majorBidi"/>
          <w:sz w:val="24"/>
          <w:szCs w:val="24"/>
          <w:lang w:val="en-GB"/>
        </w:rPr>
        <w:t>ies</w:t>
      </w:r>
      <w:r w:rsidRPr="00000C98">
        <w:rPr>
          <w:rFonts w:asciiTheme="majorBidi" w:hAnsiTheme="majorBidi" w:cstheme="majorBidi"/>
          <w:sz w:val="24"/>
          <w:szCs w:val="24"/>
          <w:lang w:val="en-GB"/>
        </w:rPr>
        <w:t xml:space="preserve"> and every year around 10 million cases added to this population.</w:t>
      </w:r>
      <w:r w:rsidR="00013488" w:rsidRPr="00000C98">
        <w:rPr>
          <w:rFonts w:asciiTheme="majorBidi" w:hAnsiTheme="majorBidi" w:cstheme="majorBidi"/>
          <w:sz w:val="24"/>
          <w:szCs w:val="24"/>
          <w:lang w:val="en-GB"/>
        </w:rPr>
        <w:t xml:space="preserve"> In 2019, the global economic impact of dementia was estimated at US$1.3 trillion, with around 50% of these expenses linked to care given by informal caregivers (such as family and close friends), who typically provide an average of 5 hours of daily care and supervision </w:t>
      </w:r>
      <w:r w:rsidR="00013488" w:rsidRPr="00000C98">
        <w:rPr>
          <w:rFonts w:asciiTheme="majorBidi" w:hAnsiTheme="majorBidi" w:cstheme="majorBidi"/>
          <w:sz w:val="24"/>
          <w:szCs w:val="24"/>
          <w:lang w:val="en-GB"/>
        </w:rPr>
        <w:fldChar w:fldCharType="begin"/>
      </w:r>
      <w:r w:rsidR="00BD1357" w:rsidRPr="00000C98">
        <w:rPr>
          <w:rFonts w:asciiTheme="majorBidi" w:hAnsiTheme="majorBidi" w:cstheme="majorBidi"/>
          <w:sz w:val="24"/>
          <w:szCs w:val="24"/>
          <w:lang w:val="en-GB"/>
        </w:rPr>
        <w:instrText xml:space="preserve"> ADDIN EN.CITE &lt;EndNote&gt;&lt;Cite&gt;&lt;Author&gt;Who&lt;/Author&gt;&lt;Year&gt;2025&lt;/Year&gt;&lt;RecNum&gt;373&lt;/RecNum&gt;&lt;DisplayText&gt;(Who, 2025b)&lt;/DisplayText&gt;&lt;record&gt;&lt;rec-number&gt;373&lt;/rec-number&gt;&lt;foreign-keys&gt;&lt;key app="EN" db-id="2ptrtps0adr9vke22dn5tpwzrsfaxtxrfwet" timestamp="1761036338"&gt;373&lt;/key&gt;&lt;/foreign-keys&gt;&lt;ref-type name="Web Page"&gt;12&lt;/ref-type&gt;&lt;contributors&gt;&lt;authors&gt;&lt;author&gt;Who, World Health Organization&lt;/author&gt;&lt;/authors&gt;&lt;/contributors&gt;&lt;titles&gt;&lt;title&gt;Dementia&lt;/title&gt;&lt;/titles&gt;&lt;volume&gt;21/10/2025&lt;/volume&gt;&lt;dates&gt;&lt;year&gt;2025&lt;/year&gt;&lt;/dates&gt;&lt;publisher&gt;https://www.who.int/news-room/fact-sheets/detail/dementia&lt;/publisher&gt;&lt;urls&gt;&lt;/urls&gt;&lt;/record&gt;&lt;/Cite&gt;&lt;/EndNote&gt;</w:instrText>
      </w:r>
      <w:r w:rsidR="00013488" w:rsidRPr="00000C98">
        <w:rPr>
          <w:rFonts w:asciiTheme="majorBidi" w:hAnsiTheme="majorBidi" w:cstheme="majorBidi"/>
          <w:sz w:val="24"/>
          <w:szCs w:val="24"/>
          <w:lang w:val="en-GB"/>
        </w:rPr>
        <w:fldChar w:fldCharType="separate"/>
      </w:r>
      <w:r w:rsidR="00BD1357" w:rsidRPr="00000C98">
        <w:rPr>
          <w:rFonts w:asciiTheme="majorBidi" w:hAnsiTheme="majorBidi" w:cstheme="majorBidi"/>
          <w:noProof/>
          <w:sz w:val="24"/>
          <w:szCs w:val="24"/>
          <w:lang w:val="en-GB"/>
        </w:rPr>
        <w:t>(</w:t>
      </w:r>
      <w:hyperlink w:anchor="_ENREF_257" w:tooltip="Who, 2025 #373" w:history="1">
        <w:r w:rsidR="00DE113E" w:rsidRPr="00000C98">
          <w:rPr>
            <w:rFonts w:asciiTheme="majorBidi" w:hAnsiTheme="majorBidi" w:cstheme="majorBidi"/>
            <w:noProof/>
            <w:sz w:val="24"/>
            <w:szCs w:val="24"/>
            <w:lang w:val="en-GB"/>
          </w:rPr>
          <w:t>Who, 2025b</w:t>
        </w:r>
      </w:hyperlink>
      <w:r w:rsidR="00BD1357" w:rsidRPr="00000C98">
        <w:rPr>
          <w:rFonts w:asciiTheme="majorBidi" w:hAnsiTheme="majorBidi" w:cstheme="majorBidi"/>
          <w:noProof/>
          <w:sz w:val="24"/>
          <w:szCs w:val="24"/>
          <w:lang w:val="en-GB"/>
        </w:rPr>
        <w:t>)</w:t>
      </w:r>
      <w:r w:rsidR="00013488" w:rsidRPr="00000C98">
        <w:rPr>
          <w:rFonts w:asciiTheme="majorBidi" w:hAnsiTheme="majorBidi" w:cstheme="majorBidi"/>
          <w:sz w:val="24"/>
          <w:szCs w:val="24"/>
          <w:lang w:val="en-GB"/>
        </w:rPr>
        <w:fldChar w:fldCharType="end"/>
      </w:r>
      <w:r w:rsidR="00013488" w:rsidRPr="00000C98">
        <w:rPr>
          <w:rFonts w:asciiTheme="majorBidi" w:hAnsiTheme="majorBidi" w:cstheme="majorBidi"/>
          <w:sz w:val="24"/>
          <w:szCs w:val="24"/>
          <w:lang w:val="en-GB"/>
        </w:rPr>
        <w:t xml:space="preserve">. </w:t>
      </w:r>
      <w:r w:rsidR="00537A43">
        <w:rPr>
          <w:rFonts w:asciiTheme="majorBidi" w:hAnsiTheme="majorBidi" w:cstheme="majorBidi"/>
          <w:sz w:val="24"/>
          <w:szCs w:val="24"/>
        </w:rPr>
        <w:t xml:space="preserve">Another report by </w:t>
      </w:r>
      <w:r w:rsidR="00D976BA" w:rsidRPr="00000C98">
        <w:rPr>
          <w:rFonts w:asciiTheme="majorBidi" w:hAnsiTheme="majorBidi" w:cstheme="majorBidi"/>
          <w:sz w:val="24"/>
          <w:szCs w:val="24"/>
        </w:rPr>
        <w:t>W</w:t>
      </w:r>
      <w:r w:rsidR="00537A43">
        <w:rPr>
          <w:rFonts w:asciiTheme="majorBidi" w:hAnsiTheme="majorBidi" w:cstheme="majorBidi"/>
          <w:sz w:val="24"/>
          <w:szCs w:val="24"/>
        </w:rPr>
        <w:t>HO’s</w:t>
      </w:r>
      <w:r w:rsidR="00D976BA" w:rsidRPr="00537A43">
        <w:rPr>
          <w:rFonts w:asciiTheme="majorBidi" w:hAnsiTheme="majorBidi" w:cstheme="majorBidi"/>
          <w:sz w:val="24"/>
          <w:szCs w:val="24"/>
        </w:rPr>
        <w:t xml:space="preserve"> on Neurology</w:t>
      </w:r>
      <w:r w:rsidR="00D976BA" w:rsidRPr="00000C98">
        <w:rPr>
          <w:rFonts w:asciiTheme="majorBidi" w:hAnsiTheme="majorBidi" w:cstheme="majorBidi"/>
          <w:sz w:val="24"/>
          <w:szCs w:val="24"/>
        </w:rPr>
        <w:t xml:space="preserve"> (2025) reveals that neurological disorders account for over 11 million deaths annually and affect more than 40% of the world’s population</w:t>
      </w:r>
      <w:r w:rsidR="00F94A13">
        <w:rPr>
          <w:rFonts w:asciiTheme="majorBidi" w:hAnsiTheme="majorBidi" w:cstheme="majorBidi" w:hint="cs"/>
          <w:sz w:val="24"/>
          <w:szCs w:val="24"/>
          <w:rtl/>
        </w:rPr>
        <w:t xml:space="preserve"> </w:t>
      </w:r>
      <w:r w:rsidR="00D976BA" w:rsidRPr="00000C98">
        <w:rPr>
          <w:rFonts w:asciiTheme="majorBidi" w:hAnsiTheme="majorBidi" w:cstheme="majorBidi"/>
          <w:sz w:val="24"/>
          <w:szCs w:val="24"/>
        </w:rPr>
        <w:t xml:space="preserve">over 3 billion people. Despite this enormous burden, only one-third of countries have national policies and fewer than one-fifth provide dedicated funding for neurological care. The report highlights severe </w:t>
      </w:r>
      <w:r w:rsidR="00000C98" w:rsidRPr="00000C98">
        <w:rPr>
          <w:rFonts w:asciiTheme="majorBidi" w:hAnsiTheme="majorBidi" w:cstheme="majorBidi"/>
          <w:sz w:val="24"/>
          <w:szCs w:val="24"/>
        </w:rPr>
        <w:t>injustices</w:t>
      </w:r>
      <w:r w:rsidR="00D976BA" w:rsidRPr="00000C98">
        <w:rPr>
          <w:rFonts w:asciiTheme="majorBidi" w:hAnsiTheme="majorBidi" w:cstheme="majorBidi"/>
          <w:sz w:val="24"/>
          <w:szCs w:val="24"/>
        </w:rPr>
        <w:t xml:space="preserve"> in access, with low</w:t>
      </w:r>
      <w:r w:rsidR="00000C98" w:rsidRPr="00000C98">
        <w:rPr>
          <w:rFonts w:asciiTheme="majorBidi" w:hAnsiTheme="majorBidi" w:cstheme="majorBidi"/>
          <w:sz w:val="24"/>
          <w:szCs w:val="24"/>
        </w:rPr>
        <w:t xml:space="preserve"> economic</w:t>
      </w:r>
      <w:r w:rsidR="00D976BA" w:rsidRPr="00000C98">
        <w:rPr>
          <w:rFonts w:asciiTheme="majorBidi" w:hAnsiTheme="majorBidi" w:cstheme="majorBidi"/>
          <w:sz w:val="24"/>
          <w:szCs w:val="24"/>
        </w:rPr>
        <w:t xml:space="preserve"> nations facing up to 80</w:t>
      </w:r>
      <w:r w:rsidR="00000C98" w:rsidRPr="00000C98">
        <w:rPr>
          <w:rFonts w:asciiTheme="majorBidi" w:hAnsiTheme="majorBidi" w:cstheme="majorBidi"/>
          <w:sz w:val="24"/>
          <w:szCs w:val="24"/>
        </w:rPr>
        <w:t xml:space="preserve"> </w:t>
      </w:r>
      <w:r w:rsidR="00D976BA" w:rsidRPr="00000C98">
        <w:rPr>
          <w:rFonts w:asciiTheme="majorBidi" w:hAnsiTheme="majorBidi" w:cstheme="majorBidi"/>
          <w:sz w:val="24"/>
          <w:szCs w:val="24"/>
        </w:rPr>
        <w:t>times fewer neurologists and limited inclusion of neurological disorders in universal health coverage. WHO calls for urgent, coordinated global action to prioritize brain health, expand neurological services, and strengthen research, data systems, and caregiver support worldwide</w:t>
      </w:r>
      <w:r w:rsidR="00BD1357" w:rsidRPr="00000C98">
        <w:rPr>
          <w:rFonts w:asciiTheme="majorBidi" w:hAnsiTheme="majorBidi" w:cstheme="majorBidi"/>
          <w:sz w:val="24"/>
          <w:szCs w:val="24"/>
        </w:rPr>
        <w:t xml:space="preserve"> </w:t>
      </w:r>
      <w:r w:rsidR="00BD1357" w:rsidRPr="00000C98">
        <w:rPr>
          <w:rFonts w:asciiTheme="majorBidi" w:hAnsiTheme="majorBidi" w:cstheme="majorBidi"/>
          <w:sz w:val="24"/>
          <w:szCs w:val="24"/>
        </w:rPr>
        <w:fldChar w:fldCharType="begin"/>
      </w:r>
      <w:r w:rsidR="00BD1357" w:rsidRPr="00000C98">
        <w:rPr>
          <w:rFonts w:asciiTheme="majorBidi" w:hAnsiTheme="majorBidi" w:cstheme="majorBidi"/>
          <w:sz w:val="24"/>
          <w:szCs w:val="24"/>
        </w:rPr>
        <w:instrText xml:space="preserve"> ADDIN EN.CITE &lt;EndNote&gt;&lt;Cite&gt;&lt;Author&gt;WHO&lt;/Author&gt;&lt;Year&gt;2025&lt;/Year&gt;&lt;RecNum&gt;374&lt;/RecNum&gt;&lt;DisplayText&gt;(WHO, 2025a)&lt;/DisplayText&gt;&lt;record&gt;&lt;rec-number&gt;374&lt;/rec-number&gt;&lt;foreign-keys&gt;&lt;key app="EN" db-id="2ptrtps0adr9vke22dn5tpwzrsfaxtxrfwet" timestamp="1761037616"&gt;374&lt;/key&gt;&lt;/foreign-keys&gt;&lt;ref-type name="Web Page"&gt;12&lt;/ref-type&gt;&lt;contributors&gt;&lt;authors&gt;&lt;author&gt;WHO, World Health Organization&lt;/author&gt;&lt;/authors&gt;&lt;/contributors&gt;&lt;titles&gt;&lt;title&gt;11 million lives lost each year: urgent action needed on neurological care&lt;/title&gt;&lt;/titles&gt;&lt;volume&gt;14/10/2025&lt;/volume&gt;&lt;dates&gt;&lt;year&gt;2025&lt;/year&gt;&lt;/dates&gt;&lt;publisher&gt;https://www.who.int/news/item/14-10-2025-11-million-lives-lost-each-year-urgent-action-needed-on-neurological-care&lt;/publisher&gt;&lt;urls&gt;&lt;/urls&gt;&lt;/record&gt;&lt;/Cite&gt;&lt;/EndNote&gt;</w:instrText>
      </w:r>
      <w:r w:rsidR="00BD1357" w:rsidRPr="00000C98">
        <w:rPr>
          <w:rFonts w:asciiTheme="majorBidi" w:hAnsiTheme="majorBidi" w:cstheme="majorBidi"/>
          <w:sz w:val="24"/>
          <w:szCs w:val="24"/>
        </w:rPr>
        <w:fldChar w:fldCharType="separate"/>
      </w:r>
      <w:r w:rsidR="00BD1357" w:rsidRPr="00000C98">
        <w:rPr>
          <w:rFonts w:asciiTheme="majorBidi" w:hAnsiTheme="majorBidi" w:cstheme="majorBidi"/>
          <w:noProof/>
          <w:sz w:val="24"/>
          <w:szCs w:val="24"/>
        </w:rPr>
        <w:t>(</w:t>
      </w:r>
      <w:hyperlink w:anchor="_ENREF_256" w:tooltip="WHO, 2025 #374" w:history="1">
        <w:r w:rsidR="00DE113E" w:rsidRPr="00000C98">
          <w:rPr>
            <w:rFonts w:asciiTheme="majorBidi" w:hAnsiTheme="majorBidi" w:cstheme="majorBidi"/>
            <w:noProof/>
            <w:sz w:val="24"/>
            <w:szCs w:val="24"/>
          </w:rPr>
          <w:t>WHO, 2025a</w:t>
        </w:r>
      </w:hyperlink>
      <w:r w:rsidR="00BD1357" w:rsidRPr="00000C98">
        <w:rPr>
          <w:rFonts w:asciiTheme="majorBidi" w:hAnsiTheme="majorBidi" w:cstheme="majorBidi"/>
          <w:noProof/>
          <w:sz w:val="24"/>
          <w:szCs w:val="24"/>
        </w:rPr>
        <w:t>)</w:t>
      </w:r>
      <w:r w:rsidR="00BD1357" w:rsidRPr="00000C98">
        <w:rPr>
          <w:rFonts w:asciiTheme="majorBidi" w:hAnsiTheme="majorBidi" w:cstheme="majorBidi"/>
          <w:sz w:val="24"/>
          <w:szCs w:val="24"/>
        </w:rPr>
        <w:fldChar w:fldCharType="end"/>
      </w:r>
      <w:r w:rsidR="00D976BA" w:rsidRPr="00000C98">
        <w:rPr>
          <w:rFonts w:asciiTheme="majorBidi" w:hAnsiTheme="majorBidi" w:cstheme="majorBidi"/>
          <w:sz w:val="24"/>
          <w:szCs w:val="24"/>
        </w:rPr>
        <w:t>.</w:t>
      </w:r>
    </w:p>
    <w:p w14:paraId="6CC5FDAC" w14:textId="3785E533" w:rsidR="00310151" w:rsidRPr="00013488" w:rsidRDefault="00310151" w:rsidP="00C80A17">
      <w:pPr>
        <w:spacing w:line="360" w:lineRule="auto"/>
        <w:ind w:left="1080"/>
        <w:jc w:val="both"/>
        <w:rPr>
          <w:rFonts w:asciiTheme="majorBidi" w:hAnsiTheme="majorBidi" w:cstheme="majorBidi"/>
          <w:sz w:val="24"/>
          <w:szCs w:val="24"/>
        </w:rPr>
      </w:pPr>
    </w:p>
    <w:p w14:paraId="4F805146" w14:textId="418F1FA0" w:rsidR="00CF2F79" w:rsidRDefault="004B7691" w:rsidP="00C80A17">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lastRenderedPageBreak/>
        <w:t xml:space="preserve">Additionally, predictions indicate that this number will increase to 152 million by 2050 </w:t>
      </w:r>
      <w:r w:rsidR="006F0B2A" w:rsidRPr="00F71F57">
        <w:rPr>
          <w:rFonts w:asciiTheme="majorBidi" w:hAnsiTheme="majorBidi" w:cstheme="majorBidi"/>
          <w:sz w:val="24"/>
          <w:szCs w:val="24"/>
          <w:lang w:val="en-GB"/>
        </w:rPr>
        <w:t>because of</w:t>
      </w:r>
      <w:r w:rsidRPr="00F71F57">
        <w:rPr>
          <w:rFonts w:asciiTheme="majorBidi" w:hAnsiTheme="majorBidi" w:cstheme="majorBidi"/>
          <w:sz w:val="24"/>
          <w:szCs w:val="24"/>
          <w:lang w:val="en-GB"/>
        </w:rPr>
        <w:t xml:space="preserve"> global demographic changes, particularly in regions such as North America, Europe, and East Asia</w:t>
      </w:r>
      <w:r w:rsidR="006F0B2A" w:rsidRPr="00F71F57">
        <w:rPr>
          <w:rFonts w:asciiTheme="majorBidi" w:hAnsiTheme="majorBidi" w:cstheme="majorBidi"/>
          <w:sz w:val="24"/>
          <w:szCs w:val="24"/>
          <w:lang w:val="en-GB"/>
        </w:rPr>
        <w:t xml:space="preserve">. </w:t>
      </w:r>
      <w:r w:rsidR="002C44D4" w:rsidRPr="00F71F57">
        <w:rPr>
          <w:rFonts w:asciiTheme="majorBidi" w:hAnsiTheme="majorBidi" w:cstheme="majorBidi"/>
          <w:sz w:val="24"/>
          <w:szCs w:val="24"/>
          <w:lang w:val="en-GB"/>
        </w:rPr>
        <w:t xml:space="preserve">A systematic review and meta-analysis by </w:t>
      </w:r>
      <w:r w:rsidR="002C44D4" w:rsidRPr="00F71F57">
        <w:rPr>
          <w:rFonts w:asciiTheme="majorBidi" w:hAnsiTheme="majorBidi" w:cstheme="majorBidi"/>
          <w:sz w:val="24"/>
          <w:szCs w:val="24"/>
          <w:lang w:val="en-GB"/>
        </w:rPr>
        <w:fldChar w:fldCharType="begin"/>
      </w:r>
      <w:r w:rsidR="002C44D4" w:rsidRPr="00F71F57">
        <w:rPr>
          <w:rFonts w:asciiTheme="majorBidi" w:hAnsiTheme="majorBidi" w:cstheme="majorBidi"/>
          <w:sz w:val="24"/>
          <w:szCs w:val="24"/>
          <w:lang w:val="en-GB"/>
        </w:rPr>
        <w:instrText xml:space="preserve"> ADDIN EN.CITE &lt;EndNote&gt;&lt;Cite&gt;&lt;Author&gt;Roehr&lt;/Author&gt;&lt;Year&gt;2018&lt;/Year&gt;&lt;RecNum&gt;19&lt;/RecNum&gt;&lt;DisplayText&gt;(Roehr et al., 2018)&lt;/DisplayText&gt;&lt;record&gt;&lt;rec-number&gt;19&lt;/rec-number&gt;&lt;foreign-keys&gt;&lt;key app="EN" db-id="2ptrtps0adr9vke22dn5tpwzrsfaxtxrfwet" timestamp="1755518633"&gt;19&lt;/key&gt;&lt;/foreign-keys&gt;&lt;ref-type name="Journal Article"&gt;17&lt;/ref-type&gt;&lt;contributors&gt;&lt;authors&gt;&lt;author&gt;Roehr, S.&lt;/author&gt;&lt;author&gt;Pabst, A.&lt;/author&gt;&lt;author&gt;Luck, T.&lt;/author&gt;&lt;author&gt;Riedel-Heller, S. G.&lt;/author&gt;&lt;/authors&gt;&lt;/contributors&gt;&lt;auth-address&gt;Institute of Social Medicine, Occupational Health and Public Health (ISAP), Medical Faculty, University of Leipzig, Leipzig, Germany, susanne.roehr@medizin.uni-leipzig.de.&amp;#xD;LIFE - Leipzig Research Center for Civilization Diseases, University of Leipzig, Leipzig, Germany, susanne.roehr@medizin.uni-leipzig.de.&amp;#xD;Department of Economic and Social Sciences, Institute of Social Medicine, Rehabilitation Sciences and Healthcare Research (ISRV), University of Applied Sciences Nordhausen, Nordhausen, Germany.&lt;/auth-address&gt;&lt;titles&gt;&lt;title&gt;Is dementia incidence declining in high-income countries? A systematic review and meta-analysis&lt;/title&gt;&lt;secondary-title&gt;Clin Epidemiol&lt;/secondary-title&gt;&lt;/titles&gt;&lt;periodical&gt;&lt;full-title&gt;Clin Epidemiol&lt;/full-title&gt;&lt;/periodical&gt;&lt;pages&gt;1233-1247&lt;/pages&gt;&lt;volume&gt;10&lt;/volume&gt;&lt;edition&gt;2018/10/03&lt;/edition&gt;&lt;keywords&gt;&lt;keyword&gt;Alzheimer’s disease&lt;/keyword&gt;&lt;keyword&gt;cohort study&lt;/keyword&gt;&lt;keyword&gt;dementia&lt;/keyword&gt;&lt;keyword&gt;epidemiology&lt;/keyword&gt;&lt;keyword&gt;incidence&lt;/keyword&gt;&lt;keyword&gt;trends&lt;/keyword&gt;&lt;/keywords&gt;&lt;dates&gt;&lt;year&gt;2018&lt;/year&gt;&lt;/dates&gt;&lt;isbn&gt;1179-1349 (Print)&amp;#xD;1179-1349&lt;/isbn&gt;&lt;accession-num&gt;30271219&lt;/accession-num&gt;&lt;urls&gt;&lt;/urls&gt;&lt;custom2&gt;PMC6149863&lt;/custom2&gt;&lt;electronic-resource-num&gt;10.2147/clep.S163649&lt;/electronic-resource-num&gt;&lt;remote-database-provider&gt;NLM&lt;/remote-database-provider&gt;&lt;language&gt;eng&lt;/language&gt;&lt;/record&gt;&lt;/Cite&gt;&lt;/EndNote&gt;</w:instrText>
      </w:r>
      <w:r w:rsidR="002C44D4" w:rsidRPr="00F71F57">
        <w:rPr>
          <w:rFonts w:asciiTheme="majorBidi" w:hAnsiTheme="majorBidi" w:cstheme="majorBidi"/>
          <w:sz w:val="24"/>
          <w:szCs w:val="24"/>
          <w:lang w:val="en-GB"/>
        </w:rPr>
        <w:fldChar w:fldCharType="separate"/>
      </w:r>
      <w:r w:rsidR="002C44D4" w:rsidRPr="00F71F57">
        <w:rPr>
          <w:rFonts w:asciiTheme="majorBidi" w:hAnsiTheme="majorBidi" w:cstheme="majorBidi"/>
          <w:sz w:val="24"/>
          <w:szCs w:val="24"/>
          <w:lang w:val="en-GB"/>
        </w:rPr>
        <w:t>(</w:t>
      </w:r>
      <w:hyperlink w:anchor="_ENREF_201" w:tooltip="Roehr, 2018 #19" w:history="1">
        <w:r w:rsidR="00DE113E" w:rsidRPr="00F71F57">
          <w:rPr>
            <w:rFonts w:asciiTheme="majorBidi" w:hAnsiTheme="majorBidi" w:cstheme="majorBidi"/>
            <w:sz w:val="24"/>
            <w:szCs w:val="24"/>
            <w:lang w:val="en-GB"/>
          </w:rPr>
          <w:t>Roehr et al., 2018</w:t>
        </w:r>
      </w:hyperlink>
      <w:r w:rsidR="002C44D4" w:rsidRPr="00F71F57">
        <w:rPr>
          <w:rFonts w:asciiTheme="majorBidi" w:hAnsiTheme="majorBidi" w:cstheme="majorBidi"/>
          <w:sz w:val="24"/>
          <w:szCs w:val="24"/>
          <w:lang w:val="en-GB"/>
        </w:rPr>
        <w:t>)</w:t>
      </w:r>
      <w:r w:rsidR="002C44D4" w:rsidRPr="00F71F57">
        <w:rPr>
          <w:rFonts w:asciiTheme="majorBidi" w:hAnsiTheme="majorBidi" w:cstheme="majorBidi"/>
          <w:sz w:val="24"/>
          <w:szCs w:val="24"/>
          <w:lang w:val="en-GB"/>
        </w:rPr>
        <w:fldChar w:fldCharType="end"/>
      </w:r>
      <w:r w:rsidR="00036202">
        <w:rPr>
          <w:rFonts w:asciiTheme="majorBidi" w:hAnsiTheme="majorBidi" w:cstheme="majorBidi"/>
          <w:sz w:val="24"/>
          <w:szCs w:val="24"/>
          <w:lang w:val="en-GB"/>
        </w:rPr>
        <w:t xml:space="preserve"> </w:t>
      </w:r>
      <w:r w:rsidR="002C44D4" w:rsidRPr="00F71F57">
        <w:rPr>
          <w:rFonts w:asciiTheme="majorBidi" w:hAnsiTheme="majorBidi" w:cstheme="majorBidi"/>
          <w:sz w:val="24"/>
          <w:szCs w:val="24"/>
          <w:lang w:val="en-GB"/>
        </w:rPr>
        <w:t>supports these observations, showing that while dementia incidence in Western high-income countries such as the USA, UK, France, and the Netherlands has tended to stabilize or decline</w:t>
      </w:r>
      <w:r w:rsidR="00036202">
        <w:rPr>
          <w:rFonts w:asciiTheme="majorBidi" w:hAnsiTheme="majorBidi" w:cstheme="majorBidi"/>
          <w:sz w:val="24"/>
          <w:szCs w:val="24"/>
          <w:lang w:val="en-GB"/>
        </w:rPr>
        <w:t xml:space="preserve"> l</w:t>
      </w:r>
      <w:r w:rsidR="002C44D4" w:rsidRPr="00F71F57">
        <w:rPr>
          <w:rFonts w:asciiTheme="majorBidi" w:hAnsiTheme="majorBidi" w:cstheme="majorBidi"/>
          <w:sz w:val="24"/>
          <w:szCs w:val="24"/>
          <w:lang w:val="en-GB"/>
        </w:rPr>
        <w:t>ikely reflecting improvements in education, cardiovascular health, and living conditions</w:t>
      </w:r>
      <w:r w:rsidR="00036202">
        <w:rPr>
          <w:rFonts w:asciiTheme="majorBidi" w:hAnsiTheme="majorBidi" w:cstheme="majorBidi"/>
          <w:sz w:val="24"/>
          <w:szCs w:val="24"/>
          <w:lang w:val="en-GB"/>
        </w:rPr>
        <w:t xml:space="preserve"> </w:t>
      </w:r>
      <w:r w:rsidR="002C44D4" w:rsidRPr="00F71F57">
        <w:rPr>
          <w:rFonts w:asciiTheme="majorBidi" w:hAnsiTheme="majorBidi" w:cstheme="majorBidi"/>
          <w:sz w:val="24"/>
          <w:szCs w:val="24"/>
          <w:lang w:val="en-GB"/>
        </w:rPr>
        <w:t>evidence from Japan points to a significant increase. This divergence highlights that dementia trends are not uniform across regions, emphasizing the need for continued monitoring and more globally representative studies to clarify the underlying determinants of these patterns.</w:t>
      </w:r>
      <w:r w:rsidR="00FF0C61" w:rsidRPr="00F71F57">
        <w:rPr>
          <w:rFonts w:asciiTheme="majorBidi" w:hAnsiTheme="majorBidi" w:cstheme="majorBidi"/>
          <w:sz w:val="24"/>
          <w:szCs w:val="24"/>
          <w:lang w:val="en-GB"/>
        </w:rPr>
        <w:t xml:space="preserve"> </w:t>
      </w:r>
      <w:r w:rsidR="00C74300">
        <w:rPr>
          <w:rFonts w:asciiTheme="majorBidi" w:hAnsiTheme="majorBidi" w:cstheme="majorBidi"/>
          <w:sz w:val="24"/>
          <w:szCs w:val="24"/>
          <w:lang w:val="en-GB"/>
        </w:rPr>
        <w:t>Moreover</w:t>
      </w:r>
      <w:r w:rsidR="00040526" w:rsidRPr="00F71F57">
        <w:rPr>
          <w:rFonts w:asciiTheme="majorBidi" w:hAnsiTheme="majorBidi" w:cstheme="majorBidi"/>
          <w:sz w:val="24"/>
          <w:szCs w:val="24"/>
          <w:lang w:val="en-GB"/>
        </w:rPr>
        <w:t xml:space="preserve">, </w:t>
      </w:r>
      <w:r w:rsidR="00C74300">
        <w:rPr>
          <w:rFonts w:asciiTheme="majorBidi" w:hAnsiTheme="majorBidi" w:cstheme="majorBidi"/>
          <w:sz w:val="24"/>
          <w:szCs w:val="24"/>
          <w:lang w:val="en-GB"/>
        </w:rPr>
        <w:t>variations</w:t>
      </w:r>
      <w:r w:rsidR="00040526" w:rsidRPr="00F71F57">
        <w:rPr>
          <w:rFonts w:asciiTheme="majorBidi" w:hAnsiTheme="majorBidi" w:cstheme="majorBidi"/>
          <w:sz w:val="24"/>
          <w:szCs w:val="24"/>
          <w:lang w:val="en-GB"/>
        </w:rPr>
        <w:t xml:space="preserve"> in dementia prevalence have been observed in older populations within various European contexts, where increases in diagnosed cases were noted due to better screening mechanisms and greater awareness, as suggested by </w:t>
      </w:r>
      <w:r w:rsidR="00040526" w:rsidRPr="00F71F57">
        <w:rPr>
          <w:rFonts w:asciiTheme="majorBidi" w:hAnsiTheme="majorBidi" w:cstheme="majorBidi"/>
          <w:sz w:val="24"/>
          <w:szCs w:val="24"/>
          <w:lang w:val="en-GB"/>
        </w:rPr>
        <w:fldChar w:fldCharType="begin"/>
      </w:r>
      <w:r w:rsidR="00040526" w:rsidRPr="00F71F57">
        <w:rPr>
          <w:rFonts w:asciiTheme="majorBidi" w:hAnsiTheme="majorBidi" w:cstheme="majorBidi"/>
          <w:sz w:val="24"/>
          <w:szCs w:val="24"/>
          <w:lang w:val="en-GB"/>
        </w:rPr>
        <w:instrText xml:space="preserve"> ADDIN EN.CITE &lt;EndNote&gt;&lt;Cite&gt;&lt;Author&gt;Ding&lt;/Author&gt;&lt;Year&gt;2020&lt;/Year&gt;&lt;RecNum&gt;21&lt;/RecNum&gt;&lt;DisplayText&gt;(Ding et al., 2020)&lt;/DisplayText&gt;&lt;record&gt;&lt;rec-number&gt;21&lt;/rec-number&gt;&lt;foreign-keys&gt;&lt;key app="EN" db-id="2ptrtps0adr9vke22dn5tpwzrsfaxtxrfwet" timestamp="1755519502"&gt;21&lt;/key&gt;&lt;/foreign-keys&gt;&lt;ref-type name="Journal Article"&gt;17&lt;/ref-type&gt;&lt;contributors&gt;&lt;authors&gt;&lt;author&gt;Ding, Mozhu&lt;/author&gt;&lt;author&gt;Qiu, Chengxuan&lt;/author&gt;&lt;author&gt;Rizzuto, Debora&lt;/author&gt;&lt;author&gt;Grande, Giulia&lt;/author&gt;&lt;author&gt;Fratiglioni, Laura&lt;/author&gt;&lt;/authors&gt;&lt;/contributors&gt;&lt;titles&gt;&lt;title&gt;Tracing temporal trends in dementia incidence over 25 years in central Stockholm, Sweden&lt;/title&gt;&lt;secondary-title&gt;Alzheimer&amp;apos;s &amp;amp; Dementia&lt;/secondary-title&gt;&lt;/titles&gt;&lt;periodical&gt;&lt;full-title&gt;Alzheimer&amp;apos;s &amp;amp; Dementia&lt;/full-title&gt;&lt;/periodical&gt;&lt;pages&gt;770-778&lt;/pages&gt;&lt;volume&gt;16&lt;/volume&gt;&lt;number&gt;5&lt;/number&gt;&lt;dates&gt;&lt;year&gt;2020&lt;/year&gt;&lt;/dates&gt;&lt;isbn&gt;1552-5260&lt;/isbn&gt;&lt;urls&gt;&lt;related-urls&gt;&lt;url&gt;https://alz-journals.onlinelibrary.wiley.com/doi/abs/10.1002/alz.12073&lt;/url&gt;&lt;/related-urls&gt;&lt;/urls&gt;&lt;electronic-resource-num&gt;https://doi.org/10.1002/alz.12073&lt;/electronic-resource-num&gt;&lt;/record&gt;&lt;/Cite&gt;&lt;/EndNote&gt;</w:instrText>
      </w:r>
      <w:r w:rsidR="00040526" w:rsidRPr="00F71F57">
        <w:rPr>
          <w:rFonts w:asciiTheme="majorBidi" w:hAnsiTheme="majorBidi" w:cstheme="majorBidi"/>
          <w:sz w:val="24"/>
          <w:szCs w:val="24"/>
          <w:lang w:val="en-GB"/>
        </w:rPr>
        <w:fldChar w:fldCharType="separate"/>
      </w:r>
      <w:r w:rsidR="00040526" w:rsidRPr="00F71F57">
        <w:rPr>
          <w:rFonts w:asciiTheme="majorBidi" w:hAnsiTheme="majorBidi" w:cstheme="majorBidi"/>
          <w:sz w:val="24"/>
          <w:szCs w:val="24"/>
          <w:lang w:val="en-GB"/>
        </w:rPr>
        <w:t>(</w:t>
      </w:r>
      <w:hyperlink w:anchor="_ENREF_64" w:tooltip="Ding, 2020 #21" w:history="1">
        <w:r w:rsidR="00DE113E" w:rsidRPr="00F71F57">
          <w:rPr>
            <w:rFonts w:asciiTheme="majorBidi" w:hAnsiTheme="majorBidi" w:cstheme="majorBidi"/>
            <w:sz w:val="24"/>
            <w:szCs w:val="24"/>
            <w:lang w:val="en-GB"/>
          </w:rPr>
          <w:t>Ding et al., 2020</w:t>
        </w:r>
      </w:hyperlink>
      <w:r w:rsidR="00040526" w:rsidRPr="00F71F57">
        <w:rPr>
          <w:rFonts w:asciiTheme="majorBidi" w:hAnsiTheme="majorBidi" w:cstheme="majorBidi"/>
          <w:sz w:val="24"/>
          <w:szCs w:val="24"/>
          <w:lang w:val="en-GB"/>
        </w:rPr>
        <w:t>)</w:t>
      </w:r>
      <w:r w:rsidR="00040526" w:rsidRPr="00F71F57">
        <w:rPr>
          <w:rFonts w:asciiTheme="majorBidi" w:hAnsiTheme="majorBidi" w:cstheme="majorBidi"/>
          <w:sz w:val="24"/>
          <w:szCs w:val="24"/>
          <w:lang w:val="en-GB"/>
        </w:rPr>
        <w:fldChar w:fldCharType="end"/>
      </w:r>
      <w:r w:rsidR="00040526" w:rsidRPr="00F71F57">
        <w:rPr>
          <w:rFonts w:asciiTheme="majorBidi" w:hAnsiTheme="majorBidi" w:cstheme="majorBidi"/>
          <w:sz w:val="24"/>
          <w:szCs w:val="24"/>
          <w:lang w:val="en-GB"/>
        </w:rPr>
        <w:t>.</w:t>
      </w:r>
      <w:r w:rsidR="000F24F9" w:rsidRPr="00F71F57">
        <w:rPr>
          <w:rFonts w:asciiTheme="majorBidi" w:hAnsiTheme="majorBidi" w:cstheme="majorBidi"/>
          <w:sz w:val="24"/>
          <w:szCs w:val="24"/>
          <w:lang w:val="en-GB"/>
        </w:rPr>
        <w:t xml:space="preserve"> </w:t>
      </w:r>
      <w:r w:rsidR="0008214E" w:rsidRPr="00F71F57">
        <w:rPr>
          <w:rFonts w:asciiTheme="majorBidi" w:hAnsiTheme="majorBidi" w:cstheme="majorBidi"/>
          <w:sz w:val="24"/>
          <w:szCs w:val="24"/>
          <w:lang w:val="en-GB"/>
        </w:rPr>
        <w:t>Specific demographic and regional studies reinforce these findings. In East Asia, studies like those by Honda et al., point to significant rises in dementia prevalence figures, emphasizing that the region's unique demographic trends</w:t>
      </w:r>
      <w:r w:rsidR="00C74300">
        <w:rPr>
          <w:rFonts w:asciiTheme="majorBidi" w:hAnsiTheme="majorBidi" w:cstheme="majorBidi"/>
          <w:sz w:val="24"/>
          <w:szCs w:val="24"/>
          <w:lang w:val="en-GB"/>
        </w:rPr>
        <w:t xml:space="preserve"> </w:t>
      </w:r>
      <w:r w:rsidR="0008214E" w:rsidRPr="00F71F57">
        <w:rPr>
          <w:rFonts w:asciiTheme="majorBidi" w:hAnsiTheme="majorBidi" w:cstheme="majorBidi"/>
          <w:sz w:val="24"/>
          <w:szCs w:val="24"/>
          <w:lang w:val="en-GB"/>
        </w:rPr>
        <w:t>such as rapid urbanization and lifestyle changes</w:t>
      </w:r>
      <w:r w:rsidR="00C74300">
        <w:rPr>
          <w:rFonts w:asciiTheme="majorBidi" w:hAnsiTheme="majorBidi" w:cstheme="majorBidi"/>
          <w:sz w:val="24"/>
          <w:szCs w:val="24"/>
          <w:lang w:val="en-GB"/>
        </w:rPr>
        <w:t xml:space="preserve"> </w:t>
      </w:r>
      <w:r w:rsidR="0008214E" w:rsidRPr="00F71F57">
        <w:rPr>
          <w:rFonts w:asciiTheme="majorBidi" w:hAnsiTheme="majorBidi" w:cstheme="majorBidi"/>
          <w:sz w:val="24"/>
          <w:szCs w:val="24"/>
          <w:lang w:val="en-GB"/>
        </w:rPr>
        <w:t xml:space="preserve">may exacerbate the situation </w:t>
      </w:r>
      <w:r w:rsidR="0008214E" w:rsidRPr="00F71F57">
        <w:rPr>
          <w:rFonts w:asciiTheme="majorBidi" w:hAnsiTheme="majorBidi" w:cstheme="majorBidi"/>
          <w:sz w:val="24"/>
          <w:szCs w:val="24"/>
          <w:lang w:val="en-GB"/>
        </w:rPr>
        <w:fldChar w:fldCharType="begin"/>
      </w:r>
      <w:r w:rsidR="0008214E" w:rsidRPr="00F71F57">
        <w:rPr>
          <w:rFonts w:asciiTheme="majorBidi" w:hAnsiTheme="majorBidi" w:cstheme="majorBidi"/>
          <w:sz w:val="24"/>
          <w:szCs w:val="24"/>
          <w:lang w:val="en-GB"/>
        </w:rPr>
        <w:instrText xml:space="preserve"> ADDIN EN.CITE &lt;EndNote&gt;&lt;Cite&gt;&lt;Author&gt;Honda&lt;/Author&gt;&lt;Year&gt;2016&lt;/Year&gt;&lt;RecNum&gt;22&lt;/RecNum&gt;&lt;DisplayText&gt;(Honda et al., 2016)&lt;/DisplayText&gt;&lt;record&gt;&lt;rec-number&gt;22&lt;/rec-number&gt;&lt;foreign-keys&gt;&lt;key app="EN" db-id="2ptrtps0adr9vke22dn5tpwzrsfaxtxrfwet" timestamp="1755519937"&gt;22&lt;/key&gt;&lt;/foreign-keys&gt;&lt;ref-type name="Journal Article"&gt;17&lt;/ref-type&gt;&lt;contributors&gt;&lt;authors&gt;&lt;author&gt;Honda, Hiroyuki&lt;/author&gt;&lt;author&gt;Sasaki, Kensuke&lt;/author&gt;&lt;author&gt;Hamasaki, Hideomi&lt;/author&gt;&lt;author&gt;Shijo, Masahiro&lt;/author&gt;&lt;author&gt;Koyama, Sachiko&lt;/author&gt;&lt;author&gt;Ohara, Tomoyuki&lt;/author&gt;&lt;author&gt;Ninomiya, Toshiharu&lt;/author&gt;&lt;author&gt;Kiyohara, Yutaka&lt;/author&gt;&lt;author&gt;Suzuki, Satoshi O.&lt;/author&gt;&lt;author&gt;Iwaki, Toru&lt;/author&gt;&lt;/authors&gt;&lt;/contributors&gt;&lt;titles&gt;&lt;title&gt;Trends in autopsy-verified dementia prevalence over 29 years of the Hisayama study&lt;/title&gt;&lt;secondary-title&gt;Neuropathology&lt;/secondary-title&gt;&lt;/titles&gt;&lt;periodical&gt;&lt;full-title&gt;Neuropathology&lt;/full-title&gt;&lt;/periodical&gt;&lt;pages&gt;383-387&lt;/pages&gt;&lt;volume&gt;36&lt;/volume&gt;&lt;number&gt;4&lt;/number&gt;&lt;dates&gt;&lt;year&gt;2016&lt;/year&gt;&lt;/dates&gt;&lt;isbn&gt;0919-6544&lt;/isbn&gt;&lt;urls&gt;&lt;related-urls&gt;&lt;url&gt;https://onlinelibrary.wiley.com/doi/abs/10.1111/neup.12298&lt;/url&gt;&lt;/related-urls&gt;&lt;/urls&gt;&lt;electronic-resource-num&gt;https://doi.org/10.1111/neup.12298&lt;/electronic-resource-num&gt;&lt;/record&gt;&lt;/Cite&gt;&lt;/EndNote&gt;</w:instrText>
      </w:r>
      <w:r w:rsidR="0008214E" w:rsidRPr="00F71F57">
        <w:rPr>
          <w:rFonts w:asciiTheme="majorBidi" w:hAnsiTheme="majorBidi" w:cstheme="majorBidi"/>
          <w:sz w:val="24"/>
          <w:szCs w:val="24"/>
          <w:lang w:val="en-GB"/>
        </w:rPr>
        <w:fldChar w:fldCharType="separate"/>
      </w:r>
      <w:r w:rsidR="0008214E" w:rsidRPr="00F71F57">
        <w:rPr>
          <w:rFonts w:asciiTheme="majorBidi" w:hAnsiTheme="majorBidi" w:cstheme="majorBidi"/>
          <w:sz w:val="24"/>
          <w:szCs w:val="24"/>
          <w:lang w:val="en-GB"/>
        </w:rPr>
        <w:t>(</w:t>
      </w:r>
      <w:hyperlink w:anchor="_ENREF_104" w:tooltip="Honda, 2016 #22" w:history="1">
        <w:r w:rsidR="00DE113E" w:rsidRPr="00F71F57">
          <w:rPr>
            <w:rFonts w:asciiTheme="majorBidi" w:hAnsiTheme="majorBidi" w:cstheme="majorBidi"/>
            <w:sz w:val="24"/>
            <w:szCs w:val="24"/>
            <w:lang w:val="en-GB"/>
          </w:rPr>
          <w:t>Honda et al., 2016</w:t>
        </w:r>
      </w:hyperlink>
      <w:r w:rsidR="0008214E" w:rsidRPr="00F71F57">
        <w:rPr>
          <w:rFonts w:asciiTheme="majorBidi" w:hAnsiTheme="majorBidi" w:cstheme="majorBidi"/>
          <w:sz w:val="24"/>
          <w:szCs w:val="24"/>
          <w:lang w:val="en-GB"/>
        </w:rPr>
        <w:t>)</w:t>
      </w:r>
      <w:r w:rsidR="0008214E" w:rsidRPr="00F71F57">
        <w:rPr>
          <w:rFonts w:asciiTheme="majorBidi" w:hAnsiTheme="majorBidi" w:cstheme="majorBidi"/>
          <w:sz w:val="24"/>
          <w:szCs w:val="24"/>
          <w:lang w:val="en-GB"/>
        </w:rPr>
        <w:fldChar w:fldCharType="end"/>
      </w:r>
      <w:r w:rsidR="0008214E" w:rsidRPr="00F71F57">
        <w:rPr>
          <w:rFonts w:asciiTheme="majorBidi" w:hAnsiTheme="majorBidi" w:cstheme="majorBidi"/>
          <w:sz w:val="24"/>
          <w:szCs w:val="24"/>
          <w:lang w:val="en-GB"/>
        </w:rPr>
        <w:t>. Meanwhile, another study report</w:t>
      </w:r>
      <w:r w:rsidR="00C04DF9" w:rsidRPr="00F71F57">
        <w:rPr>
          <w:rFonts w:asciiTheme="majorBidi" w:hAnsiTheme="majorBidi" w:cstheme="majorBidi"/>
          <w:sz w:val="24"/>
          <w:szCs w:val="24"/>
          <w:lang w:val="en-GB"/>
        </w:rPr>
        <w:t>s</w:t>
      </w:r>
      <w:r w:rsidR="0008214E" w:rsidRPr="00F71F57">
        <w:rPr>
          <w:rFonts w:asciiTheme="majorBidi" w:hAnsiTheme="majorBidi" w:cstheme="majorBidi"/>
          <w:sz w:val="24"/>
          <w:szCs w:val="24"/>
          <w:lang w:val="en-GB"/>
        </w:rPr>
        <w:t xml:space="preserve"> persistent increases in dementia incidence calculated from 1990 to 2017 in countries like Japan, underscoring that even in wealthier nations with advanced medical care, issues tied to dementia are evolving rather than diminishing </w:t>
      </w:r>
      <w:r w:rsidR="00276705" w:rsidRPr="00F71F57">
        <w:rPr>
          <w:rFonts w:asciiTheme="majorBidi" w:hAnsiTheme="majorBidi" w:cstheme="majorBidi"/>
          <w:sz w:val="24"/>
          <w:szCs w:val="24"/>
          <w:lang w:val="en-GB"/>
        </w:rPr>
        <w:fldChar w:fldCharType="begin"/>
      </w:r>
      <w:r w:rsidR="00276705" w:rsidRPr="00F71F57">
        <w:rPr>
          <w:rFonts w:asciiTheme="majorBidi" w:hAnsiTheme="majorBidi" w:cstheme="majorBidi"/>
          <w:sz w:val="24"/>
          <w:szCs w:val="24"/>
          <w:lang w:val="en-GB"/>
        </w:rPr>
        <w:instrText xml:space="preserve"> ADDIN EN.CITE &lt;EndNote&gt;&lt;Cite&gt;&lt;Author&gt;Guo&lt;/Author&gt;&lt;Year&gt;2020&lt;/Year&gt;&lt;RecNum&gt;23&lt;/RecNum&gt;&lt;DisplayText&gt;(Guo et al., 2020)&lt;/DisplayText&gt;&lt;record&gt;&lt;rec-number&gt;23&lt;/rec-number&gt;&lt;foreign-keys&gt;&lt;key app="EN" db-id="2ptrtps0adr9vke22dn5tpwzrsfaxtxrfwet" timestamp="1755520096"&gt;23&lt;/key&gt;&lt;/foreign-keys&gt;&lt;ref-type name="Journal Article"&gt;17&lt;/ref-type&gt;&lt;contributors&gt;&lt;authors&gt;&lt;author&gt;Guo, Xiaojuan&lt;/author&gt;&lt;author&gt;He, Hairong&lt;/author&gt;&lt;author&gt;Qu, Yan&lt;/author&gt;&lt;author&gt;Liu, Jie&lt;/author&gt;&lt;author&gt;Qu, Qiumin&lt;/author&gt;&lt;author&gt;Lyu, Jun&lt;/author&gt;&lt;/authors&gt;&lt;/contributors&gt;&lt;titles&gt;&lt;title&gt;Incidence of Alzheimer’s Disease and Other Dementias: Results from the 2017 Global Burden of Disease Study&lt;/title&gt;&lt;/titles&gt;&lt;dates&gt;&lt;year&gt;2020&lt;/year&gt;&lt;/dates&gt;&lt;urls&gt;&lt;/urls&gt;&lt;/record&gt;&lt;/Cite&gt;&lt;/EndNote&gt;</w:instrText>
      </w:r>
      <w:r w:rsidR="00276705" w:rsidRPr="00F71F57">
        <w:rPr>
          <w:rFonts w:asciiTheme="majorBidi" w:hAnsiTheme="majorBidi" w:cstheme="majorBidi"/>
          <w:sz w:val="24"/>
          <w:szCs w:val="24"/>
          <w:lang w:val="en-GB"/>
        </w:rPr>
        <w:fldChar w:fldCharType="separate"/>
      </w:r>
      <w:r w:rsidR="00276705" w:rsidRPr="00F71F57">
        <w:rPr>
          <w:rFonts w:asciiTheme="majorBidi" w:hAnsiTheme="majorBidi" w:cstheme="majorBidi"/>
          <w:sz w:val="24"/>
          <w:szCs w:val="24"/>
          <w:lang w:val="en-GB"/>
        </w:rPr>
        <w:t>(</w:t>
      </w:r>
      <w:hyperlink w:anchor="_ENREF_93" w:tooltip="Guo, 2020 #23" w:history="1">
        <w:r w:rsidR="00DE113E" w:rsidRPr="00F71F57">
          <w:rPr>
            <w:rFonts w:asciiTheme="majorBidi" w:hAnsiTheme="majorBidi" w:cstheme="majorBidi"/>
            <w:sz w:val="24"/>
            <w:szCs w:val="24"/>
            <w:lang w:val="en-GB"/>
          </w:rPr>
          <w:t>Guo et al., 2020</w:t>
        </w:r>
      </w:hyperlink>
      <w:r w:rsidR="00276705" w:rsidRPr="00F71F57">
        <w:rPr>
          <w:rFonts w:asciiTheme="majorBidi" w:hAnsiTheme="majorBidi" w:cstheme="majorBidi"/>
          <w:sz w:val="24"/>
          <w:szCs w:val="24"/>
          <w:lang w:val="en-GB"/>
        </w:rPr>
        <w:t>)</w:t>
      </w:r>
      <w:r w:rsidR="00276705" w:rsidRPr="00F71F57">
        <w:rPr>
          <w:rFonts w:asciiTheme="majorBidi" w:hAnsiTheme="majorBidi" w:cstheme="majorBidi"/>
          <w:sz w:val="24"/>
          <w:szCs w:val="24"/>
          <w:lang w:val="en-GB"/>
        </w:rPr>
        <w:fldChar w:fldCharType="end"/>
      </w:r>
      <w:r w:rsidR="0008214E" w:rsidRPr="00F71F57">
        <w:rPr>
          <w:rFonts w:asciiTheme="majorBidi" w:hAnsiTheme="majorBidi" w:cstheme="majorBidi"/>
          <w:sz w:val="24"/>
          <w:szCs w:val="24"/>
          <w:lang w:val="en-GB"/>
        </w:rPr>
        <w:t>. Such nuances indicate that while some high-income countries may be witnessing a decline due to better health and improved lifestyle factors, the overarching issue is far more complicated and variable.</w:t>
      </w:r>
      <w:r w:rsidR="00A4302F" w:rsidRPr="00F71F57">
        <w:rPr>
          <w:rFonts w:asciiTheme="majorBidi" w:hAnsiTheme="majorBidi" w:cstheme="majorBidi"/>
          <w:sz w:val="24"/>
          <w:szCs w:val="24"/>
          <w:rtl/>
          <w:lang w:val="en-GB"/>
        </w:rPr>
        <w:t xml:space="preserve"> </w:t>
      </w:r>
      <w:r w:rsidR="006524C1" w:rsidRPr="00F71F57">
        <w:rPr>
          <w:rFonts w:asciiTheme="majorBidi" w:hAnsiTheme="majorBidi" w:cstheme="majorBidi"/>
          <w:sz w:val="24"/>
          <w:szCs w:val="24"/>
          <w:lang w:val="en-GB"/>
        </w:rPr>
        <w:t xml:space="preserve">Considering these findings, expert consensus on future public health strategies becomes increasingly imperative. The growing body of literature emphasizes the importance of preventative measures in dementia care, where traditional models based on simplistic trends may overlook more complex realities. Emphasize that while some </w:t>
      </w:r>
      <w:r w:rsidR="006524C1" w:rsidRPr="00F71F57">
        <w:rPr>
          <w:rFonts w:asciiTheme="majorBidi" w:hAnsiTheme="majorBidi" w:cstheme="majorBidi"/>
          <w:sz w:val="24"/>
          <w:szCs w:val="24"/>
          <w:lang w:val="en-GB"/>
        </w:rPr>
        <w:lastRenderedPageBreak/>
        <w:t>age cohorts may exhibit declining trends in dementia incidence, improved survival rates among those diagnosed with dementia can offset these reductions in incidence, leading to an increased prevalence overall</w:t>
      </w:r>
      <w:r w:rsidR="006524C1" w:rsidRPr="00F71F57">
        <w:rPr>
          <w:rFonts w:asciiTheme="majorBidi" w:hAnsiTheme="majorBidi" w:cstheme="majorBidi"/>
          <w:sz w:val="24"/>
          <w:szCs w:val="24"/>
          <w:rtl/>
          <w:lang w:val="en-GB"/>
        </w:rPr>
        <w:t xml:space="preserve"> </w:t>
      </w:r>
      <w:r w:rsidR="00A4302F" w:rsidRPr="00F71F57">
        <w:rPr>
          <w:rFonts w:asciiTheme="majorBidi" w:hAnsiTheme="majorBidi" w:cstheme="majorBidi"/>
          <w:sz w:val="24"/>
          <w:szCs w:val="24"/>
          <w:lang w:val="en-GB"/>
        </w:rPr>
        <w:fldChar w:fldCharType="begin"/>
      </w:r>
      <w:r w:rsidR="00A4302F" w:rsidRPr="00F71F57">
        <w:rPr>
          <w:rFonts w:asciiTheme="majorBidi" w:hAnsiTheme="majorBidi" w:cstheme="majorBidi"/>
          <w:sz w:val="24"/>
          <w:szCs w:val="24"/>
          <w:lang w:val="en-GB"/>
        </w:rPr>
        <w:instrText xml:space="preserve"> ADDIN EN.CITE &lt;EndNote&gt;&lt;Cite&gt;&lt;Author&gt;Wimo&lt;/Author&gt;&lt;Year&gt;2016&lt;/Year&gt;&lt;RecNum&gt;24&lt;/RecNum&gt;&lt;DisplayText&gt;(Wimo et al., 2016)&lt;/DisplayText&gt;&lt;record&gt;&lt;rec-number&gt;24&lt;/rec-number&gt;&lt;foreign-keys&gt;&lt;key app="EN" db-id="2ptrtps0adr9vke22dn5tpwzrsfaxtxrfwet" timestamp="1755520715"&gt;24&lt;/key&gt;&lt;/foreign-keys&gt;&lt;ref-type name="Journal Article"&gt;17&lt;/ref-type&gt;&lt;contributors&gt;&lt;authors&gt;&lt;author&gt;Wimo, Anders&lt;/author&gt;&lt;author&gt;Sjölund, Britt-Marie&lt;/author&gt;&lt;author&gt;Sköldunger, Anders&lt;/author&gt;&lt;author&gt;Qiu, Chengxuan&lt;/author&gt;&lt;author&gt;Klarin, Inga&lt;/author&gt;&lt;author&gt;Nordberg, Gunilla&lt;/author&gt;&lt;author&gt;von Strauss, Eva&lt;/author&gt;&lt;/authors&gt;&lt;/contributors&gt;&lt;titles&gt;&lt;title&gt;Cohort Effects in the Prevalence and Survival of People with Dementia in a Rural Area in Northern Sweden&lt;/title&gt;&lt;secondary-title&gt;Journal of Alzheimer’s Disease&lt;/secondary-title&gt;&lt;/titles&gt;&lt;periodical&gt;&lt;full-title&gt;Journal of Alzheimer’s Disease&lt;/full-title&gt;&lt;/periodical&gt;&lt;pages&gt;387-396&lt;/pages&gt;&lt;volume&gt;50&lt;/volume&gt;&lt;number&gt;2&lt;/number&gt;&lt;keywords&gt;&lt;keyword&gt;Dementia, mortality, prevalence, rural population&lt;/keyword&gt;&lt;/keywords&gt;&lt;dates&gt;&lt;year&gt;2016&lt;/year&gt;&lt;/dates&gt;&lt;accession-num&gt;26639970&lt;/accession-num&gt;&lt;urls&gt;&lt;related-urls&gt;&lt;url&gt;https://journals.sagepub.com/doi/abs/10.3233/JAD-150708&lt;/url&gt;&lt;/related-urls&gt;&lt;/urls&gt;&lt;electronic-resource-num&gt;10.3233/jad-150708&lt;/electronic-resource-num&gt;&lt;/record&gt;&lt;/Cite&gt;&lt;/EndNote&gt;</w:instrText>
      </w:r>
      <w:r w:rsidR="00A4302F" w:rsidRPr="00F71F57">
        <w:rPr>
          <w:rFonts w:asciiTheme="majorBidi" w:hAnsiTheme="majorBidi" w:cstheme="majorBidi"/>
          <w:sz w:val="24"/>
          <w:szCs w:val="24"/>
          <w:lang w:val="en-GB"/>
        </w:rPr>
        <w:fldChar w:fldCharType="separate"/>
      </w:r>
      <w:r w:rsidR="00A4302F" w:rsidRPr="00F71F57">
        <w:rPr>
          <w:rFonts w:asciiTheme="majorBidi" w:hAnsiTheme="majorBidi" w:cstheme="majorBidi"/>
          <w:sz w:val="24"/>
          <w:szCs w:val="24"/>
          <w:lang w:val="en-GB"/>
        </w:rPr>
        <w:t>(</w:t>
      </w:r>
      <w:hyperlink w:anchor="_ENREF_260" w:tooltip="Wimo, 2016 #24" w:history="1">
        <w:r w:rsidR="00DE113E" w:rsidRPr="00F71F57">
          <w:rPr>
            <w:rFonts w:asciiTheme="majorBidi" w:hAnsiTheme="majorBidi" w:cstheme="majorBidi"/>
            <w:sz w:val="24"/>
            <w:szCs w:val="24"/>
            <w:lang w:val="en-GB"/>
          </w:rPr>
          <w:t>Wimo et al., 2016</w:t>
        </w:r>
      </w:hyperlink>
      <w:r w:rsidR="00A4302F" w:rsidRPr="00F71F57">
        <w:rPr>
          <w:rFonts w:asciiTheme="majorBidi" w:hAnsiTheme="majorBidi" w:cstheme="majorBidi"/>
          <w:sz w:val="24"/>
          <w:szCs w:val="24"/>
          <w:lang w:val="en-GB"/>
        </w:rPr>
        <w:t>)</w:t>
      </w:r>
      <w:r w:rsidR="00A4302F" w:rsidRPr="00F71F57">
        <w:rPr>
          <w:rFonts w:asciiTheme="majorBidi" w:hAnsiTheme="majorBidi" w:cstheme="majorBidi"/>
          <w:sz w:val="24"/>
          <w:szCs w:val="24"/>
          <w:lang w:val="en-GB"/>
        </w:rPr>
        <w:fldChar w:fldCharType="end"/>
      </w:r>
      <w:r w:rsidR="00FC0F3B">
        <w:rPr>
          <w:rFonts w:asciiTheme="majorBidi" w:hAnsiTheme="majorBidi" w:cstheme="majorBidi"/>
          <w:sz w:val="24"/>
          <w:szCs w:val="24"/>
          <w:lang w:val="en-GB"/>
        </w:rPr>
        <w:t>.</w:t>
      </w:r>
      <w:r w:rsidR="00CF2F79" w:rsidRPr="00F71F57">
        <w:rPr>
          <w:rFonts w:asciiTheme="majorBidi" w:hAnsiTheme="majorBidi" w:cstheme="majorBidi"/>
          <w:sz w:val="24"/>
          <w:szCs w:val="24"/>
          <w:rtl/>
          <w:lang w:val="en-GB"/>
        </w:rPr>
        <w:t xml:space="preserve"> </w:t>
      </w:r>
      <w:r w:rsidR="00CF2F79" w:rsidRPr="00F71F57">
        <w:rPr>
          <w:rFonts w:asciiTheme="majorBidi" w:hAnsiTheme="majorBidi" w:cstheme="majorBidi"/>
          <w:sz w:val="24"/>
          <w:szCs w:val="24"/>
          <w:lang w:val="en-GB"/>
        </w:rPr>
        <w:t>Given the complexities surrounding global trends in the incidence and prevalence of neurodegenerative diseases—particularly dementia—it is evident that traditional forecasting models based on linear assumptions are no longer sufficient. Factors such as increased survival among diagnosed individuals, demographic shifts, and regional disparities in risk profiles underscore the need for public health strategies grounded in current, multidimensional evidence. Emphasizing prevention and early detection not only holds promise for slowing the progression of these conditions but also for alleviating their growing economic and social burden. Therefore, the following section will explore the most effective approaches to preventing and potentially curing neurocognitive disorders, with a focus on emerging research and intervention strategies.</w:t>
      </w:r>
    </w:p>
    <w:p w14:paraId="59A6B6BE" w14:textId="77777777" w:rsidR="00912EDC" w:rsidRDefault="00912EDC" w:rsidP="00C80A17">
      <w:pPr>
        <w:ind w:left="1080"/>
        <w:jc w:val="both"/>
        <w:rPr>
          <w:rFonts w:asciiTheme="majorBidi" w:hAnsiTheme="majorBidi" w:cstheme="majorBidi"/>
          <w:sz w:val="24"/>
          <w:szCs w:val="24"/>
          <w:lang w:val="en-GB"/>
        </w:rPr>
      </w:pPr>
    </w:p>
    <w:p w14:paraId="3DEEDD25" w14:textId="69C36CE7" w:rsidR="0090743C" w:rsidRPr="00D623DE" w:rsidRDefault="0090743C" w:rsidP="00D623DE">
      <w:pPr>
        <w:pStyle w:val="Heading3"/>
        <w:ind w:left="1080"/>
        <w:rPr>
          <w:lang w:val="en-GB"/>
        </w:rPr>
      </w:pPr>
      <w:bookmarkStart w:id="7" w:name="_Toc214875817"/>
      <w:bookmarkStart w:id="8" w:name="_Hlk209518870"/>
      <w:r w:rsidRPr="00D623DE">
        <w:rPr>
          <w:lang w:val="en-GB"/>
        </w:rPr>
        <w:t>1.1.2 Challenges in Early Diagnosis</w:t>
      </w:r>
      <w:bookmarkEnd w:id="7"/>
      <w:r w:rsidRPr="00D623DE">
        <w:rPr>
          <w:lang w:val="en-GB"/>
        </w:rPr>
        <w:t xml:space="preserve"> </w:t>
      </w:r>
    </w:p>
    <w:p w14:paraId="0FA69854" w14:textId="5FD8D08B" w:rsidR="0090743C" w:rsidRPr="0090743C" w:rsidRDefault="00322A3A" w:rsidP="00322A3A">
      <w:pPr>
        <w:spacing w:line="360" w:lineRule="auto"/>
        <w:ind w:left="1080"/>
        <w:jc w:val="both"/>
        <w:rPr>
          <w:rFonts w:asciiTheme="majorBidi" w:hAnsiTheme="majorBidi" w:cstheme="majorBidi"/>
          <w:sz w:val="24"/>
          <w:szCs w:val="24"/>
          <w:lang w:val="en-GB"/>
        </w:rPr>
      </w:pPr>
      <w:r w:rsidRPr="00322A3A">
        <w:rPr>
          <w:rFonts w:asciiTheme="majorBidi" w:hAnsiTheme="majorBidi" w:cstheme="majorBidi"/>
          <w:sz w:val="24"/>
          <w:szCs w:val="24"/>
          <w:lang w:val="en-GB"/>
        </w:rPr>
        <w:t xml:space="preserve">Early diagnosis and intervention of cognitive dysfunctions in both healthy and ill patients present numerous challenges, significantly hindering the timely identification of conditions such as mild cognitive impairment (MCI) and Alzheimer’s disease (AD). One of the foremost challenges in early detection is the reliance on standardized cognitive assessments that predominantly evaluate episodic memory, like the Mini-Mental State Examination (MMSE), which may not capture the multifaceted nature of cognitive decline. These assessments traditionally focus on specific types of memory, often overlooking other cognitive domains that may be equally affected but are less observable in early stages. Consequently, cognitive impairments can exist for years prior to clinical recognition, creating a widening gap between the onset of symptoms and definitive diagnosis </w:t>
      </w:r>
      <w:r>
        <w:rPr>
          <w:rFonts w:asciiTheme="majorBidi" w:hAnsiTheme="majorBidi" w:cstheme="majorBidi"/>
          <w:sz w:val="24"/>
          <w:szCs w:val="24"/>
          <w:lang w:val="en-GB"/>
        </w:rPr>
        <w:fldChar w:fldCharType="begin"/>
      </w:r>
      <w:r>
        <w:rPr>
          <w:rFonts w:asciiTheme="majorBidi" w:hAnsiTheme="majorBidi" w:cstheme="majorBidi"/>
          <w:sz w:val="24"/>
          <w:szCs w:val="24"/>
          <w:lang w:val="en-GB"/>
        </w:rPr>
        <w:instrText xml:space="preserve"> ADDIN EN.CITE &lt;EndNote&gt;&lt;Cite&gt;&lt;Author&gt;Subburaj&lt;/Author&gt;&lt;Year&gt;2021&lt;/Year&gt;&lt;RecNum&gt;342&lt;/RecNum&gt;&lt;DisplayText&gt;(Subburaj &amp;amp; Rani, 2021)&lt;/DisplayText&gt;&lt;record&gt;&lt;rec-number&gt;342&lt;/rec-number&gt;&lt;foreign-keys&gt;&lt;key app="EN" db-id="2ptrtps0adr9vke22dn5tpwzrsfaxtxrfwet" timestamp="1758622761"&gt;342&lt;/key&gt;&lt;/foreign-keys&gt;&lt;ref-type name="Journal Article"&gt;17&lt;/ref-type&gt;&lt;contributors&gt;&lt;authors&gt;&lt;author&gt;Subburaj, Nivithaa&lt;/author&gt;&lt;author&gt;Rani, P. Usha&lt;/author&gt;&lt;/authors&gt;&lt;/contributors&gt;&lt;titles&gt;&lt;title&gt;A Meta-Analysis Method for Identifying Potential Blood Based Protein Markers Associated With Alzheimer’s Disease&lt;/title&gt;&lt;/titles&gt;&lt;dates&gt;&lt;year&gt;2021&lt;/year&gt;&lt;/dates&gt;&lt;urls&gt;&lt;/urls&gt;&lt;electronic-resource-num&gt;10.4108/eai.7-12-2021.2314513&lt;/electronic-resource-num&gt;&lt;/record&gt;&lt;/Cite&gt;&lt;/EndNote&gt;</w:instrText>
      </w:r>
      <w:r>
        <w:rPr>
          <w:rFonts w:asciiTheme="majorBidi" w:hAnsiTheme="majorBidi" w:cstheme="majorBidi"/>
          <w:sz w:val="24"/>
          <w:szCs w:val="24"/>
          <w:lang w:val="en-GB"/>
        </w:rPr>
        <w:fldChar w:fldCharType="separate"/>
      </w:r>
      <w:r>
        <w:rPr>
          <w:rFonts w:asciiTheme="majorBidi" w:hAnsiTheme="majorBidi" w:cstheme="majorBidi"/>
          <w:noProof/>
          <w:sz w:val="24"/>
          <w:szCs w:val="24"/>
          <w:lang w:val="en-GB"/>
        </w:rPr>
        <w:t>(</w:t>
      </w:r>
      <w:hyperlink w:anchor="_ENREF_231" w:tooltip="Subburaj, 2021 #342" w:history="1">
        <w:r w:rsidR="00DE113E">
          <w:rPr>
            <w:rFonts w:asciiTheme="majorBidi" w:hAnsiTheme="majorBidi" w:cstheme="majorBidi"/>
            <w:noProof/>
            <w:sz w:val="24"/>
            <w:szCs w:val="24"/>
            <w:lang w:val="en-GB"/>
          </w:rPr>
          <w:t>Subburaj &amp; Rani, 2021</w:t>
        </w:r>
      </w:hyperlink>
      <w:r>
        <w:rPr>
          <w:rFonts w:asciiTheme="majorBidi" w:hAnsiTheme="majorBidi" w:cstheme="majorBidi"/>
          <w:noProof/>
          <w:sz w:val="24"/>
          <w:szCs w:val="24"/>
          <w:lang w:val="en-GB"/>
        </w:rPr>
        <w:t>)</w:t>
      </w:r>
      <w:r>
        <w:rPr>
          <w:rFonts w:asciiTheme="majorBidi" w:hAnsiTheme="majorBidi" w:cstheme="majorBidi"/>
          <w:sz w:val="24"/>
          <w:szCs w:val="24"/>
          <w:lang w:val="en-GB"/>
        </w:rPr>
        <w:fldChar w:fldCharType="end"/>
      </w:r>
      <w:r>
        <w:rPr>
          <w:rFonts w:asciiTheme="majorBidi" w:hAnsiTheme="majorBidi" w:cstheme="majorBidi" w:hint="cs"/>
          <w:sz w:val="24"/>
          <w:szCs w:val="24"/>
          <w:rtl/>
          <w:lang w:val="en-GB"/>
        </w:rPr>
        <w:t>.</w:t>
      </w:r>
      <w:r w:rsidRPr="00322A3A">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 As </w:t>
      </w:r>
      <w:r w:rsidRPr="00322A3A">
        <w:rPr>
          <w:rFonts w:asciiTheme="majorBidi" w:hAnsiTheme="majorBidi" w:cstheme="majorBidi"/>
          <w:sz w:val="24"/>
          <w:szCs w:val="24"/>
          <w:lang w:val="en-GB"/>
        </w:rPr>
        <w:t xml:space="preserve">a result, the opportunity for early intervention is often missed, which is </w:t>
      </w:r>
      <w:r w:rsidRPr="00322A3A">
        <w:rPr>
          <w:rFonts w:asciiTheme="majorBidi" w:hAnsiTheme="majorBidi" w:cstheme="majorBidi"/>
          <w:sz w:val="24"/>
          <w:szCs w:val="24"/>
          <w:lang w:val="en-GB"/>
        </w:rPr>
        <w:lastRenderedPageBreak/>
        <w:t xml:space="preserve">critical given that timely treatment can slow cognitive decline and enhance the quality of life for affected individuals </w:t>
      </w:r>
      <w:r>
        <w:rPr>
          <w:rFonts w:asciiTheme="majorBidi" w:hAnsiTheme="majorBidi" w:cstheme="majorBidi"/>
          <w:sz w:val="24"/>
          <w:szCs w:val="24"/>
          <w:lang w:val="en-GB"/>
        </w:rPr>
        <w:fldChar w:fldCharType="begin"/>
      </w:r>
      <w:r>
        <w:rPr>
          <w:rFonts w:asciiTheme="majorBidi" w:hAnsiTheme="majorBidi" w:cstheme="majorBidi"/>
          <w:sz w:val="24"/>
          <w:szCs w:val="24"/>
          <w:lang w:val="en-GB"/>
        </w:rPr>
        <w:instrText xml:space="preserve"> ADDIN EN.CITE &lt;EndNote&gt;&lt;Cite&gt;&lt;Author&gt;Verbaan&lt;/Author&gt;&lt;Year&gt;2007&lt;/Year&gt;&lt;RecNum&gt;343&lt;/RecNum&gt;&lt;DisplayText&gt;(Verbaan et al., 2007)&lt;/DisplayText&gt;&lt;record&gt;&lt;rec-number&gt;343&lt;/rec-number&gt;&lt;foreign-keys&gt;&lt;key app="EN" db-id="2ptrtps0adr9vke22dn5tpwzrsfaxtxrfwet" timestamp="1758623014"&gt;343&lt;/key&gt;&lt;/foreign-keys&gt;&lt;ref-type name="Journal Article"&gt;17&lt;/ref-type&gt;&lt;contributors&gt;&lt;authors&gt;&lt;author&gt;Verbaan, Dagmar&lt;/author&gt;&lt;author&gt;Marinus, Johan&lt;/author&gt;&lt;author&gt;Visser, Martine&lt;/author&gt;&lt;author&gt;Rooden, Stephanie M. van&lt;/author&gt;&lt;author&gt;Stiggelbout, Anne M.&lt;/author&gt;&lt;author&gt;Middelkoop, Huub A. M.&lt;/author&gt;&lt;author&gt;Hilten, J. J. van&lt;/author&gt;&lt;/authors&gt;&lt;/contributors&gt;&lt;titles&gt;&lt;title&gt;Cognitive Impairment in Parkinson&amp;apos;s Disease&lt;/title&gt;&lt;secondary-title&gt;Journal of Neurology Neurosurgery &amp;amp; Psychiatry&lt;/secondary-title&gt;&lt;/titles&gt;&lt;periodical&gt;&lt;full-title&gt;Journal of Neurology Neurosurgery &amp;amp; Psychiatry&lt;/full-title&gt;&lt;/periodical&gt;&lt;pages&gt;1182-1187&lt;/pages&gt;&lt;volume&gt;78&lt;/volume&gt;&lt;number&gt;11&lt;/number&gt;&lt;dates&gt;&lt;year&gt;2007&lt;/year&gt;&lt;/dates&gt;&lt;urls&gt;&lt;/urls&gt;&lt;electronic-resource-num&gt;10.1136/jnnp.2006.112367&lt;/electronic-resource-num&gt;&lt;/record&gt;&lt;/Cite&gt;&lt;/EndNote&gt;</w:instrText>
      </w:r>
      <w:r>
        <w:rPr>
          <w:rFonts w:asciiTheme="majorBidi" w:hAnsiTheme="majorBidi" w:cstheme="majorBidi"/>
          <w:sz w:val="24"/>
          <w:szCs w:val="24"/>
          <w:lang w:val="en-GB"/>
        </w:rPr>
        <w:fldChar w:fldCharType="separate"/>
      </w:r>
      <w:r>
        <w:rPr>
          <w:rFonts w:asciiTheme="majorBidi" w:hAnsiTheme="majorBidi" w:cstheme="majorBidi"/>
          <w:noProof/>
          <w:sz w:val="24"/>
          <w:szCs w:val="24"/>
          <w:lang w:val="en-GB"/>
        </w:rPr>
        <w:t>(</w:t>
      </w:r>
      <w:hyperlink w:anchor="_ENREF_252" w:tooltip="Verbaan, 2007 #343" w:history="1">
        <w:r w:rsidR="00DE113E">
          <w:rPr>
            <w:rFonts w:asciiTheme="majorBidi" w:hAnsiTheme="majorBidi" w:cstheme="majorBidi"/>
            <w:noProof/>
            <w:sz w:val="24"/>
            <w:szCs w:val="24"/>
            <w:lang w:val="en-GB"/>
          </w:rPr>
          <w:t>Verbaan et al., 2007</w:t>
        </w:r>
      </w:hyperlink>
      <w:r>
        <w:rPr>
          <w:rFonts w:asciiTheme="majorBidi" w:hAnsiTheme="majorBidi" w:cstheme="majorBidi"/>
          <w:noProof/>
          <w:sz w:val="24"/>
          <w:szCs w:val="24"/>
          <w:lang w:val="en-GB"/>
        </w:rPr>
        <w:t>)</w:t>
      </w:r>
      <w:r>
        <w:rPr>
          <w:rFonts w:asciiTheme="majorBidi" w:hAnsiTheme="majorBidi" w:cstheme="majorBidi"/>
          <w:sz w:val="24"/>
          <w:szCs w:val="24"/>
          <w:lang w:val="en-GB"/>
        </w:rPr>
        <w:fldChar w:fldCharType="end"/>
      </w:r>
      <w:r>
        <w:rPr>
          <w:rFonts w:asciiTheme="majorBidi" w:hAnsiTheme="majorBidi" w:cstheme="majorBidi"/>
          <w:sz w:val="24"/>
          <w:szCs w:val="24"/>
          <w:lang w:val="en-GB"/>
        </w:rPr>
        <w:t>.</w:t>
      </w:r>
      <w:r w:rsidRPr="00322A3A">
        <w:rPr>
          <w:rFonts w:asciiTheme="majorBidi" w:hAnsiTheme="majorBidi" w:cstheme="majorBidi"/>
          <w:sz w:val="24"/>
          <w:szCs w:val="24"/>
          <w:lang w:val="en-GB"/>
        </w:rPr>
        <w:t xml:space="preserve"> Fortunately, recent advancements in technology and methodology have shown significant potential for enhancing the early diagnosis of cognitive dysfunctions. Virtual reality (VR) represents one innovative approach being explored, as it allows for immersive assessments of cognitive functions in controlled settings. one study has highlighted those remote </w:t>
      </w:r>
      <w:r>
        <w:rPr>
          <w:rFonts w:asciiTheme="majorBidi" w:hAnsiTheme="majorBidi" w:cstheme="majorBidi"/>
          <w:sz w:val="24"/>
          <w:szCs w:val="24"/>
          <w:lang w:val="en-GB"/>
        </w:rPr>
        <w:t xml:space="preserve">virtual </w:t>
      </w:r>
      <w:r w:rsidRPr="00322A3A">
        <w:rPr>
          <w:rFonts w:asciiTheme="majorBidi" w:hAnsiTheme="majorBidi" w:cstheme="majorBidi"/>
          <w:sz w:val="24"/>
          <w:szCs w:val="24"/>
          <w:lang w:val="en-GB"/>
        </w:rPr>
        <w:t>clinical trials incorporating</w:t>
      </w:r>
      <w:r>
        <w:rPr>
          <w:rFonts w:asciiTheme="majorBidi" w:hAnsiTheme="majorBidi" w:cstheme="majorBidi"/>
          <w:sz w:val="24"/>
          <w:szCs w:val="24"/>
          <w:lang w:val="en-GB"/>
        </w:rPr>
        <w:t xml:space="preserve"> (VR)</w:t>
      </w:r>
      <w:r w:rsidRPr="00322A3A">
        <w:rPr>
          <w:rFonts w:asciiTheme="majorBidi" w:hAnsiTheme="majorBidi" w:cstheme="majorBidi"/>
          <w:sz w:val="24"/>
          <w:szCs w:val="24"/>
          <w:lang w:val="en-GB"/>
        </w:rPr>
        <w:t xml:space="preserve"> could further strengthen early diagnostic strategies, as they combine the ecological validity of real-world scenarios with the methodological rigor of controlled clinical protocols </w:t>
      </w:r>
      <w:r>
        <w:rPr>
          <w:rFonts w:asciiTheme="majorBidi" w:hAnsiTheme="majorBidi" w:cstheme="majorBidi"/>
          <w:sz w:val="24"/>
          <w:szCs w:val="24"/>
          <w:lang w:val="en-GB"/>
        </w:rPr>
        <w:fldChar w:fldCharType="begin"/>
      </w:r>
      <w:r>
        <w:rPr>
          <w:rFonts w:asciiTheme="majorBidi" w:hAnsiTheme="majorBidi" w:cstheme="majorBidi"/>
          <w:sz w:val="24"/>
          <w:szCs w:val="24"/>
          <w:lang w:val="en-GB"/>
        </w:rPr>
        <w:instrText xml:space="preserve"> ADDIN EN.CITE &lt;EndNote&gt;&lt;Cite&gt;&lt;Author&gt;Chiamulera&lt;/Author&gt;&lt;Year&gt;2021&lt;/Year&gt;&lt;RecNum&gt;310&lt;/RecNum&gt;&lt;DisplayText&gt;(Chiamulera et al., 2021)&lt;/DisplayText&gt;&lt;record&gt;&lt;rec-number&gt;310&lt;/rec-number&gt;&lt;foreign-keys&gt;&lt;key app="EN" db-id="2ptrtps0adr9vke22dn5tpwzrsfaxtxrfwet" timestamp="1756199581"&gt;310&lt;/key&gt;&lt;/foreign-keys&gt;&lt;ref-type name="Journal Article"&gt;17&lt;/ref-type&gt;&lt;contributors&gt;&lt;authors&gt;&lt;author&gt;Chiamulera, Cristiano&lt;/author&gt;&lt;author&gt;Mantovani, Elisa&lt;/author&gt;&lt;author&gt;Tamburin, Stefano&lt;/author&gt;&lt;/authors&gt;&lt;/contributors&gt;&lt;titles&gt;&lt;title&gt;Remote clinical trials: A timely opportunity for a virtual reality approach and its potential application in neurology&lt;/title&gt;&lt;secondary-title&gt;British Journal of Clinical Pharmacology&lt;/secondary-title&gt;&lt;/titles&gt;&lt;periodical&gt;&lt;full-title&gt;British Journal of Clinical Pharmacology&lt;/full-title&gt;&lt;/periodical&gt;&lt;pages&gt;3639-3642&lt;/pages&gt;&lt;volume&gt;87&lt;/volume&gt;&lt;number&gt;10&lt;/number&gt;&lt;dates&gt;&lt;year&gt;2021&lt;/year&gt;&lt;/dates&gt;&lt;isbn&gt;0306-5251&lt;/isbn&gt;&lt;urls&gt;&lt;related-urls&gt;&lt;url&gt;https://bpspubs.onlinelibrary.wiley.com/doi/abs/10.1111/bcp.14922&lt;/url&gt;&lt;/related-urls&gt;&lt;/urls&gt;&lt;electronic-resource-num&gt;https://doi.org/10.1111/bcp.14922&lt;/electronic-resource-num&gt;&lt;/record&gt;&lt;/Cite&gt;&lt;/EndNote&gt;</w:instrText>
      </w:r>
      <w:r>
        <w:rPr>
          <w:rFonts w:asciiTheme="majorBidi" w:hAnsiTheme="majorBidi" w:cstheme="majorBidi"/>
          <w:sz w:val="24"/>
          <w:szCs w:val="24"/>
          <w:lang w:val="en-GB"/>
        </w:rPr>
        <w:fldChar w:fldCharType="separate"/>
      </w:r>
      <w:r>
        <w:rPr>
          <w:rFonts w:asciiTheme="majorBidi" w:hAnsiTheme="majorBidi" w:cstheme="majorBidi"/>
          <w:noProof/>
          <w:sz w:val="24"/>
          <w:szCs w:val="24"/>
          <w:lang w:val="en-GB"/>
        </w:rPr>
        <w:t>(</w:t>
      </w:r>
      <w:hyperlink w:anchor="_ENREF_43" w:tooltip="Chiamulera, 2021 #310" w:history="1">
        <w:r w:rsidR="00DE113E">
          <w:rPr>
            <w:rFonts w:asciiTheme="majorBidi" w:hAnsiTheme="majorBidi" w:cstheme="majorBidi"/>
            <w:noProof/>
            <w:sz w:val="24"/>
            <w:szCs w:val="24"/>
            <w:lang w:val="en-GB"/>
          </w:rPr>
          <w:t>Chiamulera et al., 2021</w:t>
        </w:r>
      </w:hyperlink>
      <w:r>
        <w:rPr>
          <w:rFonts w:asciiTheme="majorBidi" w:hAnsiTheme="majorBidi" w:cstheme="majorBidi"/>
          <w:noProof/>
          <w:sz w:val="24"/>
          <w:szCs w:val="24"/>
          <w:lang w:val="en-GB"/>
        </w:rPr>
        <w:t>)</w:t>
      </w:r>
      <w:r>
        <w:rPr>
          <w:rFonts w:asciiTheme="majorBidi" w:hAnsiTheme="majorBidi" w:cstheme="majorBidi"/>
          <w:sz w:val="24"/>
          <w:szCs w:val="24"/>
          <w:lang w:val="en-GB"/>
        </w:rPr>
        <w:fldChar w:fldCharType="end"/>
      </w:r>
      <w:r w:rsidRPr="00322A3A">
        <w:rPr>
          <w:rFonts w:asciiTheme="majorBidi" w:hAnsiTheme="majorBidi" w:cstheme="majorBidi"/>
          <w:sz w:val="24"/>
          <w:szCs w:val="24"/>
          <w:lang w:val="en-GB"/>
        </w:rPr>
        <w:t xml:space="preserve">. Biomarkers also represent a crucial frontier in the early identification of cognitive dysfunctions. Blood-based biomarkers, including p-tau, have been identified as potential indicators of Alzheimer’s disease, allowing for simple direct-to-consumer testing strategies </w:t>
      </w:r>
      <w:r w:rsidR="00941DE0">
        <w:rPr>
          <w:rFonts w:asciiTheme="majorBidi" w:hAnsiTheme="majorBidi" w:cstheme="majorBidi"/>
          <w:sz w:val="24"/>
          <w:szCs w:val="24"/>
          <w:lang w:val="en-GB"/>
        </w:rPr>
        <w:fldChar w:fldCharType="begin"/>
      </w:r>
      <w:r w:rsidR="00941DE0">
        <w:rPr>
          <w:rFonts w:asciiTheme="majorBidi" w:hAnsiTheme="majorBidi" w:cstheme="majorBidi"/>
          <w:sz w:val="24"/>
          <w:szCs w:val="24"/>
          <w:lang w:val="en-GB"/>
        </w:rPr>
        <w:instrText xml:space="preserve"> ADDIN EN.CITE &lt;EndNote&gt;&lt;Cite&gt;&lt;Author&gt;Whelan&lt;/Author&gt;&lt;Year&gt;2022&lt;/Year&gt;&lt;RecNum&gt;344&lt;/RecNum&gt;&lt;DisplayText&gt;(Whelan et al., 2022)&lt;/DisplayText&gt;&lt;record&gt;&lt;rec-number&gt;344&lt;/rec-number&gt;&lt;foreign-keys&gt;&lt;key app="EN" db-id="2ptrtps0adr9vke22dn5tpwzrsfaxtxrfwet" timestamp="1758623329"&gt;344&lt;/key&gt;&lt;/foreign-keys&gt;&lt;ref-type name="Journal Article"&gt;17&lt;/ref-type&gt;&lt;contributors&gt;&lt;authors&gt;&lt;author&gt;Whelan, Robert&lt;/author&gt;&lt;author&gt;Barbey, Florentine&lt;/author&gt;&lt;author&gt;Cominetti, Márcia R.&lt;/author&gt;&lt;author&gt;Gillan, Claire M.&lt;/author&gt;&lt;author&gt;Rosická, Anna Marie&lt;/author&gt;&lt;/authors&gt;&lt;/contributors&gt;&lt;titles&gt;&lt;title&gt;Developments in Scalable Strategies for Detecting Early Markers of Cognitive Decline&lt;/title&gt;&lt;secondary-title&gt;Translational Psychiatry&lt;/secondary-title&gt;&lt;/titles&gt;&lt;periodical&gt;&lt;full-title&gt;Translational Psychiatry&lt;/full-title&gt;&lt;/periodical&gt;&lt;volume&gt;12&lt;/volume&gt;&lt;number&gt;1&lt;/number&gt;&lt;dates&gt;&lt;year&gt;2022&lt;/year&gt;&lt;/dates&gt;&lt;urls&gt;&lt;/urls&gt;&lt;electronic-resource-num&gt;10.1038/s41398-022-02237-w&lt;/electronic-resource-num&gt;&lt;/record&gt;&lt;/Cite&gt;&lt;/EndNote&gt;</w:instrText>
      </w:r>
      <w:r w:rsidR="00941DE0">
        <w:rPr>
          <w:rFonts w:asciiTheme="majorBidi" w:hAnsiTheme="majorBidi" w:cstheme="majorBidi"/>
          <w:sz w:val="24"/>
          <w:szCs w:val="24"/>
          <w:lang w:val="en-GB"/>
        </w:rPr>
        <w:fldChar w:fldCharType="separate"/>
      </w:r>
      <w:r w:rsidR="00941DE0">
        <w:rPr>
          <w:rFonts w:asciiTheme="majorBidi" w:hAnsiTheme="majorBidi" w:cstheme="majorBidi"/>
          <w:noProof/>
          <w:sz w:val="24"/>
          <w:szCs w:val="24"/>
          <w:lang w:val="en-GB"/>
        </w:rPr>
        <w:t>(</w:t>
      </w:r>
      <w:hyperlink w:anchor="_ENREF_255" w:tooltip="Whelan, 2022 #344" w:history="1">
        <w:r w:rsidR="00DE113E">
          <w:rPr>
            <w:rFonts w:asciiTheme="majorBidi" w:hAnsiTheme="majorBidi" w:cstheme="majorBidi"/>
            <w:noProof/>
            <w:sz w:val="24"/>
            <w:szCs w:val="24"/>
            <w:lang w:val="en-GB"/>
          </w:rPr>
          <w:t>Whelan et al., 2022</w:t>
        </w:r>
      </w:hyperlink>
      <w:r w:rsidR="00941DE0">
        <w:rPr>
          <w:rFonts w:asciiTheme="majorBidi" w:hAnsiTheme="majorBidi" w:cstheme="majorBidi"/>
          <w:noProof/>
          <w:sz w:val="24"/>
          <w:szCs w:val="24"/>
          <w:lang w:val="en-GB"/>
        </w:rPr>
        <w:t>)</w:t>
      </w:r>
      <w:r w:rsidR="00941DE0">
        <w:rPr>
          <w:rFonts w:asciiTheme="majorBidi" w:hAnsiTheme="majorBidi" w:cstheme="majorBidi"/>
          <w:sz w:val="24"/>
          <w:szCs w:val="24"/>
          <w:lang w:val="en-GB"/>
        </w:rPr>
        <w:fldChar w:fldCharType="end"/>
      </w:r>
      <w:r w:rsidRPr="00322A3A">
        <w:rPr>
          <w:rFonts w:asciiTheme="majorBidi" w:hAnsiTheme="majorBidi" w:cstheme="majorBidi"/>
          <w:sz w:val="24"/>
          <w:szCs w:val="24"/>
          <w:lang w:val="en-GB"/>
        </w:rPr>
        <w:t xml:space="preserve">. Moreover, studies on neuroinflammation and glucose metabolism provide insights into how conditions like diabetes correlate with cognitive decline, suggesting that metabolic and neurochemical markers could be pivotal in screening efforts. For instance, a recent study concluded that early metabolic dysfunction could lead to measurable cognitive impairment </w:t>
      </w:r>
      <w:r w:rsidR="00941DE0">
        <w:rPr>
          <w:rFonts w:asciiTheme="majorBidi" w:hAnsiTheme="majorBidi" w:cstheme="majorBidi"/>
          <w:sz w:val="24"/>
          <w:szCs w:val="24"/>
          <w:lang w:val="en-GB"/>
        </w:rPr>
        <w:fldChar w:fldCharType="begin"/>
      </w:r>
      <w:r w:rsidR="00941DE0">
        <w:rPr>
          <w:rFonts w:asciiTheme="majorBidi" w:hAnsiTheme="majorBidi" w:cstheme="majorBidi"/>
          <w:sz w:val="24"/>
          <w:szCs w:val="24"/>
          <w:lang w:val="en-GB"/>
        </w:rPr>
        <w:instrText xml:space="preserve"> ADDIN EN.CITE &lt;EndNote&gt;&lt;Cite&gt;&lt;Author&gt;Shi&lt;/Author&gt;&lt;Year&gt;2023&lt;/Year&gt;&lt;RecNum&gt;345&lt;/RecNum&gt;&lt;DisplayText&gt;(Shi et al., 2023)&lt;/DisplayText&gt;&lt;record&gt;&lt;rec-number&gt;345&lt;/rec-number&gt;&lt;foreign-keys&gt;&lt;key app="EN" db-id="2ptrtps0adr9vke22dn5tpwzrsfaxtxrfwet" timestamp="1758623457"&gt;345&lt;/key&gt;&lt;/foreign-keys&gt;&lt;ref-type name="Journal Article"&gt;17&lt;/ref-type&gt;&lt;contributors&gt;&lt;authors&gt;&lt;author&gt;Shi, Jing&lt;/author&gt;&lt;author&gt;Li, Meng&lt;/author&gt;&lt;author&gt;Zhang, Hui&lt;/author&gt;&lt;author&gt;Feng, li&lt;/author&gt;&lt;author&gt;Wang, Yuan&lt;/author&gt;&lt;author&gt;Li, Yan&lt;/author&gt;&lt;author&gt;Guo, Yue&lt;/author&gt;&lt;author&gt;Li, mei&lt;/author&gt;&lt;author&gt;He, lin&lt;/author&gt;&lt;author&gt;Cheng, jian&lt;/author&gt;&lt;author&gt;Wu, Hong&lt;/author&gt;&lt;/authors&gt;&lt;/contributors&gt;&lt;titles&gt;&lt;title&gt;Metabolomic Analysis Identifies Guanosine as an Early Biomarker in Diabetic Cognitive Dysfunction in High-Altitude&lt;/title&gt;&lt;/titles&gt;&lt;dates&gt;&lt;year&gt;2023&lt;/year&gt;&lt;/dates&gt;&lt;urls&gt;&lt;/urls&gt;&lt;electronic-resource-num&gt;10.21203/rs.3.rs-3271134/v1&lt;/electronic-resource-num&gt;&lt;/record&gt;&lt;/Cite&gt;&lt;/EndNote&gt;</w:instrText>
      </w:r>
      <w:r w:rsidR="00941DE0">
        <w:rPr>
          <w:rFonts w:asciiTheme="majorBidi" w:hAnsiTheme="majorBidi" w:cstheme="majorBidi"/>
          <w:sz w:val="24"/>
          <w:szCs w:val="24"/>
          <w:lang w:val="en-GB"/>
        </w:rPr>
        <w:fldChar w:fldCharType="separate"/>
      </w:r>
      <w:r w:rsidR="00941DE0">
        <w:rPr>
          <w:rFonts w:asciiTheme="majorBidi" w:hAnsiTheme="majorBidi" w:cstheme="majorBidi"/>
          <w:noProof/>
          <w:sz w:val="24"/>
          <w:szCs w:val="24"/>
          <w:lang w:val="en-GB"/>
        </w:rPr>
        <w:t>(</w:t>
      </w:r>
      <w:hyperlink w:anchor="_ENREF_224" w:tooltip="Shi, 2023 #345" w:history="1">
        <w:r w:rsidR="00DE113E">
          <w:rPr>
            <w:rFonts w:asciiTheme="majorBidi" w:hAnsiTheme="majorBidi" w:cstheme="majorBidi"/>
            <w:noProof/>
            <w:sz w:val="24"/>
            <w:szCs w:val="24"/>
            <w:lang w:val="en-GB"/>
          </w:rPr>
          <w:t>Shi et al., 2023</w:t>
        </w:r>
      </w:hyperlink>
      <w:r w:rsidR="00941DE0">
        <w:rPr>
          <w:rFonts w:asciiTheme="majorBidi" w:hAnsiTheme="majorBidi" w:cstheme="majorBidi"/>
          <w:noProof/>
          <w:sz w:val="24"/>
          <w:szCs w:val="24"/>
          <w:lang w:val="en-GB"/>
        </w:rPr>
        <w:t>)</w:t>
      </w:r>
      <w:r w:rsidR="00941DE0">
        <w:rPr>
          <w:rFonts w:asciiTheme="majorBidi" w:hAnsiTheme="majorBidi" w:cstheme="majorBidi"/>
          <w:sz w:val="24"/>
          <w:szCs w:val="24"/>
          <w:lang w:val="en-GB"/>
        </w:rPr>
        <w:fldChar w:fldCharType="end"/>
      </w:r>
      <w:r w:rsidR="00941DE0">
        <w:rPr>
          <w:rFonts w:asciiTheme="majorBidi" w:hAnsiTheme="majorBidi" w:cstheme="majorBidi"/>
          <w:sz w:val="24"/>
          <w:szCs w:val="24"/>
          <w:lang w:val="en-GB"/>
        </w:rPr>
        <w:t>.</w:t>
      </w:r>
    </w:p>
    <w:p w14:paraId="1038C0DB" w14:textId="3039BDF5" w:rsidR="0090743C" w:rsidRDefault="0090743C" w:rsidP="00C80A17">
      <w:pPr>
        <w:ind w:left="1080"/>
        <w:jc w:val="both"/>
        <w:rPr>
          <w:rFonts w:asciiTheme="majorBidi" w:hAnsiTheme="majorBidi" w:cstheme="majorBidi"/>
          <w:sz w:val="24"/>
          <w:szCs w:val="24"/>
          <w:lang w:val="en-GB"/>
        </w:rPr>
      </w:pPr>
    </w:p>
    <w:p w14:paraId="5F7CAAE1" w14:textId="77777777" w:rsidR="00912EDC" w:rsidRPr="00912EDC" w:rsidRDefault="00912EDC" w:rsidP="00D623DE">
      <w:pPr>
        <w:pStyle w:val="Heading3"/>
        <w:ind w:left="1080"/>
        <w:rPr>
          <w:lang w:val="en-GB"/>
        </w:rPr>
      </w:pPr>
      <w:bookmarkStart w:id="9" w:name="_Toc214875818"/>
      <w:bookmarkStart w:id="10" w:name="_Hlk206499793"/>
      <w:r w:rsidRPr="00912EDC">
        <w:rPr>
          <w:lang w:val="en-GB"/>
        </w:rPr>
        <w:t>1.1.3 Preventive and Therapeutic Approaches for Neurocognitive Disorders</w:t>
      </w:r>
      <w:bookmarkEnd w:id="9"/>
    </w:p>
    <w:bookmarkEnd w:id="10"/>
    <w:p w14:paraId="23B1B312" w14:textId="2A1A2CEF" w:rsidR="001B174E" w:rsidRPr="001B174E" w:rsidRDefault="001B174E" w:rsidP="001B174E">
      <w:pPr>
        <w:spacing w:line="360" w:lineRule="auto"/>
        <w:ind w:left="1080"/>
        <w:jc w:val="both"/>
        <w:rPr>
          <w:rFonts w:asciiTheme="majorBidi" w:hAnsiTheme="majorBidi" w:cstheme="majorBidi"/>
          <w:sz w:val="24"/>
          <w:szCs w:val="24"/>
        </w:rPr>
      </w:pPr>
      <w:r w:rsidRPr="001B174E">
        <w:rPr>
          <w:rFonts w:asciiTheme="majorBidi" w:hAnsiTheme="majorBidi" w:cstheme="majorBidi"/>
          <w:sz w:val="24"/>
          <w:szCs w:val="24"/>
        </w:rPr>
        <w:t xml:space="preserve">Recent literature has extensively investigated conventional pharmacological treatments and alternative cognitive enhancers like herbal extracts for addressing cognitive decline.  A meta-analysis involving 23 clinical trials with a total of 11,024 patients. Their findings indicated that donepezil, galantamine, rivastigmine, and memantine significantly slowed cognitive deterioration. Among these, galantamine demonstrated the most substantial cognitive efficacy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&lt;EndNote&gt;&lt;Cite&gt;&lt;Author&gt;Tan&lt;/Author&gt;&lt;Year&gt;2014&lt;/Year&gt;&lt;RecNum&gt;25&lt;/RecNum&gt;&lt;DisplayText&gt;(Tan et al., 2014)&lt;/DisplayText&gt;&lt;record&gt;&lt;rec-number&gt;25&lt;/rec-number&gt;&lt;foreign-keys&gt;&lt;key app="EN" db-id="2ptrtps0adr9vke22dn5tpwzrsfaxtxrfwet" timestamp="1755521540"&gt;25&lt;/key&gt;&lt;/foreign-keys&gt;&lt;ref-type name="Journal Article"&gt;17&lt;/ref-type&gt;&lt;contributors&gt;&lt;authors&gt;&lt;author&gt;Tan, Chen-Chen&lt;/author&gt;&lt;author&gt;Yu, Jin-Tai&lt;/author&gt;&lt;author&gt;Wang, Hui-Fu&lt;/author&gt;&lt;author&gt;Tan, Meng-Shan&lt;/author&gt;&lt;author&gt;Meng, Xiang-Fei&lt;/author&gt;&lt;author&gt;Wang, Chong&lt;/author&gt;&lt;author&gt;Jiang, Teng&lt;/author&gt;&lt;author&gt;Zhu, Xi-Chen&lt;/author&gt;&lt;author&gt;Tan, Lan&lt;/author&gt;&lt;/authors&gt;&lt;/contributors&gt;&lt;titles&gt;&lt;title&gt;Efficacy and Safety of Donepezil, Galantamine, Rivastigmine, and Memantine for the Treatment of Alzheimer&amp;apos;s Disease: A Systematic Review and Meta-Analysis&lt;/title&gt;&lt;secondary-title&gt;Journal of Alzheimer’s Disease&lt;/secondary-title&gt;&lt;/titles&gt;&lt;periodical&gt;&lt;full-title&gt;Journal of Alzheimer’s Disease&lt;/full-title&gt;&lt;/periodical&gt;&lt;pages&gt;615-631&lt;/pages&gt;&lt;volume&gt;41&lt;/volume&gt;&lt;number&gt;2&lt;/number&gt;&lt;keywords&gt;&lt;keyword&gt;Alzheimer&amp;apos;s disease, donepezil, efficacy, galantamine, memantine, meta-analysis, rivastigmine, safety, systematic review&lt;/keyword&gt;&lt;/keywords&gt;&lt;dates&gt;&lt;year&gt;2014&lt;/year&gt;&lt;/dates&gt;&lt;accession-num&gt;24662102&lt;/accession-num&gt;&lt;urls&gt;&lt;related-urls&gt;&lt;url&gt;https://journals.sagepub.com/doi/abs/10.3233/JAD-132690&lt;/url&gt;&lt;/related-urls&gt;&lt;/urls&gt;&lt;electronic-resource-num&gt;10.3233/jad-132690&lt;/electronic-resource-num&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242" w:tooltip="Tan, 2014 #25" w:history="1">
        <w:r w:rsidR="00DE113E">
          <w:rPr>
            <w:rFonts w:asciiTheme="majorBidi" w:hAnsiTheme="majorBidi" w:cstheme="majorBidi"/>
            <w:noProof/>
            <w:sz w:val="24"/>
            <w:szCs w:val="24"/>
          </w:rPr>
          <w:t>Tan et al., 2014</w:t>
        </w:r>
      </w:hyperlink>
      <w:r>
        <w:rPr>
          <w:rFonts w:asciiTheme="majorBidi" w:hAnsiTheme="majorBidi" w:cstheme="majorBidi"/>
          <w:noProof/>
          <w:sz w:val="24"/>
          <w:szCs w:val="24"/>
        </w:rPr>
        <w:t>)</w:t>
      </w:r>
      <w:r>
        <w:rPr>
          <w:rFonts w:asciiTheme="majorBidi" w:hAnsiTheme="majorBidi" w:cstheme="majorBidi"/>
          <w:sz w:val="24"/>
          <w:szCs w:val="24"/>
        </w:rPr>
        <w:fldChar w:fldCharType="end"/>
      </w:r>
      <w:r w:rsidRPr="001B174E">
        <w:rPr>
          <w:rFonts w:asciiTheme="majorBidi" w:hAnsiTheme="majorBidi" w:cstheme="majorBidi"/>
          <w:sz w:val="24"/>
          <w:szCs w:val="24"/>
        </w:rPr>
        <w:t xml:space="preserve">.  One study extended these findings in its meta-analysis of 36 randomized </w:t>
      </w:r>
      <w:r w:rsidRPr="001B174E">
        <w:rPr>
          <w:rFonts w:asciiTheme="majorBidi" w:hAnsiTheme="majorBidi" w:cstheme="majorBidi"/>
          <w:sz w:val="24"/>
          <w:szCs w:val="24"/>
        </w:rPr>
        <w:lastRenderedPageBreak/>
        <w:t>controlled trials. They re</w:t>
      </w:r>
      <w:r>
        <w:rPr>
          <w:rFonts w:asciiTheme="majorBidi" w:hAnsiTheme="majorBidi" w:cstheme="majorBidi"/>
          <w:sz w:val="24"/>
          <w:szCs w:val="24"/>
        </w:rPr>
        <w:t>confirmed</w:t>
      </w:r>
      <w:r w:rsidRPr="001B174E">
        <w:rPr>
          <w:rFonts w:asciiTheme="majorBidi" w:hAnsiTheme="majorBidi" w:cstheme="majorBidi"/>
          <w:sz w:val="24"/>
          <w:szCs w:val="24"/>
        </w:rPr>
        <w:t xml:space="preserve"> the cognitive efficacy of galantamine and emphasized its positive effects on functional and behavioral symptoms in AD patients. In contrast, memantine exhibited a favorable safety profile, with fewer adverse effects than other agents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&lt;EndNote&gt;&lt;Cite&gt;&lt;Author&gt;Li&lt;/Author&gt;&lt;Year&gt;2019&lt;/Year&gt;&lt;RecNum&gt;26&lt;/RecNum&gt;&lt;DisplayText&gt;(Li et al., 2019)&lt;/DisplayText&gt;&lt;record&gt;&lt;rec-number&gt;26&lt;/rec-number&gt;&lt;foreign-keys&gt;&lt;key app="EN" db-id="2ptrtps0adr9vke22dn5tpwzrsfaxtxrfwet" timestamp="1755521897"&gt;26&lt;/key&gt;&lt;/foreign-keys&gt;&lt;ref-type name="Journal Article"&gt;17&lt;/ref-type&gt;&lt;contributors&gt;&lt;authors&gt;&lt;author&gt;Li,Dan-Dan&lt;/author&gt;&lt;author&gt;Zhang,Ya-Hong&lt;/author&gt;&lt;author&gt;Zhang,Wei&lt;/author&gt;&lt;author&gt;Zhao,Pu&lt;/author&gt;&lt;/authors&gt;&lt;/contributors&gt;&lt;titles&gt;&lt;title&gt;Meta-Analysis of Randomized Controlled Trials on the Efficacy and Safety of Donepezil, Galantamine, Rivastigmine, and Memantine for the Treatment of Alzheimer’s Disease&lt;/title&gt;&lt;secondary-title&gt;Frontiers in Neuroscience&lt;/secondary-title&gt;&lt;short-title&gt;Meta-analysis of AchE-Is in AD therapy&lt;/short-title&gt;&lt;/titles&gt;&lt;periodical&gt;&lt;full-title&gt;Frontiers in Neuroscience&lt;/full-title&gt;&lt;/periodical&gt;&lt;volume&gt;Volume 13 - 2019&lt;/volume&gt;&lt;keywords&gt;&lt;keyword&gt;Alzheimer’s disease (AD),donepezil,Galantamine,Memantine,Rivastigmine,Meta-analysis&lt;/keyword&gt;&lt;/keywords&gt;&lt;dates&gt;&lt;year&gt;2019&lt;/year&gt;&lt;pub-dates&gt;&lt;date&gt;2019-May-15&lt;/date&gt;&lt;/pub-dates&gt;&lt;/dates&gt;&lt;isbn&gt;1662-453X&lt;/isbn&gt;&lt;work-type&gt;Original Research&lt;/work-type&gt;&lt;urls&gt;&lt;related-urls&gt;&lt;url&gt;https://www.frontiersin.org/journals/neuroscience/articles/10.3389/fnins.2019.00472&lt;/url&gt;&lt;/related-urls&gt;&lt;/urls&gt;&lt;electronic-resource-num&gt;10.3389/fnins.2019.00472&lt;/electronic-resource-num&gt;&lt;language&gt;English&lt;/language&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36" w:tooltip="Li, 2019 #26" w:history="1">
        <w:r w:rsidR="00DE113E">
          <w:rPr>
            <w:rFonts w:asciiTheme="majorBidi" w:hAnsiTheme="majorBidi" w:cstheme="majorBidi"/>
            <w:noProof/>
            <w:sz w:val="24"/>
            <w:szCs w:val="24"/>
          </w:rPr>
          <w:t>Li et al., 2019</w:t>
        </w:r>
      </w:hyperlink>
      <w:r>
        <w:rPr>
          <w:rFonts w:asciiTheme="majorBidi" w:hAnsiTheme="majorBidi" w:cstheme="majorBidi"/>
          <w:noProof/>
          <w:sz w:val="24"/>
          <w:szCs w:val="24"/>
        </w:rPr>
        <w:t>)</w:t>
      </w:r>
      <w:r>
        <w:rPr>
          <w:rFonts w:asciiTheme="majorBidi" w:hAnsiTheme="majorBidi" w:cstheme="majorBidi"/>
          <w:sz w:val="24"/>
          <w:szCs w:val="24"/>
        </w:rPr>
        <w:fldChar w:fldCharType="end"/>
      </w:r>
      <w:r w:rsidRPr="001B174E">
        <w:rPr>
          <w:rFonts w:asciiTheme="majorBidi" w:hAnsiTheme="majorBidi" w:cstheme="majorBidi"/>
          <w:sz w:val="24"/>
          <w:szCs w:val="24"/>
        </w:rPr>
        <w:t xml:space="preserve">.  On the other hand, exploring plant extracts for neurocognitive disorders has become an increasingly pivotal area in clinical and preclinical research. Crocus sativus, known as saffron, has been extensively studied for its neurocognitive benefits. A notable randomized controlled trial indicated that patients with mild-to-moderate Alzheimer's disease (AD) who received C. sativus extract exhibited significant improvements in cognitive function after 22 weeks of treatment compared to the placebo group. The findings suggest that this plant extract can enhance cognition and offers a safer profile than many synthetic drugs used for cognitive decline </w:t>
      </w:r>
      <w:r w:rsidR="00ED39CA">
        <w:rPr>
          <w:rFonts w:asciiTheme="majorBidi" w:hAnsiTheme="majorBidi" w:cstheme="majorBidi"/>
          <w:sz w:val="24"/>
          <w:szCs w:val="24"/>
        </w:rPr>
        <w:fldChar w:fldCharType="begin"/>
      </w:r>
      <w:r w:rsidR="00ED39CA">
        <w:rPr>
          <w:rFonts w:asciiTheme="majorBidi" w:hAnsiTheme="majorBidi" w:cstheme="majorBidi"/>
          <w:sz w:val="24"/>
          <w:szCs w:val="24"/>
        </w:rPr>
        <w:instrText xml:space="preserve"> ADDIN EN.CITE &lt;EndNote&gt;&lt;Cite&gt;&lt;Author&gt;Akhondzadeh&lt;/Author&gt;&lt;Year&gt;2009&lt;/Year&gt;&lt;RecNum&gt;338&lt;/RecNum&gt;&lt;DisplayText&gt;(Akhondzadeh et al., 2009)&lt;/DisplayText&gt;&lt;record&gt;&lt;rec-number&gt;338&lt;/rec-number&gt;&lt;foreign-keys&gt;&lt;key app="EN" db-id="2ptrtps0adr9vke22dn5tpwzrsfaxtxrfwet" timestamp="1758618506"&gt;338&lt;/key&gt;&lt;/foreign-keys&gt;&lt;ref-type name="Journal Article"&gt;17&lt;/ref-type&gt;&lt;contributors&gt;&lt;authors&gt;&lt;author&gt;Akhondzadeh, Shahin&lt;/author&gt;&lt;author&gt;Sabet, Mehdi Shafiee&lt;/author&gt;&lt;author&gt;Harirchian, Mohammad Hossein&lt;/author&gt;&lt;author&gt;Togha, Mansoureh&lt;/author&gt;&lt;author&gt;Cheraghmakani, Hamed&lt;/author&gt;&lt;author&gt;Jahromi, Soodeh Razeghi&lt;/author&gt;&lt;author&gt;Hejazi, Seyed Amir&lt;/author&gt;&lt;author&gt;Yousefi, Mohammad Hossein&lt;/author&gt;&lt;author&gt;Alimardani, Roozbeh&lt;/author&gt;&lt;author&gt;Jamshidi, A. H.&lt;/author&gt;&lt;author&gt;Rezazadeh, Shamsali&lt;/author&gt;&lt;author&gt;Yousefi, Aboulghasem&lt;/author&gt;&lt;author&gt;Zare, Farhad&lt;/author&gt;&lt;author&gt;Moradi, Atbin&lt;/author&gt;&lt;author&gt;Vossoughi, Ardalan&lt;/author&gt;&lt;/authors&gt;&lt;/contributors&gt;&lt;titles&gt;&lt;title&gt;A 22-Week, Multicenter, Randomized, Double-Blind Controlled Trial of Crocus Sativus in the Treatment of Mild-to-Moderate Alzheimer’s Disease&lt;/title&gt;&lt;secondary-title&gt;Psychopharmacology&lt;/secondary-title&gt;&lt;/titles&gt;&lt;periodical&gt;&lt;full-title&gt;Psychopharmacology&lt;/full-title&gt;&lt;/periodical&gt;&lt;pages&gt;637-643&lt;/pages&gt;&lt;volume&gt;207&lt;/volume&gt;&lt;number&gt;4&lt;/number&gt;&lt;dates&gt;&lt;year&gt;2009&lt;/year&gt;&lt;/dates&gt;&lt;urls&gt;&lt;/urls&gt;&lt;electronic-resource-num&gt;10.1007/s00213-009-1706-1&lt;/electronic-resource-num&gt;&lt;/record&gt;&lt;/Cite&gt;&lt;/EndNote&gt;</w:instrText>
      </w:r>
      <w:r w:rsidR="00ED39CA">
        <w:rPr>
          <w:rFonts w:asciiTheme="majorBidi" w:hAnsiTheme="majorBidi" w:cstheme="majorBidi"/>
          <w:sz w:val="24"/>
          <w:szCs w:val="24"/>
        </w:rPr>
        <w:fldChar w:fldCharType="separate"/>
      </w:r>
      <w:r w:rsidR="00ED39CA">
        <w:rPr>
          <w:rFonts w:asciiTheme="majorBidi" w:hAnsiTheme="majorBidi" w:cstheme="majorBidi"/>
          <w:noProof/>
          <w:sz w:val="24"/>
          <w:szCs w:val="24"/>
        </w:rPr>
        <w:t>(</w:t>
      </w:r>
      <w:hyperlink w:anchor="_ENREF_2" w:tooltip="Akhondzadeh, 2009 #338" w:history="1">
        <w:r w:rsidR="00DE113E">
          <w:rPr>
            <w:rFonts w:asciiTheme="majorBidi" w:hAnsiTheme="majorBidi" w:cstheme="majorBidi"/>
            <w:noProof/>
            <w:sz w:val="24"/>
            <w:szCs w:val="24"/>
          </w:rPr>
          <w:t>Akhondzadeh et al., 2009</w:t>
        </w:r>
      </w:hyperlink>
      <w:r w:rsidR="00ED39CA">
        <w:rPr>
          <w:rFonts w:asciiTheme="majorBidi" w:hAnsiTheme="majorBidi" w:cstheme="majorBidi"/>
          <w:noProof/>
          <w:sz w:val="24"/>
          <w:szCs w:val="24"/>
        </w:rPr>
        <w:t>)</w:t>
      </w:r>
      <w:r w:rsidR="00ED39CA">
        <w:rPr>
          <w:rFonts w:asciiTheme="majorBidi" w:hAnsiTheme="majorBidi" w:cstheme="majorBidi"/>
          <w:sz w:val="24"/>
          <w:szCs w:val="24"/>
        </w:rPr>
        <w:fldChar w:fldCharType="end"/>
      </w:r>
      <w:r w:rsidRPr="001B174E">
        <w:rPr>
          <w:rFonts w:asciiTheme="majorBidi" w:hAnsiTheme="majorBidi" w:cstheme="majorBidi"/>
          <w:sz w:val="24"/>
          <w:szCs w:val="24"/>
        </w:rPr>
        <w:t>. Ginkgo biloba, a traditional herb, is widely recognized for its potential cognitive benefits. However, scientific evaluations of its effectiveness in improving memory and cognitive function have yielded mixed results. Some studies suggest that the flavonoids and terpenoids found in Ginkgo biloba may contribute to its neuroprotective effects by enhancing blood flow to the brain and providing antioxidant properties. This indicates the need for well-designed clinical trials to confirm Ginkgo's role in managing cognitive impairments, which could help establish its place among herbal medicines to treat neurodegenerative diseases</w:t>
      </w:r>
      <w:r w:rsidR="00ED39CA">
        <w:rPr>
          <w:rFonts w:asciiTheme="majorBidi" w:hAnsiTheme="majorBidi" w:cstheme="majorBidi"/>
          <w:sz w:val="24"/>
          <w:szCs w:val="24"/>
        </w:rPr>
        <w:t xml:space="preserve"> </w:t>
      </w:r>
      <w:r w:rsidR="00ED39CA">
        <w:rPr>
          <w:rFonts w:asciiTheme="majorBidi" w:hAnsiTheme="majorBidi" w:cstheme="majorBidi"/>
          <w:sz w:val="24"/>
          <w:szCs w:val="24"/>
        </w:rPr>
        <w:fldChar w:fldCharType="begin"/>
      </w:r>
      <w:r w:rsidR="00ED39CA">
        <w:rPr>
          <w:rFonts w:asciiTheme="majorBidi" w:hAnsiTheme="majorBidi" w:cstheme="majorBidi"/>
          <w:sz w:val="24"/>
          <w:szCs w:val="24"/>
        </w:rPr>
        <w:instrText xml:space="preserve"> ADDIN EN.CITE &lt;EndNote&gt;&lt;Cite&gt;&lt;Author&gt;Kumar&lt;/Author&gt;&lt;Year&gt;2006&lt;/Year&gt;&lt;RecNum&gt;339&lt;/RecNum&gt;&lt;DisplayText&gt;(Kumar, 2006)&lt;/DisplayText&gt;&lt;record&gt;&lt;rec-number&gt;339&lt;/rec-number&gt;&lt;foreign-keys&gt;&lt;key app="EN" db-id="2ptrtps0adr9vke22dn5tpwzrsfaxtxrfwet" timestamp="1758618562"&gt;339&lt;/key&gt;&lt;/foreign-keys&gt;&lt;ref-type name="Journal Article"&gt;17&lt;/ref-type&gt;&lt;contributors&gt;&lt;authors&gt;&lt;author&gt;Kumar, Vikas&lt;/author&gt;&lt;/authors&gt;&lt;/contributors&gt;&lt;titles&gt;&lt;title&gt;Potential Medicinal Plants for CNS Disorders: An Overview&lt;/title&gt;&lt;secondary-title&gt;Phytotherapy Research&lt;/secondary-title&gt;&lt;/titles&gt;&lt;periodical&gt;&lt;full-title&gt;Phytotherapy Research&lt;/full-title&gt;&lt;/periodical&gt;&lt;pages&gt;1023-1035&lt;/pages&gt;&lt;volume&gt;20&lt;/volume&gt;&lt;number&gt;12&lt;/number&gt;&lt;dates&gt;&lt;year&gt;2006&lt;/year&gt;&lt;/dates&gt;&lt;urls&gt;&lt;/urls&gt;&lt;electronic-resource-num&gt;10.1002/ptr.1970&lt;/electronic-resource-num&gt;&lt;/record&gt;&lt;/Cite&gt;&lt;/EndNote&gt;</w:instrText>
      </w:r>
      <w:r w:rsidR="00ED39CA">
        <w:rPr>
          <w:rFonts w:asciiTheme="majorBidi" w:hAnsiTheme="majorBidi" w:cstheme="majorBidi"/>
          <w:sz w:val="24"/>
          <w:szCs w:val="24"/>
        </w:rPr>
        <w:fldChar w:fldCharType="separate"/>
      </w:r>
      <w:r w:rsidR="00ED39CA">
        <w:rPr>
          <w:rFonts w:asciiTheme="majorBidi" w:hAnsiTheme="majorBidi" w:cstheme="majorBidi"/>
          <w:noProof/>
          <w:sz w:val="24"/>
          <w:szCs w:val="24"/>
        </w:rPr>
        <w:t>(</w:t>
      </w:r>
      <w:hyperlink w:anchor="_ENREF_134" w:tooltip="Kumar, 2006 #339" w:history="1">
        <w:r w:rsidR="00DE113E">
          <w:rPr>
            <w:rFonts w:asciiTheme="majorBidi" w:hAnsiTheme="majorBidi" w:cstheme="majorBidi"/>
            <w:noProof/>
            <w:sz w:val="24"/>
            <w:szCs w:val="24"/>
          </w:rPr>
          <w:t>Kumar, 2006</w:t>
        </w:r>
      </w:hyperlink>
      <w:r w:rsidR="00ED39CA">
        <w:rPr>
          <w:rFonts w:asciiTheme="majorBidi" w:hAnsiTheme="majorBidi" w:cstheme="majorBidi"/>
          <w:noProof/>
          <w:sz w:val="24"/>
          <w:szCs w:val="24"/>
        </w:rPr>
        <w:t>)</w:t>
      </w:r>
      <w:r w:rsidR="00ED39CA">
        <w:rPr>
          <w:rFonts w:asciiTheme="majorBidi" w:hAnsiTheme="majorBidi" w:cstheme="majorBidi"/>
          <w:sz w:val="24"/>
          <w:szCs w:val="24"/>
        </w:rPr>
        <w:fldChar w:fldCharType="end"/>
      </w:r>
      <w:r w:rsidRPr="001B174E">
        <w:rPr>
          <w:rFonts w:asciiTheme="majorBidi" w:hAnsiTheme="majorBidi" w:cstheme="majorBidi"/>
          <w:sz w:val="24"/>
          <w:szCs w:val="24"/>
        </w:rPr>
        <w:t xml:space="preserve">. An emerging area of interest is the investigation of polyherbal formulations, which combine multiple plant extracts to enhance cognitive effects synergistically. Recent studies suggest that multi-herbal extracts exhibit neuroprotective activities that may surpass those of single herbs. These formulations often leverage the diverse bioactive compounds from various medicinal plants, creating a holistic approach to mitigating cognitive decline. Rigorous clinical and preclinical trials are essential to elucidate these composite therapies' specific interactions and benefits in effectively treating cognitive </w:t>
      </w:r>
      <w:r w:rsidRPr="001B174E">
        <w:rPr>
          <w:rFonts w:asciiTheme="majorBidi" w:hAnsiTheme="majorBidi" w:cstheme="majorBidi"/>
          <w:sz w:val="24"/>
          <w:szCs w:val="24"/>
        </w:rPr>
        <w:lastRenderedPageBreak/>
        <w:t xml:space="preserve">disorders </w:t>
      </w:r>
      <w:r w:rsidR="00ED39CA">
        <w:rPr>
          <w:rFonts w:asciiTheme="majorBidi" w:hAnsiTheme="majorBidi" w:cstheme="majorBidi"/>
          <w:sz w:val="24"/>
          <w:szCs w:val="24"/>
        </w:rPr>
        <w:fldChar w:fldCharType="begin"/>
      </w:r>
      <w:r w:rsidR="00ED39CA">
        <w:rPr>
          <w:rFonts w:asciiTheme="majorBidi" w:hAnsiTheme="majorBidi" w:cstheme="majorBidi"/>
          <w:sz w:val="24"/>
          <w:szCs w:val="24"/>
        </w:rPr>
        <w:instrText xml:space="preserve"> ADDIN EN.CITE &lt;EndNote&gt;&lt;Cite&gt;&lt;Author&gt;Zieneldien&lt;/Author&gt;&lt;Year&gt;2022&lt;/Year&gt;&lt;RecNum&gt;340&lt;/RecNum&gt;&lt;DisplayText&gt;(Zieneldien et al., 2022)&lt;/DisplayText&gt;&lt;record&gt;&lt;rec-number&gt;340&lt;/rec-number&gt;&lt;foreign-keys&gt;&lt;key app="EN" db-id="2ptrtps0adr9vke22dn5tpwzrsfaxtxrfwet" timestamp="1758618644"&gt;340&lt;/key&gt;&lt;/foreign-keys&gt;&lt;ref-type name="Journal Article"&gt;17&lt;/ref-type&gt;&lt;contributors&gt;&lt;authors&gt;&lt;author&gt;Zieneldien, Tarek&lt;/author&gt;&lt;author&gt;Kim, Janice&lt;/author&gt;&lt;author&gt;Cao, Chuanhai&lt;/author&gt;&lt;/authors&gt;&lt;/contributors&gt;&lt;titles&gt;&lt;title&gt;The Multifaceted Role of Neuroprotective Plants in Alzheimer’s Disease Treatment&lt;/title&gt;&lt;secondary-title&gt;Geriatrics&lt;/secondary-title&gt;&lt;/titles&gt;&lt;periodical&gt;&lt;full-title&gt;Geriatrics&lt;/full-title&gt;&lt;/periodical&gt;&lt;pages&gt;24&lt;/pages&gt;&lt;volume&gt;7&lt;/volume&gt;&lt;number&gt;2&lt;/number&gt;&lt;dates&gt;&lt;year&gt;2022&lt;/year&gt;&lt;/dates&gt;&lt;urls&gt;&lt;/urls&gt;&lt;electronic-resource-num&gt;10.3390/geriatrics7020024&lt;/electronic-resource-num&gt;&lt;/record&gt;&lt;/Cite&gt;&lt;/EndNote&gt;</w:instrText>
      </w:r>
      <w:r w:rsidR="00ED39CA">
        <w:rPr>
          <w:rFonts w:asciiTheme="majorBidi" w:hAnsiTheme="majorBidi" w:cstheme="majorBidi"/>
          <w:sz w:val="24"/>
          <w:szCs w:val="24"/>
        </w:rPr>
        <w:fldChar w:fldCharType="separate"/>
      </w:r>
      <w:r w:rsidR="00ED39CA">
        <w:rPr>
          <w:rFonts w:asciiTheme="majorBidi" w:hAnsiTheme="majorBidi" w:cstheme="majorBidi"/>
          <w:noProof/>
          <w:sz w:val="24"/>
          <w:szCs w:val="24"/>
        </w:rPr>
        <w:t>(</w:t>
      </w:r>
      <w:hyperlink w:anchor="_ENREF_274" w:tooltip="Zieneldien, 2022 #340" w:history="1">
        <w:r w:rsidR="00DE113E">
          <w:rPr>
            <w:rFonts w:asciiTheme="majorBidi" w:hAnsiTheme="majorBidi" w:cstheme="majorBidi"/>
            <w:noProof/>
            <w:sz w:val="24"/>
            <w:szCs w:val="24"/>
          </w:rPr>
          <w:t>Zieneldien et al., 2022</w:t>
        </w:r>
      </w:hyperlink>
      <w:r w:rsidR="00ED39CA">
        <w:rPr>
          <w:rFonts w:asciiTheme="majorBidi" w:hAnsiTheme="majorBidi" w:cstheme="majorBidi"/>
          <w:noProof/>
          <w:sz w:val="24"/>
          <w:szCs w:val="24"/>
        </w:rPr>
        <w:t>)</w:t>
      </w:r>
      <w:r w:rsidR="00ED39CA">
        <w:rPr>
          <w:rFonts w:asciiTheme="majorBidi" w:hAnsiTheme="majorBidi" w:cstheme="majorBidi"/>
          <w:sz w:val="24"/>
          <w:szCs w:val="24"/>
        </w:rPr>
        <w:fldChar w:fldCharType="end"/>
      </w:r>
      <w:r w:rsidRPr="001B174E">
        <w:rPr>
          <w:rFonts w:asciiTheme="majorBidi" w:hAnsiTheme="majorBidi" w:cstheme="majorBidi"/>
          <w:sz w:val="24"/>
          <w:szCs w:val="24"/>
        </w:rPr>
        <w:t xml:space="preserve">. Whole plant extracts are gaining recognition as promising adjuncts in treating neurocognitive disorders. Piva and colleagues highlight that several botanicals—such as Ginkgo biloba, Panax ginseng, and Nigella sativa—demonstrate measurable cognitive benefits in clinical and preclinical models. These effects </w:t>
      </w:r>
      <w:r w:rsidR="00ED39CA">
        <w:rPr>
          <w:rFonts w:asciiTheme="majorBidi" w:hAnsiTheme="majorBidi" w:cstheme="majorBidi"/>
          <w:sz w:val="24"/>
          <w:szCs w:val="24"/>
        </w:rPr>
        <w:t>extent</w:t>
      </w:r>
      <w:r w:rsidRPr="001B174E">
        <w:rPr>
          <w:rFonts w:asciiTheme="majorBidi" w:hAnsiTheme="majorBidi" w:cstheme="majorBidi"/>
          <w:sz w:val="24"/>
          <w:szCs w:val="24"/>
        </w:rPr>
        <w:t xml:space="preserve"> domains like memory, attention, and executive function, often attributed to synergistic actions within the plant's phytocomplex. Despite encouraging results, the authors emphasize the need for standardized methodologies and translational studies to bridge laboratory findings with clinical relevance</w:t>
      </w:r>
      <w:r w:rsidR="00ED39CA">
        <w:rPr>
          <w:rFonts w:asciiTheme="majorBidi" w:hAnsiTheme="majorBidi" w:cstheme="majorBidi"/>
          <w:sz w:val="24"/>
          <w:szCs w:val="24"/>
        </w:rPr>
        <w:t xml:space="preserve"> </w:t>
      </w:r>
      <w:r w:rsidR="00ED39CA">
        <w:rPr>
          <w:rFonts w:asciiTheme="majorBidi" w:hAnsiTheme="majorBidi" w:cstheme="majorBidi"/>
          <w:sz w:val="24"/>
          <w:szCs w:val="24"/>
        </w:rPr>
        <w:fldChar w:fldCharType="begin"/>
      </w:r>
      <w:r w:rsidR="00ED39CA">
        <w:rPr>
          <w:rFonts w:asciiTheme="majorBidi" w:hAnsiTheme="majorBidi" w:cstheme="majorBidi"/>
          <w:sz w:val="24"/>
          <w:szCs w:val="24"/>
        </w:rPr>
        <w:instrText xml:space="preserve"> ADDIN EN.CITE &lt;EndNote&gt;&lt;Cite&gt;&lt;Author&gt;Piva&lt;/Author&gt;&lt;Year&gt;2024&lt;/Year&gt;&lt;RecNum&gt;341&lt;/RecNum&gt;&lt;DisplayText&gt;(Piva et al., 2024)&lt;/DisplayText&gt;&lt;record&gt;&lt;rec-number&gt;341&lt;/rec-number&gt;&lt;foreign-keys&gt;&lt;key app="EN" db-id="2ptrtps0adr9vke22dn5tpwzrsfaxtxrfwet" timestamp="1758618694"&gt;341&lt;/key&gt;&lt;/foreign-keys&gt;&lt;ref-type name="Journal Article"&gt;17&lt;/ref-type&gt;&lt;contributors&gt;&lt;authors&gt;&lt;author&gt;Piva, Alessandro&lt;/author&gt;&lt;author&gt;Benvegnù, Giulia&lt;/author&gt;&lt;author&gt;Negri, Stefano&lt;/author&gt;&lt;author&gt;Commisso, Mauro&lt;/author&gt;&lt;author&gt;Ceccato, Sofia&lt;/author&gt;&lt;author&gt;Avesani, Linda&lt;/author&gt;&lt;author&gt;Guzzo, Flavia&lt;/author&gt;&lt;author&gt;Chiamulera, Cristiano&lt;/author&gt;&lt;/authors&gt;&lt;/contributors&gt;&lt;titles&gt;&lt;title&gt;Whole Plant Extracts for Neurocognitive Disorders: A Narrative Review of Neuropsychological and Preclinical Studies&lt;/title&gt;&lt;secondary-title&gt;Nutrients&lt;/secondary-title&gt;&lt;/titles&gt;&lt;periodical&gt;&lt;full-title&gt;Nutrients&lt;/full-title&gt;&lt;/periodical&gt;&lt;pages&gt;3156&lt;/pages&gt;&lt;volume&gt;16&lt;/volume&gt;&lt;number&gt;18&lt;/number&gt;&lt;dates&gt;&lt;year&gt;2024&lt;/year&gt;&lt;/dates&gt;&lt;isbn&gt;2072-6643&lt;/isbn&gt;&lt;accession-num&gt;doi:10.3390/nu16183156&lt;/accession-num&gt;&lt;urls&gt;&lt;related-urls&gt;&lt;url&gt;https://www.mdpi.com/2072-6643/16/18/3156&lt;/url&gt;&lt;/related-urls&gt;&lt;/urls&gt;&lt;/record&gt;&lt;/Cite&gt;&lt;/EndNote&gt;</w:instrText>
      </w:r>
      <w:r w:rsidR="00ED39CA">
        <w:rPr>
          <w:rFonts w:asciiTheme="majorBidi" w:hAnsiTheme="majorBidi" w:cstheme="majorBidi"/>
          <w:sz w:val="24"/>
          <w:szCs w:val="24"/>
        </w:rPr>
        <w:fldChar w:fldCharType="separate"/>
      </w:r>
      <w:r w:rsidR="00ED39CA">
        <w:rPr>
          <w:rFonts w:asciiTheme="majorBidi" w:hAnsiTheme="majorBidi" w:cstheme="majorBidi"/>
          <w:noProof/>
          <w:sz w:val="24"/>
          <w:szCs w:val="24"/>
        </w:rPr>
        <w:t>(</w:t>
      </w:r>
      <w:hyperlink w:anchor="_ENREF_183" w:tooltip="Piva, 2024 #341" w:history="1">
        <w:r w:rsidR="00DE113E">
          <w:rPr>
            <w:rFonts w:asciiTheme="majorBidi" w:hAnsiTheme="majorBidi" w:cstheme="majorBidi"/>
            <w:noProof/>
            <w:sz w:val="24"/>
            <w:szCs w:val="24"/>
          </w:rPr>
          <w:t>Piva et al., 2024</w:t>
        </w:r>
      </w:hyperlink>
      <w:r w:rsidR="00ED39CA">
        <w:rPr>
          <w:rFonts w:asciiTheme="majorBidi" w:hAnsiTheme="majorBidi" w:cstheme="majorBidi"/>
          <w:noProof/>
          <w:sz w:val="24"/>
          <w:szCs w:val="24"/>
        </w:rPr>
        <w:t>)</w:t>
      </w:r>
      <w:r w:rsidR="00ED39CA">
        <w:rPr>
          <w:rFonts w:asciiTheme="majorBidi" w:hAnsiTheme="majorBidi" w:cstheme="majorBidi"/>
          <w:sz w:val="24"/>
          <w:szCs w:val="24"/>
        </w:rPr>
        <w:fldChar w:fldCharType="end"/>
      </w:r>
      <w:r w:rsidR="0043305A">
        <w:rPr>
          <w:rFonts w:asciiTheme="majorBidi" w:hAnsiTheme="majorBidi" w:cstheme="majorBidi"/>
          <w:sz w:val="24"/>
          <w:szCs w:val="24"/>
        </w:rPr>
        <w:t>.</w:t>
      </w:r>
    </w:p>
    <w:p w14:paraId="00C13373" w14:textId="77777777" w:rsidR="00E106F7" w:rsidRDefault="00E106F7" w:rsidP="000811C8">
      <w:pPr>
        <w:spacing w:line="360" w:lineRule="auto"/>
        <w:jc w:val="both"/>
        <w:rPr>
          <w:rFonts w:asciiTheme="majorBidi" w:hAnsiTheme="majorBidi" w:cstheme="majorBidi"/>
          <w:sz w:val="24"/>
          <w:szCs w:val="24"/>
          <w:lang w:val="en-GB"/>
        </w:rPr>
      </w:pPr>
    </w:p>
    <w:p w14:paraId="06AC8808" w14:textId="77777777" w:rsidR="00912EDC" w:rsidRPr="00912EDC" w:rsidRDefault="00912EDC" w:rsidP="00D623DE">
      <w:pPr>
        <w:pStyle w:val="Heading3"/>
        <w:ind w:left="1080"/>
        <w:rPr>
          <w:lang w:val="en-GB"/>
        </w:rPr>
      </w:pPr>
      <w:bookmarkStart w:id="11" w:name="_Toc214875819"/>
      <w:r w:rsidRPr="00912EDC">
        <w:rPr>
          <w:lang w:val="en-GB"/>
        </w:rPr>
        <w:t>1.1.4 Current Limitations in Neurocognitive Disorder Treatment</w:t>
      </w:r>
      <w:bookmarkEnd w:id="11"/>
    </w:p>
    <w:p w14:paraId="3630FE1D" w14:textId="0EBFB816" w:rsidR="00912EDC" w:rsidRPr="00F71F57" w:rsidRDefault="00912EDC" w:rsidP="008832E9">
      <w:pPr>
        <w:spacing w:line="360" w:lineRule="auto"/>
        <w:ind w:left="1080"/>
        <w:jc w:val="both"/>
        <w:rPr>
          <w:rFonts w:asciiTheme="majorBidi" w:hAnsiTheme="majorBidi" w:cstheme="majorBidi"/>
          <w:sz w:val="24"/>
          <w:szCs w:val="24"/>
          <w:lang w:val="en-GB"/>
        </w:rPr>
      </w:pPr>
      <w:r w:rsidRPr="00912EDC">
        <w:rPr>
          <w:rFonts w:asciiTheme="majorBidi" w:hAnsiTheme="majorBidi" w:cstheme="majorBidi"/>
          <w:sz w:val="24"/>
          <w:szCs w:val="24"/>
          <w:lang w:val="en-GB"/>
        </w:rPr>
        <w:t xml:space="preserve">Neurocognitive disorders (NCDs) present substantial challenges in diagnosis and treatment, exhibiting a wide range of symptoms and causal factors that complicate the management of affected patients. Current limitations in treatment stem from inherent complexities in these conditions, particularly regarding their diagnosis, treatment modalities, and response variability among patients. This complexity often leads to misdiagnosis and inadequate treatment strategies, requiring further exploration and innovative approaches. One prominent issue in treating neurocognitive disorders is the clinical heterogeneity observed across patient populations. As noted by Kavanaugh et al., the variability in neurocognitive functions among patients with similar diagnoses can hinder the development of effective, targeted interventions </w:t>
      </w:r>
      <w:r w:rsidRPr="00912EDC">
        <w:rPr>
          <w:rFonts w:asciiTheme="majorBidi" w:hAnsiTheme="majorBidi" w:cstheme="majorBidi"/>
          <w:sz w:val="24"/>
          <w:szCs w:val="24"/>
          <w:lang w:val="en-GB"/>
        </w:rPr>
        <w:fldChar w:fldCharType="begin"/>
      </w:r>
      <w:r w:rsidRPr="00912EDC">
        <w:rPr>
          <w:rFonts w:asciiTheme="majorBidi" w:hAnsiTheme="majorBidi" w:cstheme="majorBidi"/>
          <w:sz w:val="24"/>
          <w:szCs w:val="24"/>
          <w:lang w:val="en-GB"/>
        </w:rPr>
        <w:instrText xml:space="preserve"> ADDIN EN.CITE &lt;EndNote&gt;&lt;Cite&gt;&lt;Author&gt;Kavanaugh&lt;/Author&gt;&lt;Year&gt;2020&lt;/Year&gt;&lt;RecNum&gt;37&lt;/RecNum&gt;&lt;DisplayText&gt;(Kavanaugh et al., 2020)&lt;/DisplayText&gt;&lt;record&gt;&lt;rec-number&gt;37&lt;/rec-number&gt;&lt;foreign-keys&gt;&lt;key app="EN" db-id="2ptrtps0adr9vke22dn5tpwzrsfaxtxrfwet" timestamp="1755588581"&gt;37&lt;/key&gt;&lt;/foreign-keys&gt;&lt;ref-type name="Journal Article"&gt;17&lt;/ref-type&gt;&lt;contributors&gt;&lt;authors&gt;&lt;author&gt;Kavanaugh, Brian C.&lt;/author&gt;&lt;author&gt;Cancilliere, Mary Kathryn&lt;/author&gt;&lt;author&gt;Spirito, Anthony&lt;/author&gt;&lt;/authors&gt;&lt;/contributors&gt;&lt;titles&gt;&lt;title&gt;Neurocognitive heterogeneity across the spectrum of psychopathology: need for improved approaches to deficit detection and intervention&lt;/title&gt;&lt;secondary-title&gt;CNS Spectrums&lt;/secondary-title&gt;&lt;/titles&gt;&lt;periodical&gt;&lt;full-title&gt;CNS Spectrums&lt;/full-title&gt;&lt;/periodical&gt;&lt;pages&gt;436-444&lt;/pages&gt;&lt;volume&gt;25&lt;/volume&gt;&lt;number&gt;3&lt;/number&gt;&lt;edition&gt;2019/05/27&lt;/edition&gt;&lt;keywords&gt;&lt;keyword&gt;Neurocognition&lt;/keyword&gt;&lt;keyword&gt;RDoC&lt;/keyword&gt;&lt;keyword&gt;experimental therapeutics&lt;/keyword&gt;&lt;keyword&gt;heterogeneity&lt;/keyword&gt;&lt;keyword&gt;psychiatric&lt;/keyword&gt;&lt;/keywords&gt;&lt;dates&gt;&lt;year&gt;2020&lt;/year&gt;&lt;/dates&gt;&lt;publisher&gt;Cambridge University Press&lt;/publisher&gt;&lt;isbn&gt;1092-8529&lt;/isbn&gt;&lt;urls&gt;&lt;related-urls&gt;&lt;url&gt;https://www.cambridge.org/core/product/7BA3E5070571E804FF6B406365A71A30&lt;/url&gt;&lt;/related-urls&gt;&lt;/urls&gt;&lt;electronic-resource-num&gt;10.1017/S1092852919001081&lt;/electronic-resource-num&gt;&lt;remote-database-name&gt;Cambridge Core&lt;/remote-database-name&gt;&lt;remote-database-provider&gt;Cambridge University Press&lt;/remote-database-provider&gt;&lt;/record&gt;&lt;/Cite&gt;&lt;/EndNote&gt;</w:instrText>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120" w:tooltip="Kavanaugh, 2020 #37" w:history="1">
        <w:r w:rsidR="00DE113E" w:rsidRPr="00912EDC">
          <w:rPr>
            <w:rFonts w:asciiTheme="majorBidi" w:hAnsiTheme="majorBidi" w:cstheme="majorBidi"/>
            <w:sz w:val="24"/>
            <w:szCs w:val="24"/>
            <w:lang w:val="en-GB"/>
          </w:rPr>
          <w:t>Kavanaugh et al., 2020</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This neurocognitive heterogeneity implies that standard treatment regimens may not address the unique cognitive deficits present in everyone, thus necessitating tailored therapeutic strategies. Moreover, conditions like mild neurocognitive disorder due to Alzheimer's disease can exhibit symptoms that mimic Attention-Deficit/Hyperactivity Disorder (ADHD), further complicating accurate diagnosis and treatment protocols </w:t>
      </w:r>
      <w:r w:rsidRPr="00912EDC">
        <w:rPr>
          <w:rFonts w:asciiTheme="majorBidi" w:hAnsiTheme="majorBidi" w:cstheme="majorBidi"/>
          <w:sz w:val="24"/>
          <w:szCs w:val="24"/>
          <w:lang w:val="en-GB"/>
        </w:rPr>
        <w:fldChar w:fldCharType="begin"/>
      </w:r>
      <w:r w:rsidRPr="00912EDC">
        <w:rPr>
          <w:rFonts w:asciiTheme="majorBidi" w:hAnsiTheme="majorBidi" w:cstheme="majorBidi"/>
          <w:sz w:val="24"/>
          <w:szCs w:val="24"/>
          <w:lang w:val="en-GB"/>
        </w:rPr>
        <w:instrText xml:space="preserve"> ADDIN EN.CITE &lt;EndNote&gt;&lt;Cite&gt;&lt;Author&gt;Carrillo&lt;/Author&gt;&lt;Year&gt;2022&lt;/Year&gt;&lt;RecNum&gt;38&lt;/RecNum&gt;&lt;DisplayText&gt;(Carrillo et al., 2022)&lt;/DisplayText&gt;&lt;record&gt;&lt;rec-number&gt;38&lt;/rec-number&gt;&lt;foreign-keys&gt;&lt;key app="EN" db-id="2ptrtps0adr9vke22dn5tpwzrsfaxtxrfwet" timestamp="1755589453"&gt;38&lt;/key&gt;&lt;/foreign-keys&gt;&lt;ref-type name="Journal Article"&gt;17&lt;/ref-type&gt;&lt;contributors&gt;&lt;authors&gt;&lt;author&gt;Carrillo, Pablo&lt;/author&gt;&lt;author&gt;Rey, Romain&lt;/author&gt;&lt;author&gt;Padovan, Catherine&lt;/author&gt;&lt;author&gt;Herrmann, Mathieu&lt;/author&gt;&lt;author&gt;Dorey, Jean-Michel&lt;/author&gt;&lt;/authors&gt;&lt;/contributors&gt;&lt;titles&gt;&lt;title&gt;Association Between Mild Neurocognitive Disorder Due to Alzheimer’s Disease and Possible Attention-deficit/Hyperactivity Disorder: A Case Report&lt;/title&gt;&lt;secondary-title&gt;Journal of Psychiatric Practice®&lt;/secondary-title&gt;&lt;/titles&gt;&lt;periodical&gt;&lt;full-title&gt;Journal of Psychiatric Practice®&lt;/full-title&gt;&lt;/periodical&gt;&lt;pages&gt;251-258&lt;/pages&gt;&lt;volume&gt;28&lt;/volume&gt;&lt;number&gt;3&lt;/number&gt;&lt;keywords&gt;&lt;keyword&gt;neurodegenerative disease&lt;/keyword&gt;&lt;keyword&gt;Alzheimer’s disease&lt;/keyword&gt;&lt;keyword&gt;neurodevelopmental disease&lt;/keyword&gt;&lt;keyword&gt;attention-deficit/hyperactivity disorder&lt;/keyword&gt;&lt;keyword&gt;older patients&lt;/keyword&gt;&lt;/keywords&gt;&lt;dates&gt;&lt;year&gt;2022&lt;/year&gt;&lt;/dates&gt;&lt;isbn&gt;1527-4160&lt;/isbn&gt;&lt;accession-num&gt;00131746-202205000-00011&lt;/accession-num&gt;&lt;urls&gt;&lt;related-urls&gt;&lt;url&gt;https://journals.lww.com/practicalpsychiatry/fulltext/2022/05000/association_between_mild_neurocognitive_disorder.11.aspx&lt;/url&gt;&lt;/related-urls&gt;&lt;/urls&gt;&lt;electronic-resource-num&gt;10.1097/pra.0000000000000627&lt;/electronic-resource-num&gt;&lt;/record&gt;&lt;/Cite&gt;&lt;/EndNote&gt;</w:instrText>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39" w:tooltip="Carrillo, 2022 #38" w:history="1">
        <w:r w:rsidR="00DE113E" w:rsidRPr="00912EDC">
          <w:rPr>
            <w:rFonts w:asciiTheme="majorBidi" w:hAnsiTheme="majorBidi" w:cstheme="majorBidi"/>
            <w:sz w:val="24"/>
            <w:szCs w:val="24"/>
            <w:lang w:val="en-GB"/>
          </w:rPr>
          <w:t>Carrillo et al., 2022</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Additionally, one study emphasizes that </w:t>
      </w:r>
      <w:r w:rsidRPr="00912EDC">
        <w:rPr>
          <w:rFonts w:asciiTheme="majorBidi" w:hAnsiTheme="majorBidi" w:cstheme="majorBidi"/>
          <w:sz w:val="24"/>
          <w:szCs w:val="24"/>
          <w:lang w:val="en-GB"/>
        </w:rPr>
        <w:lastRenderedPageBreak/>
        <w:t xml:space="preserve">current pharmacological treatments often fail to address the full complexity of neurocognitive disorders. Their findings suggest gut microbiome imbalances contribute to neuroinflammation and cognitive decline, particularly in dementia. Since standard therapies typically overlook these systemic factors, incorporating microbiome-targeted approaches like probiotics may enhance treatment effectiveness in select patient populations </w:t>
      </w:r>
      <w:r w:rsidRPr="00912EDC">
        <w:rPr>
          <w:rFonts w:asciiTheme="majorBidi" w:hAnsiTheme="majorBidi" w:cstheme="majorBidi"/>
          <w:sz w:val="24"/>
          <w:szCs w:val="24"/>
          <w:lang w:val="en-GB"/>
        </w:rPr>
        <w:fldChar w:fldCharType="begin"/>
      </w:r>
      <w:r w:rsidRPr="00912EDC">
        <w:rPr>
          <w:rFonts w:asciiTheme="majorBidi" w:hAnsiTheme="majorBidi" w:cstheme="majorBidi"/>
          <w:sz w:val="24"/>
          <w:szCs w:val="24"/>
          <w:lang w:val="en-GB"/>
        </w:rPr>
        <w:instrText xml:space="preserve"> ADDIN EN.CITE &lt;EndNote&gt;&lt;Cite&gt;&lt;Author&gt;Halverson&lt;/Author&gt;&lt;Year&gt;2020&lt;/Year&gt;&lt;RecNum&gt;39&lt;/RecNum&gt;&lt;DisplayText&gt;(Halverson &amp;amp; Alagiakrishnan, 2020)&lt;/DisplayText&gt;&lt;record&gt;&lt;rec-number&gt;39&lt;/rec-number&gt;&lt;foreign-keys&gt;&lt;key app="EN" db-id="2ptrtps0adr9vke22dn5tpwzrsfaxtxrfwet" timestamp="1755590358"&gt;39&lt;/key&gt;&lt;/foreign-keys&gt;&lt;ref-type name="Journal Article"&gt;17&lt;/ref-type&gt;&lt;contributors&gt;&lt;authors&gt;&lt;author&gt;Halverson, Tyler&lt;/author&gt;&lt;author&gt;Alagiakrishnan, Kannayiram&lt;/author&gt;&lt;/authors&gt;&lt;/contributors&gt;&lt;titles&gt;&lt;title&gt;Gut microbes in neurocognitive and mental health disorders&lt;/title&gt;&lt;secondary-title&gt;Annals of Medicine&lt;/secondary-title&gt;&lt;/titles&gt;&lt;periodical&gt;&lt;full-title&gt;Annals of Medicine&lt;/full-title&gt;&lt;/periodical&gt;&lt;pages&gt;423-443&lt;/pages&gt;&lt;volume&gt;52&lt;/volume&gt;&lt;number&gt;8&lt;/number&gt;&lt;dates&gt;&lt;year&gt;2020&lt;/year&gt;&lt;pub-dates&gt;&lt;date&gt;2020/11/16&lt;/date&gt;&lt;/pub-dates&gt;&lt;/dates&gt;&lt;publisher&gt;Taylor &amp;amp; Francis&lt;/publisher&gt;&lt;isbn&gt;0785-3890&lt;/isbn&gt;&lt;urls&gt;&lt;related-urls&gt;&lt;url&gt;https://doi.org/10.1080/07853890.2020.1808239&lt;/url&gt;&lt;/related-urls&gt;&lt;/urls&gt;&lt;electronic-resource-num&gt;10.1080/07853890.2020.1808239&lt;/electronic-resource-num&gt;&lt;/record&gt;&lt;/Cite&gt;&lt;/EndNote&gt;</w:instrText>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98" w:tooltip="Halverson, 2020 #39" w:history="1">
        <w:r w:rsidR="00DE113E" w:rsidRPr="00912EDC">
          <w:rPr>
            <w:rFonts w:asciiTheme="majorBidi" w:hAnsiTheme="majorBidi" w:cstheme="majorBidi"/>
            <w:sz w:val="24"/>
            <w:szCs w:val="24"/>
            <w:lang w:val="en-GB"/>
          </w:rPr>
          <w:t>Halverson &amp; Alagiakrishnan, 2020</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Interestingly, one study showed that the blood-brain barrier (BBB) presents a major obstacle in treating neurocognitive disorders, as many therapeutic agents struggle to reach target brain regions effectively. This limitation has been observed across various conditions, including Alzheimer’s disease and HIV-associated neurocognitive disorders (HAND), prompting interest in novel delivery systems such as nanotherapeutics </w:t>
      </w:r>
      <w:r w:rsidRPr="00912EDC">
        <w:rPr>
          <w:rFonts w:asciiTheme="majorBidi" w:hAnsiTheme="majorBidi" w:cstheme="majorBidi"/>
          <w:sz w:val="24"/>
          <w:szCs w:val="24"/>
          <w:lang w:val="en-GB"/>
        </w:rPr>
        <w:fldChar w:fldCharType="begin"/>
      </w:r>
      <w:r w:rsidRPr="00912EDC">
        <w:rPr>
          <w:rFonts w:asciiTheme="majorBidi" w:hAnsiTheme="majorBidi" w:cstheme="majorBidi"/>
          <w:sz w:val="24"/>
          <w:szCs w:val="24"/>
          <w:lang w:val="en-GB"/>
        </w:rPr>
        <w:instrText xml:space="preserve"> ADDIN EN.CITE &lt;EndNote&gt;&lt;Cite&gt;&lt;Author&gt;Lomas&lt;/Author&gt;&lt;Year&gt;2025&lt;/Year&gt;&lt;RecNum&gt;40&lt;/RecNum&gt;&lt;DisplayText&gt;(Lomas et al., 2025)&lt;/DisplayText&gt;&lt;record&gt;&lt;rec-number&gt;40&lt;/rec-number&gt;&lt;foreign-keys&gt;&lt;key app="EN" db-id="2ptrtps0adr9vke22dn5tpwzrsfaxtxrfwet" timestamp="1755590898"&gt;40&lt;/key&gt;&lt;/foreign-keys&gt;&lt;ref-type name="Journal Article"&gt;17&lt;/ref-type&gt;&lt;contributors&gt;&lt;authors&gt;&lt;author&gt;Lomas, Christia&lt;/author&gt;&lt;author&gt;Dubey, Ravi Chandra&lt;/author&gt;&lt;author&gt;Perez-Alvarez, Gabriela&lt;/author&gt;&lt;author&gt;Lopez Hernandez, Yesenia&lt;/author&gt;&lt;author&gt;Atmar, Aorzala&lt;/author&gt;&lt;author&gt;Arias, Adriana Yndart&lt;/author&gt;&lt;author&gt;Vashist, Atul&lt;/author&gt;&lt;author&gt;Aggarwal, Saurabh&lt;/author&gt;&lt;author&gt;Manickam, Pandiaraj&lt;/author&gt;&lt;author&gt;Lakshmana, Madepalli Krishnappa&lt;/author&gt;&lt;author&gt;Vashist, Arti&lt;/author&gt;&lt;/authors&gt;&lt;/contributors&gt;&lt;titles&gt;&lt;title&gt;Recent advances in nanotherapeutics for HIV-associated neurocognitive disorders and substance use disorders&lt;/title&gt;&lt;secondary-title&gt;Nanomedicine&lt;/secondary-title&gt;&lt;/titles&gt;&lt;periodical&gt;&lt;full-title&gt;Nanomedicine&lt;/full-title&gt;&lt;/periodical&gt;&lt;pages&gt;603-619&lt;/pages&gt;&lt;volume&gt;20&lt;/volume&gt;&lt;number&gt;6&lt;/number&gt;&lt;dates&gt;&lt;year&gt;2025&lt;/year&gt;&lt;pub-dates&gt;&lt;date&gt;2025/03/19&lt;/date&gt;&lt;/pub-dates&gt;&lt;/dates&gt;&lt;publisher&gt;Taylor &amp;amp; Francis&lt;/publisher&gt;&lt;isbn&gt;1743-5889&lt;/isbn&gt;&lt;urls&gt;&lt;related-urls&gt;&lt;url&gt;https://doi.org/10.1080/17435889.2025.2461984&lt;/url&gt;&lt;/related-urls&gt;&lt;/urls&gt;&lt;electronic-resource-num&gt;10.1080/17435889.2025.2461984&lt;/electronic-resource-num&gt;&lt;/record&gt;&lt;/Cite&gt;&lt;/EndNote&gt;</w:instrText>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143" w:tooltip="Lomas, 2025 #40" w:history="1">
        <w:r w:rsidR="00DE113E" w:rsidRPr="00912EDC">
          <w:rPr>
            <w:rFonts w:asciiTheme="majorBidi" w:hAnsiTheme="majorBidi" w:cstheme="majorBidi"/>
            <w:sz w:val="24"/>
            <w:szCs w:val="24"/>
            <w:lang w:val="en-GB"/>
          </w:rPr>
          <w:t>Lomas et al., 2025</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Despite advancements in conventional therapies, these approaches may enhance drug bioavailability and improve treatment outcomes in disorders where cognitive decline is prominent (Tang et al., 2023). In Parkinson's Disease, current treatments primarily focus on symptomatic relief through dopaminergic medications, which manage motor symptoms effectively but do not alter the underlying neurodegenerative processes. For instance, the administration of levodopa can temporarily relieve symptoms. However, it does not prevent neuronal degradation in the substantia nigra, a hallmark of PD. Moreover, non-motor symptoms, such as cognitive impairment and mood disorders, are often inadequately addressed </w:t>
      </w:r>
      <w:r w:rsidRPr="00912EDC">
        <w:rPr>
          <w:rFonts w:asciiTheme="majorBidi" w:hAnsiTheme="majorBidi" w:cstheme="majorBidi"/>
          <w:sz w:val="24"/>
          <w:szCs w:val="24"/>
          <w:lang w:val="en-GB"/>
        </w:rPr>
        <w:fldChar w:fldCharType="begin"/>
      </w:r>
      <w:r w:rsidRPr="00912EDC">
        <w:rPr>
          <w:rFonts w:asciiTheme="majorBidi" w:hAnsiTheme="majorBidi" w:cstheme="majorBidi"/>
          <w:sz w:val="24"/>
          <w:szCs w:val="24"/>
          <w:lang w:val="en-GB"/>
        </w:rPr>
        <w:instrText xml:space="preserve"> ADDIN EN.CITE &lt;EndNote&gt;&lt;Cite&gt;&lt;Author&gt;El-Battari&lt;/Author&gt;&lt;Year&gt;2021&lt;/Year&gt;&lt;RecNum&gt;41&lt;/RecNum&gt;&lt;DisplayText&gt;(El-Battari et al., 2021)&lt;/DisplayText&gt;&lt;record&gt;&lt;rec-number&gt;41&lt;/rec-number&gt;&lt;foreign-keys&gt;&lt;key app="EN" db-id="2ptrtps0adr9vke22dn5tpwzrsfaxtxrfwet" timestamp="1755591638"&gt;41&lt;/key&gt;&lt;/foreign-keys&gt;&lt;ref-type name="Journal Article"&gt;17&lt;/ref-type&gt;&lt;contributors&gt;&lt;authors&gt;&lt;author&gt;El-Battari, Assou&lt;/author&gt;&lt;author&gt;Rodriguez, Léa&lt;/author&gt;&lt;author&gt;Chahinian, Henri&lt;/author&gt;&lt;author&gt;Delézay, Olivier&lt;/author&gt;&lt;author&gt;Fantini, Jacques&lt;/author&gt;&lt;author&gt;Yahi, Nouara&lt;/author&gt;&lt;author&gt;Di Scala, Coralie&lt;/author&gt;&lt;/authors&gt;&lt;/contributors&gt;&lt;titles&gt;&lt;title&gt;Gene Therapy Strategy for Alzheimer’s and Parkinson’s Diseases Aimed at Preventing the Formation of Neurotoxic Oligomers in SH-SY5Y Cells&lt;/title&gt;&lt;secondary-title&gt;International Journal of Molecular Sciences&lt;/secondary-title&gt;&lt;/titles&gt;&lt;periodical&gt;&lt;full-title&gt;International Journal of Molecular Sciences&lt;/full-title&gt;&lt;/periodical&gt;&lt;pages&gt;11550&lt;/pages&gt;&lt;volume&gt;22&lt;/volume&gt;&lt;number&gt;21&lt;/number&gt;&lt;dates&gt;&lt;year&gt;2021&lt;/year&gt;&lt;/dates&gt;&lt;isbn&gt;1422-0067&lt;/isbn&gt;&lt;accession-num&gt;doi:10.3390/ijms222111550&lt;/accession-num&gt;&lt;urls&gt;&lt;related-urls&gt;&lt;url&gt;https://www.mdpi.com/1422-0067/22/21/11550&lt;/url&gt;&lt;/related-urls&gt;&lt;/urls&gt;&lt;/record&gt;&lt;/Cite&gt;&lt;/EndNote&gt;</w:instrText>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69" w:tooltip="El-Battari, 2021 #41" w:history="1">
        <w:r w:rsidR="00DE113E" w:rsidRPr="00912EDC">
          <w:rPr>
            <w:rFonts w:asciiTheme="majorBidi" w:hAnsiTheme="majorBidi" w:cstheme="majorBidi"/>
            <w:sz w:val="24"/>
            <w:szCs w:val="24"/>
            <w:lang w:val="en-GB"/>
          </w:rPr>
          <w:t>El-Battari et al., 2021</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In the case of ADHD, treatment primarily revolves around stimulant medications, such as methylphenidate and amphetamines, which are effective for many individuals. However, long-term outcomes and the impact of these medications on various life domains remain areas of concern. Additionally, comorbidity with Bipolar Disorder complicates treatment, as about 20% of individuals with ADHD may also meet criteria for Bipolar Disorder, which presents differing pharmacological needs and the potential for stimulant medications to </w:t>
      </w:r>
      <w:r w:rsidRPr="00912EDC">
        <w:rPr>
          <w:rFonts w:asciiTheme="majorBidi" w:hAnsiTheme="majorBidi" w:cstheme="majorBidi"/>
          <w:sz w:val="24"/>
          <w:szCs w:val="24"/>
          <w:lang w:val="en-GB"/>
        </w:rPr>
        <w:lastRenderedPageBreak/>
        <w:t xml:space="preserve">exacerbate manic episodes </w:t>
      </w:r>
      <w:r w:rsidRPr="00912EDC">
        <w:rPr>
          <w:rFonts w:asciiTheme="majorBidi" w:hAnsiTheme="majorBidi" w:cstheme="majorBidi"/>
          <w:sz w:val="24"/>
          <w:szCs w:val="24"/>
          <w:lang w:val="en-GB"/>
        </w:rPr>
        <w:fldChar w:fldCharType="begin">
          <w:fldData xml:space="preserve">PEVuZE5vdGU+PENpdGU+PEF1dGhvcj5GdWppbXVyYTwvQXV0aG9yPjxZZWFyPjIwMjQ8L1llYXI+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</w:fldData>
        </w:fldChar>
      </w:r>
      <w:r w:rsidRPr="00912EDC">
        <w:rPr>
          <w:rFonts w:asciiTheme="majorBidi" w:hAnsiTheme="majorBidi" w:cstheme="majorBidi"/>
          <w:sz w:val="24"/>
          <w:szCs w:val="24"/>
          <w:lang w:val="en-GB"/>
        </w:rPr>
        <w:instrText xml:space="preserve"> ADDIN EN.CITE </w:instrText>
      </w:r>
      <w:r w:rsidRPr="00912EDC">
        <w:rPr>
          <w:rFonts w:asciiTheme="majorBidi" w:hAnsiTheme="majorBidi" w:cstheme="majorBidi"/>
          <w:sz w:val="24"/>
          <w:szCs w:val="24"/>
          <w:lang w:val="en-GB"/>
        </w:rPr>
        <w:fldChar w:fldCharType="begin">
          <w:fldData xml:space="preserve">PEVuZE5vdGU+PENpdGU+PEF1dGhvcj5GdWppbXVyYTwvQXV0aG9yPjxZZWFyPjIwMjQ8L1llYXI+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</w:fldData>
        </w:fldChar>
      </w:r>
      <w:r w:rsidRPr="00912EDC">
        <w:rPr>
          <w:rFonts w:asciiTheme="majorBidi" w:hAnsiTheme="majorBidi" w:cstheme="majorBidi"/>
          <w:sz w:val="24"/>
          <w:szCs w:val="24"/>
          <w:lang w:val="en-GB"/>
        </w:rPr>
        <w:instrText xml:space="preserve"> ADDIN EN.CITE.DATA </w:instrText>
      </w:r>
      <w:r w:rsidRPr="00912EDC">
        <w:rPr>
          <w:rFonts w:asciiTheme="majorBidi" w:hAnsiTheme="majorBidi" w:cstheme="majorBidi"/>
          <w:sz w:val="24"/>
          <w:szCs w:val="24"/>
          <w:lang w:val="en-GB"/>
        </w:rPr>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81" w:tooltip="Fujimura, 2024 #42" w:history="1">
        <w:r w:rsidR="00DE113E" w:rsidRPr="00912EDC">
          <w:rPr>
            <w:rFonts w:asciiTheme="majorBidi" w:hAnsiTheme="majorBidi" w:cstheme="majorBidi"/>
            <w:sz w:val="24"/>
            <w:szCs w:val="24"/>
            <w:lang w:val="en-GB"/>
          </w:rPr>
          <w:t>Fujimura et al., 2024</w:t>
        </w:r>
      </w:hyperlink>
      <w:r w:rsidRPr="00912EDC">
        <w:rPr>
          <w:rFonts w:asciiTheme="majorBidi" w:hAnsiTheme="majorBidi" w:cstheme="majorBidi"/>
          <w:sz w:val="24"/>
          <w:szCs w:val="24"/>
          <w:lang w:val="en-GB"/>
        </w:rPr>
        <w:t xml:space="preserve">; </w:t>
      </w:r>
      <w:hyperlink w:anchor="_ENREF_155" w:tooltip="McIntyre, 2019 #43" w:history="1">
        <w:r w:rsidR="00DE113E" w:rsidRPr="00912EDC">
          <w:rPr>
            <w:rFonts w:asciiTheme="majorBidi" w:hAnsiTheme="majorBidi" w:cstheme="majorBidi"/>
            <w:sz w:val="24"/>
            <w:szCs w:val="24"/>
            <w:lang w:val="en-GB"/>
          </w:rPr>
          <w:t>McIntyre &amp; Calabrese, 2019</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Non-pharmacological interventions, including behavioral therapies and educational support, are essential components of a comprehensive treatment approach for ADHD but are often underemphasized in clinical practice, leading to insufficient support for managing symptoms holistically </w:t>
      </w:r>
      <w:r w:rsidRPr="00912EDC">
        <w:rPr>
          <w:rFonts w:asciiTheme="majorBidi" w:hAnsiTheme="majorBidi" w:cstheme="majorBidi"/>
          <w:sz w:val="24"/>
          <w:szCs w:val="24"/>
          <w:lang w:val="en-GB"/>
        </w:rPr>
        <w:fldChar w:fldCharType="begin">
          <w:fldData xml:space="preserve">PEVuZE5vdGU+PENpdGU+PEF1dGhvcj5Xb2xyYWljaDwvQXV0aG9yPjxZZWFyPjIwMTk8L1llYXI+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</w:fldData>
        </w:fldChar>
      </w:r>
      <w:r w:rsidRPr="00912EDC">
        <w:rPr>
          <w:rFonts w:asciiTheme="majorBidi" w:hAnsiTheme="majorBidi" w:cstheme="majorBidi"/>
          <w:sz w:val="24"/>
          <w:szCs w:val="24"/>
          <w:lang w:val="en-GB"/>
        </w:rPr>
        <w:instrText xml:space="preserve"> ADDIN EN.CITE </w:instrText>
      </w:r>
      <w:r w:rsidRPr="00912EDC">
        <w:rPr>
          <w:rFonts w:asciiTheme="majorBidi" w:hAnsiTheme="majorBidi" w:cstheme="majorBidi"/>
          <w:sz w:val="24"/>
          <w:szCs w:val="24"/>
          <w:lang w:val="en-GB"/>
        </w:rPr>
        <w:fldChar w:fldCharType="begin">
          <w:fldData xml:space="preserve">PEVuZE5vdGU+PENpdGU+PEF1dGhvcj5Xb2xyYWljaDwvQXV0aG9yPjxZZWFyPjIwMTk8L1llYXI+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</w:fldData>
        </w:fldChar>
      </w:r>
      <w:r w:rsidRPr="00912EDC">
        <w:rPr>
          <w:rFonts w:asciiTheme="majorBidi" w:hAnsiTheme="majorBidi" w:cstheme="majorBidi"/>
          <w:sz w:val="24"/>
          <w:szCs w:val="24"/>
          <w:lang w:val="en-GB"/>
        </w:rPr>
        <w:instrText xml:space="preserve"> ADDIN EN.CITE.DATA </w:instrText>
      </w:r>
      <w:r w:rsidRPr="00912EDC">
        <w:rPr>
          <w:rFonts w:asciiTheme="majorBidi" w:hAnsiTheme="majorBidi" w:cstheme="majorBidi"/>
          <w:sz w:val="24"/>
          <w:szCs w:val="24"/>
          <w:lang w:val="en-GB"/>
        </w:rPr>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262" w:tooltip="Wolraich, 2019 #45" w:history="1">
        <w:r w:rsidR="00DE113E" w:rsidRPr="00912EDC">
          <w:rPr>
            <w:rFonts w:asciiTheme="majorBidi" w:hAnsiTheme="majorBidi" w:cstheme="majorBidi"/>
            <w:sz w:val="24"/>
            <w:szCs w:val="24"/>
            <w:lang w:val="en-GB"/>
          </w:rPr>
          <w:t>Wolraich et al., 2019</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Schizophrenia poses another set of treatment difficulties, particularly regarding medication adherence and the management of negative symptoms. Antipsychotic medications are the cornerstone of treatment; however, their efficacy is often limited to positive symptoms, with negative symptoms and cognitive deficits receiving insufficient attention </w:t>
      </w:r>
      <w:r w:rsidRPr="00912EDC">
        <w:rPr>
          <w:rFonts w:asciiTheme="majorBidi" w:hAnsiTheme="majorBidi" w:cstheme="majorBidi"/>
          <w:sz w:val="24"/>
          <w:szCs w:val="24"/>
          <w:lang w:val="en-GB"/>
        </w:rPr>
        <w:fldChar w:fldCharType="begin"/>
      </w:r>
      <w:r w:rsidRPr="00912EDC">
        <w:rPr>
          <w:rFonts w:asciiTheme="majorBidi" w:hAnsiTheme="majorBidi" w:cstheme="majorBidi"/>
          <w:sz w:val="24"/>
          <w:szCs w:val="24"/>
          <w:lang w:val="en-GB"/>
        </w:rPr>
        <w:instrText xml:space="preserve"> ADDIN EN.CITE &lt;EndNote&gt;&lt;Cite&gt;&lt;Author&gt;Kirkpatrick&lt;/Author&gt;&lt;Year&gt;2006&lt;/Year&gt;&lt;RecNum&gt;46&lt;/RecNum&gt;&lt;DisplayText&gt;(Kirkpatrick et al., 2006)&lt;/DisplayText&gt;&lt;record&gt;&lt;rec-number&gt;46&lt;/rec-number&gt;&lt;foreign-keys&gt;&lt;key app="EN" db-id="2ptrtps0adr9vke22dn5tpwzrsfaxtxrfwet" timestamp="1755594107"&gt;46&lt;/key&gt;&lt;/foreign-keys&gt;&lt;ref-type name="Journal Article"&gt;17&lt;/ref-type&gt;&lt;contributors&gt;&lt;authors&gt;&lt;author&gt;Kirkpatrick, B.&lt;/author&gt;&lt;author&gt;Fenton, W. S.&lt;/author&gt;&lt;author&gt;Carpenter, W. T., Jr.&lt;/author&gt;&lt;author&gt;Marder, S. R.&lt;/author&gt;&lt;/authors&gt;&lt;/contributors&gt;&lt;auth-address&gt;Department of Psychiatry and Health Behavior, Medical College of Georgia, USA. bkirkpatrick2@aol.com&lt;/auth-address&gt;&lt;titles&gt;&lt;title&gt;The NIMH-MATRICS consensus statement on negative symptoms&lt;/title&gt;&lt;secondary-title&gt;Schizophr Bull&lt;/secondary-title&gt;&lt;/titles&gt;&lt;periodical&gt;&lt;full-title&gt;Schizophr Bull&lt;/full-title&gt;&lt;/periodical&gt;&lt;pages&gt;214-9&lt;/pages&gt;&lt;volume&gt;32&lt;/volume&gt;&lt;number&gt;2&lt;/number&gt;&lt;edition&gt;2006/02/17&lt;/edition&gt;&lt;keywords&gt;&lt;keyword&gt;Antipsychotic Agents/therapeutic use&lt;/keyword&gt;&lt;keyword&gt;Clinical Trials as Topic/standards&lt;/keyword&gt;&lt;keyword&gt;Humans&lt;/keyword&gt;&lt;keyword&gt;National Institute of Mental Health (U.S.)&lt;/keyword&gt;&lt;keyword&gt;Schizophrenia/*diagnosis/drug therapy&lt;/keyword&gt;&lt;keyword&gt;Schizophrenic Psychology&lt;/keyword&gt;&lt;keyword&gt;Social Perception&lt;/keyword&gt;&lt;keyword&gt;United States&lt;/keyword&gt;&lt;/keywords&gt;&lt;dates&gt;&lt;year&gt;2006&lt;/year&gt;&lt;pub-dates&gt;&lt;date&gt;Apr&lt;/date&gt;&lt;/pub-dates&gt;&lt;/dates&gt;&lt;isbn&gt;0586-7614 (Print)&amp;#xD;0586-7614&lt;/isbn&gt;&lt;accession-num&gt;16481659&lt;/accession-num&gt;&lt;urls&gt;&lt;/urls&gt;&lt;custom2&gt;PMC2632223&lt;/custom2&gt;&lt;electronic-resource-num&gt;10.1093/schbul/sbj053&lt;/electronic-resource-num&gt;&lt;remote-database-provider&gt;NLM&lt;/remote-database-provider&gt;&lt;language&gt;eng&lt;/language&gt;&lt;/record&gt;&lt;/Cite&gt;&lt;/EndNote&gt;</w:instrText>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131" w:tooltip="Kirkpatrick, 2006 #46" w:history="1">
        <w:r w:rsidR="00DE113E" w:rsidRPr="00912EDC">
          <w:rPr>
            <w:rFonts w:asciiTheme="majorBidi" w:hAnsiTheme="majorBidi" w:cstheme="majorBidi"/>
            <w:sz w:val="24"/>
            <w:szCs w:val="24"/>
            <w:lang w:val="en-GB"/>
          </w:rPr>
          <w:t>Kirkpatrick et al., 2006</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Antipsychotic medications such as haloperidol, risperidone, and clozapine are commonly prescribed for schizophrenia; however, individuals with this disorder frequently experience high rates of substance use disorders, which further complicate treatment adherence and recovery outcomes</w:t>
      </w:r>
      <w:r w:rsidRPr="00912EDC">
        <w:rPr>
          <w:rFonts w:asciiTheme="majorBidi" w:hAnsiTheme="majorBidi" w:cstheme="majorBidi"/>
          <w:sz w:val="24"/>
          <w:szCs w:val="24"/>
          <w:rtl/>
          <w:lang w:val="en-GB" w:bidi="fa-IR"/>
        </w:rPr>
        <w:t xml:space="preserve"> </w:t>
      </w:r>
      <w:r w:rsidRPr="00912EDC">
        <w:rPr>
          <w:rFonts w:asciiTheme="majorBidi" w:hAnsiTheme="majorBidi" w:cstheme="majorBidi"/>
          <w:sz w:val="24"/>
          <w:szCs w:val="24"/>
          <w:lang w:val="en-GB"/>
        </w:rPr>
        <w:fldChar w:fldCharType="begin"/>
      </w:r>
      <w:r w:rsidRPr="00912EDC">
        <w:rPr>
          <w:rFonts w:asciiTheme="majorBidi" w:hAnsiTheme="majorBidi" w:cstheme="majorBidi"/>
          <w:sz w:val="24"/>
          <w:szCs w:val="24"/>
          <w:lang w:val="en-GB"/>
        </w:rPr>
        <w:instrText xml:space="preserve"> ADDIN EN.CITE &lt;EndNote&gt;&lt;Cite&gt;&lt;Author&gt;Budiarto&lt;/Author&gt;&lt;Year&gt;2024&lt;/Year&gt;&lt;RecNum&gt;47&lt;/RecNum&gt;&lt;DisplayText&gt;(Budiarto &amp;amp; Mustikasari, 2024)&lt;/DisplayText&gt;&lt;record&gt;&lt;rec-number&gt;47&lt;/rec-number&gt;&lt;foreign-keys&gt;&lt;key app="EN" db-id="2ptrtps0adr9vke22dn5tpwzrsfaxtxrfwet" timestamp="1755594191"&gt;47&lt;/key&gt;&lt;/foreign-keys&gt;&lt;ref-type name="Journal Article"&gt;17&lt;/ref-type&gt;&lt;contributors&gt;&lt;authors&gt;&lt;author&gt;Budiarto, Eka&lt;/author&gt;&lt;author&gt;Mustikasari, null&lt;/author&gt;&lt;/authors&gt;&lt;/contributors&gt;&lt;titles&gt;&lt;title&gt;The Meaning of Family&amp;apos;s Adaptation Experiences Among Schizophrenia Caregivers in the Tidal Flood Areas in Indonesia: A Phenomenology Study&lt;/title&gt;&lt;secondary-title&gt;SAGE Open Nursing&lt;/secondary-title&gt;&lt;/titles&gt;&lt;periodical&gt;&lt;full-title&gt;SAGE Open Nursing&lt;/full-title&gt;&lt;/periodical&gt;&lt;pages&gt;23779608241289099&lt;/pages&gt;&lt;volume&gt;10&lt;/volume&gt;&lt;keywords&gt;&lt;keyword&gt;adaptation, family caregiver, schizophrenia, tidal flood&lt;/keyword&gt;&lt;/keywords&gt;&lt;dates&gt;&lt;year&gt;2024&lt;/year&gt;&lt;/dates&gt;&lt;urls&gt;&lt;related-urls&gt;&lt;url&gt;https://journals.sagepub.com/doi/abs/10.1177/23779608241289099&lt;/url&gt;&lt;/related-urls&gt;&lt;/urls&gt;&lt;electronic-resource-num&gt;10.1177/23779608241289099&lt;/electronic-resource-num&gt;&lt;/record&gt;&lt;/Cite&gt;&lt;/EndNote&gt;</w:instrText>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31" w:tooltip="Budiarto, 2024 #47" w:history="1">
        <w:r w:rsidR="00DE113E" w:rsidRPr="00912EDC">
          <w:rPr>
            <w:rFonts w:asciiTheme="majorBidi" w:hAnsiTheme="majorBidi" w:cstheme="majorBidi"/>
            <w:sz w:val="24"/>
            <w:szCs w:val="24"/>
            <w:lang w:val="en-GB"/>
          </w:rPr>
          <w:t>Budiarto &amp; Mustikasari, 2024</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Family involvement in care has been recognized as crucial due to its potential to enhance support systems; yet, caregivers often lack necessary resources and education, limiting their ability to provide effective care. Strategies to increase family knowledge and involvement could help mitigate these issues and improve patient outcomes </w:t>
      </w:r>
      <w:r w:rsidRPr="00912EDC">
        <w:rPr>
          <w:rFonts w:asciiTheme="majorBidi" w:hAnsiTheme="majorBidi" w:cstheme="majorBidi"/>
          <w:sz w:val="24"/>
          <w:szCs w:val="24"/>
          <w:lang w:val="en-GB"/>
        </w:rPr>
        <w:fldChar w:fldCharType="begin"/>
      </w:r>
      <w:r w:rsidRPr="00912EDC">
        <w:rPr>
          <w:rFonts w:asciiTheme="majorBidi" w:hAnsiTheme="majorBidi" w:cstheme="majorBidi"/>
          <w:sz w:val="24"/>
          <w:szCs w:val="24"/>
          <w:lang w:val="en-GB"/>
        </w:rPr>
        <w:instrText xml:space="preserve"> ADDIN EN.CITE &lt;EndNote&gt;&lt;Cite&gt;&lt;Author&gt;Iswanti&lt;/Author&gt;&lt;Year&gt;2024&lt;/Year&gt;&lt;RecNum&gt;48&lt;/RecNum&gt;&lt;DisplayText&gt;(Iswanti et al., 2024)&lt;/DisplayText&gt;&lt;record&gt;&lt;rec-number&gt;48&lt;/rec-number&gt;&lt;foreign-keys&gt;&lt;key app="EN" db-id="2ptrtps0adr9vke22dn5tpwzrsfaxtxrfwet" timestamp="1755594321"&gt;48&lt;/key&gt;&lt;/foreign-keys&gt;&lt;ref-type name="Journal Article"&gt;17&lt;/ref-type&gt;&lt;contributors&gt;&lt;authors&gt;&lt;author&gt;Iswanti, D. I.&lt;/author&gt;&lt;author&gt;Nursalam, N.&lt;/author&gt;&lt;author&gt;Fitryasari, R.&lt;/author&gt;&lt;author&gt;Mendrofa, F. A. M.&lt;/author&gt;&lt;author&gt;Kandar, K.&lt;/author&gt;&lt;/authors&gt;&lt;/contributors&gt;&lt;titles&gt;&lt;title&gt;Family Empowerment Strategies for Relapse Prevention in Individuals With Schizophrenia: A Scoping Review&lt;/title&gt;&lt;secondary-title&gt;J Psychosoc Nurs Ment Health Serv&lt;/secondary-title&gt;&lt;/titles&gt;&lt;periodical&gt;&lt;full-title&gt;J Psychosoc Nurs Ment Health Serv&lt;/full-title&gt;&lt;/periodical&gt;&lt;pages&gt;19-27&lt;/pages&gt;&lt;volume&gt;62&lt;/volume&gt;&lt;number&gt;5&lt;/number&gt;&lt;edition&gt;2023/10/25&lt;/edition&gt;&lt;keywords&gt;&lt;keyword&gt;Humans&lt;/keyword&gt;&lt;keyword&gt;*Schizophrenia&lt;/keyword&gt;&lt;keyword&gt;*Empowerment&lt;/keyword&gt;&lt;keyword&gt;*Secondary Prevention&lt;/keyword&gt;&lt;keyword&gt;*Adaptation, Psychological&lt;/keyword&gt;&lt;keyword&gt;*Family/psychology&lt;/keyword&gt;&lt;keyword&gt;Social Support&lt;/keyword&gt;&lt;/keywords&gt;&lt;dates&gt;&lt;year&gt;2024&lt;/year&gt;&lt;pub-dates&gt;&lt;date&gt;May&lt;/date&gt;&lt;/pub-dates&gt;&lt;/dates&gt;&lt;isbn&gt;0279-3695 (Print)&amp;#xD;0279-3695&lt;/isbn&gt;&lt;accession-num&gt;37879087&lt;/accession-num&gt;&lt;urls&gt;&lt;/urls&gt;&lt;electronic-resource-num&gt;10.3928/02793695-20231018-02&lt;/electronic-resource-num&gt;&lt;remote-database-provider&gt;NLM&lt;/remote-database-provider&gt;&lt;language&gt;eng&lt;/language&gt;&lt;/record&gt;&lt;/Cite&gt;&lt;/EndNote&gt;</w:instrText>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113" w:tooltip="Iswanti, 2024 #48" w:history="1">
        <w:r w:rsidR="00DE113E" w:rsidRPr="00912EDC">
          <w:rPr>
            <w:rFonts w:asciiTheme="majorBidi" w:hAnsiTheme="majorBidi" w:cstheme="majorBidi"/>
            <w:sz w:val="24"/>
            <w:szCs w:val="24"/>
            <w:lang w:val="en-GB"/>
          </w:rPr>
          <w:t>Iswanti et al., 2024</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Mood stabilizers like lithium and valproate, as well as atypical antipsychotics such as olanzapine and quetiapine, are commonly utilized for treating bipolar disorder; however, numerous patients still face relapses, and coexisting conditions like ADHD or substance use disorders make adherence to treatment and achieving positive long-term results more challenging </w:t>
      </w:r>
      <w:r w:rsidRPr="00912EDC">
        <w:rPr>
          <w:rFonts w:asciiTheme="majorBidi" w:hAnsiTheme="majorBidi" w:cstheme="majorBidi"/>
          <w:sz w:val="24"/>
          <w:szCs w:val="24"/>
          <w:lang w:val="en-GB"/>
        </w:rPr>
        <w:fldChar w:fldCharType="begin">
          <w:fldData xml:space="preserve">PEVuZE5vdGU+PENpdGU+PEF1dGhvcj5NYWxoaTwvQXV0aG9yPjxZZWFyPjIwMjE8L1llYXI+PFJl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</w:fldData>
        </w:fldChar>
      </w:r>
      <w:r w:rsidRPr="00912EDC">
        <w:rPr>
          <w:rFonts w:asciiTheme="majorBidi" w:hAnsiTheme="majorBidi" w:cstheme="majorBidi"/>
          <w:sz w:val="24"/>
          <w:szCs w:val="24"/>
          <w:lang w:val="en-GB"/>
        </w:rPr>
        <w:instrText xml:space="preserve"> ADDIN EN.CITE </w:instrText>
      </w:r>
      <w:r w:rsidRPr="00912EDC">
        <w:rPr>
          <w:rFonts w:asciiTheme="majorBidi" w:hAnsiTheme="majorBidi" w:cstheme="majorBidi"/>
          <w:sz w:val="24"/>
          <w:szCs w:val="24"/>
          <w:lang w:val="en-GB"/>
        </w:rPr>
        <w:fldChar w:fldCharType="begin">
          <w:fldData xml:space="preserve">PEVuZE5vdGU+PENpdGU+PEF1dGhvcj5NYWxoaTwvQXV0aG9yPjxZZWFyPjIwMjE8L1llYXI+PFJl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</w:fldData>
        </w:fldChar>
      </w:r>
      <w:r w:rsidRPr="00912EDC">
        <w:rPr>
          <w:rFonts w:asciiTheme="majorBidi" w:hAnsiTheme="majorBidi" w:cstheme="majorBidi"/>
          <w:sz w:val="24"/>
          <w:szCs w:val="24"/>
          <w:lang w:val="en-GB"/>
        </w:rPr>
        <w:instrText xml:space="preserve"> ADDIN EN.CITE.DATA </w:instrText>
      </w:r>
      <w:r w:rsidRPr="00912EDC">
        <w:rPr>
          <w:rFonts w:asciiTheme="majorBidi" w:hAnsiTheme="majorBidi" w:cstheme="majorBidi"/>
          <w:sz w:val="24"/>
          <w:szCs w:val="24"/>
          <w:lang w:val="en-GB"/>
        </w:rPr>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147" w:tooltip="Malhi, 2021 #50" w:history="1">
        <w:r w:rsidR="00DE113E" w:rsidRPr="00912EDC">
          <w:rPr>
            <w:rFonts w:asciiTheme="majorBidi" w:hAnsiTheme="majorBidi" w:cstheme="majorBidi"/>
            <w:sz w:val="24"/>
            <w:szCs w:val="24"/>
            <w:lang w:val="en-GB"/>
          </w:rPr>
          <w:t>Malhi et al., 2021</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Despite the central role of mood stabilizers and antipsychotics in treatment, a significant proportion of individuals continue to relapse, highlighting the limitations of current pharmacotherapy and the need for novel approaches </w:t>
      </w:r>
      <w:r w:rsidRPr="00912EDC">
        <w:rPr>
          <w:rFonts w:asciiTheme="majorBidi" w:hAnsiTheme="majorBidi" w:cstheme="majorBidi"/>
          <w:sz w:val="24"/>
          <w:szCs w:val="24"/>
          <w:lang w:val="en-GB"/>
        </w:rPr>
        <w:fldChar w:fldCharType="begin">
          <w:fldData xml:space="preserve">PEVuZE5vdGU+PENpdGU+PEF1dGhvcj5DYWxraW48L0F1dGhvcj48WWVhcj4yMDIyPC9ZZWFyPjxS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</w:fldData>
        </w:fldChar>
      </w:r>
      <w:r w:rsidRPr="00912EDC">
        <w:rPr>
          <w:rFonts w:asciiTheme="majorBidi" w:hAnsiTheme="majorBidi" w:cstheme="majorBidi"/>
          <w:sz w:val="24"/>
          <w:szCs w:val="24"/>
          <w:lang w:val="en-GB"/>
        </w:rPr>
        <w:instrText xml:space="preserve"> ADDIN EN.CITE </w:instrText>
      </w:r>
      <w:r w:rsidRPr="00912EDC">
        <w:rPr>
          <w:rFonts w:asciiTheme="majorBidi" w:hAnsiTheme="majorBidi" w:cstheme="majorBidi"/>
          <w:sz w:val="24"/>
          <w:szCs w:val="24"/>
          <w:lang w:val="en-GB"/>
        </w:rPr>
        <w:fldChar w:fldCharType="begin">
          <w:fldData xml:space="preserve">PEVuZE5vdGU+PENpdGU+PEF1dGhvcj5DYWxraW48L0F1dGhvcj48WWVhcj4yMDIyPC9ZZWFyPjxS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</w:fldData>
        </w:fldChar>
      </w:r>
      <w:r w:rsidRPr="00912EDC">
        <w:rPr>
          <w:rFonts w:asciiTheme="majorBidi" w:hAnsiTheme="majorBidi" w:cstheme="majorBidi"/>
          <w:sz w:val="24"/>
          <w:szCs w:val="24"/>
          <w:lang w:val="en-GB"/>
        </w:rPr>
        <w:instrText xml:space="preserve"> ADDIN EN.CITE.DATA </w:instrText>
      </w:r>
      <w:r w:rsidRPr="00912EDC">
        <w:rPr>
          <w:rFonts w:asciiTheme="majorBidi" w:hAnsiTheme="majorBidi" w:cstheme="majorBidi"/>
          <w:sz w:val="24"/>
          <w:szCs w:val="24"/>
          <w:lang w:val="en-GB"/>
        </w:rPr>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r>
      <w:r w:rsidRPr="00912EDC">
        <w:rPr>
          <w:rFonts w:asciiTheme="majorBidi" w:hAnsiTheme="majorBidi" w:cstheme="majorBidi"/>
          <w:sz w:val="24"/>
          <w:szCs w:val="24"/>
          <w:lang w:val="en-GB"/>
        </w:rPr>
        <w:fldChar w:fldCharType="separate"/>
      </w:r>
      <w:r w:rsidRPr="00912EDC">
        <w:rPr>
          <w:rFonts w:asciiTheme="majorBidi" w:hAnsiTheme="majorBidi" w:cstheme="majorBidi"/>
          <w:sz w:val="24"/>
          <w:szCs w:val="24"/>
          <w:lang w:val="en-GB"/>
        </w:rPr>
        <w:t>(</w:t>
      </w:r>
      <w:hyperlink w:anchor="_ENREF_37" w:tooltip="Calkin, 2022 #51" w:history="1">
        <w:r w:rsidR="00DE113E" w:rsidRPr="00912EDC">
          <w:rPr>
            <w:rFonts w:asciiTheme="majorBidi" w:hAnsiTheme="majorBidi" w:cstheme="majorBidi"/>
            <w:sz w:val="24"/>
            <w:szCs w:val="24"/>
            <w:lang w:val="en-GB"/>
          </w:rPr>
          <w:t>Calkin et al., 2022</w:t>
        </w:r>
      </w:hyperlink>
      <w:r w:rsidRPr="00912EDC">
        <w:rPr>
          <w:rFonts w:asciiTheme="majorBidi" w:hAnsiTheme="majorBidi" w:cstheme="majorBidi"/>
          <w:sz w:val="24"/>
          <w:szCs w:val="24"/>
          <w:lang w:val="en-GB"/>
        </w:rPr>
        <w:t>)</w:t>
      </w:r>
      <w:r w:rsidRPr="00912EDC">
        <w:rPr>
          <w:rFonts w:asciiTheme="majorBidi" w:hAnsiTheme="majorBidi" w:cstheme="majorBidi"/>
          <w:sz w:val="24"/>
          <w:szCs w:val="24"/>
          <w:lang w:val="en-GB"/>
        </w:rPr>
        <w:fldChar w:fldCharType="end"/>
      </w:r>
      <w:r w:rsidRPr="00912EDC">
        <w:rPr>
          <w:rFonts w:asciiTheme="majorBidi" w:hAnsiTheme="majorBidi" w:cstheme="majorBidi"/>
          <w:sz w:val="24"/>
          <w:szCs w:val="24"/>
          <w:lang w:val="en-GB"/>
        </w:rPr>
        <w:t xml:space="preserve">. </w:t>
      </w:r>
    </w:p>
    <w:p w14:paraId="361353B0" w14:textId="116948BF" w:rsidR="008324B0" w:rsidRPr="00F71F57" w:rsidRDefault="00C503FC" w:rsidP="00D623DE">
      <w:pPr>
        <w:pStyle w:val="Heading3"/>
        <w:ind w:left="1080"/>
        <w:rPr>
          <w:lang w:val="en-GB"/>
        </w:rPr>
      </w:pPr>
      <w:bookmarkStart w:id="12" w:name="_Toc214875820"/>
      <w:r w:rsidRPr="00F71F57">
        <w:rPr>
          <w:lang w:val="en-GB"/>
        </w:rPr>
        <w:lastRenderedPageBreak/>
        <w:t>1.1.</w:t>
      </w:r>
      <w:r w:rsidR="0090743C">
        <w:rPr>
          <w:lang w:val="en-GB"/>
        </w:rPr>
        <w:t>5</w:t>
      </w:r>
      <w:r w:rsidRPr="00F71F57">
        <w:rPr>
          <w:lang w:val="en-GB"/>
        </w:rPr>
        <w:t xml:space="preserve"> Importance of Developing Novel Therapeutics for Cognitive Decline</w:t>
      </w:r>
      <w:bookmarkEnd w:id="12"/>
    </w:p>
    <w:p w14:paraId="4808DE28" w14:textId="77777777" w:rsidR="00D93A6D" w:rsidRDefault="008F3ACB" w:rsidP="00651768">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The development of novel therapeutics for cognitive decline is an urgent and crucial area of research, particularly as the global population ages. Cognitive decline can significantly impact the quality of life of individuals, and current therapeutic options are often limited or </w:t>
      </w:r>
      <w:r w:rsidR="00DB156A">
        <w:rPr>
          <w:rFonts w:asciiTheme="majorBidi" w:hAnsiTheme="majorBidi" w:cstheme="majorBidi"/>
          <w:sz w:val="24"/>
          <w:szCs w:val="24"/>
        </w:rPr>
        <w:t>have side effects</w:t>
      </w:r>
      <w:r w:rsidRPr="00F71F57">
        <w:rPr>
          <w:rFonts w:asciiTheme="majorBidi" w:hAnsiTheme="majorBidi" w:cstheme="majorBidi"/>
          <w:sz w:val="24"/>
          <w:szCs w:val="24"/>
          <w:lang w:val="en-GB"/>
        </w:rPr>
        <w:t>. Establishing new interventions that address various aspects of cognitive dysfunction can profoundly influence patient outcomes and healthcare strategies.</w:t>
      </w:r>
    </w:p>
    <w:p w14:paraId="0AB05563" w14:textId="7BCA7D73" w:rsidR="00A26094" w:rsidRPr="00F71F57" w:rsidRDefault="00651768" w:rsidP="00651768">
      <w:pPr>
        <w:spacing w:line="360" w:lineRule="auto"/>
        <w:ind w:left="1080"/>
        <w:jc w:val="both"/>
        <w:rPr>
          <w:rFonts w:asciiTheme="majorBidi" w:hAnsiTheme="majorBidi" w:cstheme="majorBidi"/>
          <w:sz w:val="24"/>
          <w:szCs w:val="24"/>
          <w:lang w:val="en-GB"/>
        </w:rPr>
      </w:pPr>
      <w:r>
        <w:rPr>
          <w:rFonts w:asciiTheme="majorBidi" w:hAnsiTheme="majorBidi" w:cstheme="majorBidi"/>
          <w:sz w:val="24"/>
          <w:szCs w:val="24"/>
          <w:lang w:val="en-GB"/>
        </w:rPr>
        <w:t>A</w:t>
      </w:r>
      <w:r w:rsidR="00D93A6D" w:rsidRPr="00D93A6D">
        <w:rPr>
          <w:rFonts w:asciiTheme="majorBidi" w:hAnsiTheme="majorBidi" w:cstheme="majorBidi"/>
          <w:sz w:val="24"/>
          <w:szCs w:val="24"/>
          <w:lang w:val="en-GB"/>
        </w:rPr>
        <w:t xml:space="preserve"> comprehensive study showed that current treatments for cognitive decline in Alzheimer’s disease, Parkinson’s disease dementia, and dementia with Lewy bodies remain largely symptomatic. The main approved drugs are cholinesterase inhibitors—donepezil, rivastigmine, and galantamine, which temporarily improve memory and daily functioning. Memantine, is used for moderate to severe cases. These therapies only slow symptoms for a short period and do not affect the underlying disease process. Rivastigmine is the only approved medication for PD, and treatment options for dementia with Lewy bodies are similarly limited. In addition to these pharmacological options, other approaches such as anti-amyloid and anti-tau immunotherapies, anti-inflammatory agents, and drug repurposing strategies—including insulin-based treatments and calcium channel blockers—are being explored. Although some show biological promise, clinical benefits remain limited</w:t>
      </w:r>
      <w:r w:rsidR="008D5F29" w:rsidRPr="008D5F29">
        <w:t xml:space="preserve"> </w:t>
      </w:r>
      <w:r w:rsidR="008D5F29">
        <w:rPr>
          <w:rFonts w:asciiTheme="majorBidi" w:hAnsiTheme="majorBidi" w:cstheme="majorBidi"/>
          <w:sz w:val="24"/>
          <w:szCs w:val="24"/>
          <w:lang w:val="en-GB"/>
        </w:rPr>
        <w:fldChar w:fldCharType="begin"/>
      </w:r>
      <w:r w:rsidR="008D5F29">
        <w:rPr>
          <w:rFonts w:asciiTheme="majorBidi" w:hAnsiTheme="majorBidi" w:cstheme="majorBidi"/>
          <w:sz w:val="24"/>
          <w:szCs w:val="24"/>
          <w:lang w:val="en-GB"/>
        </w:rPr>
        <w:instrText xml:space="preserve"> ADDIN EN.CITE &lt;EndNote&gt;&lt;Cite&gt;&lt;Author&gt;Broadstock&lt;/Author&gt;&lt;Year&gt;2014&lt;/Year&gt;&lt;RecNum&gt;375&lt;/RecNum&gt;&lt;DisplayText&gt;(Broadstock et al., 2014)&lt;/DisplayText&gt;&lt;record&gt;&lt;rec-number&gt;375&lt;/rec-number&gt;&lt;foreign-keys&gt;&lt;key app="EN" db-id="2ptrtps0adr9vke22dn5tpwzrsfaxtxrfwet" timestamp="1761047345"&gt;375&lt;/key&gt;&lt;/foreign-keys&gt;&lt;ref-type name="Journal Article"&gt;17&lt;/ref-type&gt;&lt;contributors&gt;&lt;authors&gt;&lt;author&gt;Broadstock, Martin&lt;/author&gt;&lt;author&gt;Ballard, Clive&lt;/author&gt;&lt;author&gt;Corbett, Anne&lt;/author&gt;&lt;/authors&gt;&lt;/contributors&gt;&lt;titles&gt;&lt;title&gt;Latest treatment options for Alzheimer’s disease, Parkinson’s disease dementia and dementia with Lewy bodies&lt;/title&gt;&lt;secondary-title&gt;Expert Opinion on Pharmacotherapy&lt;/secondary-title&gt;&lt;/titles&gt;&lt;periodical&gt;&lt;full-title&gt;Expert Opinion on Pharmacotherapy&lt;/full-title&gt;&lt;/periodical&gt;&lt;pages&gt;1797-1810&lt;/pages&gt;&lt;volume&gt;15&lt;/volume&gt;&lt;number&gt;13&lt;/number&gt;&lt;dates&gt;&lt;year&gt;2014&lt;/year&gt;&lt;pub-dates&gt;&lt;date&gt;2014/09/01&lt;/date&gt;&lt;/pub-dates&gt;&lt;/dates&gt;&lt;publisher&gt;Taylor &amp;amp; Francis&lt;/publisher&gt;&lt;isbn&gt;1465-6566&lt;/isbn&gt;&lt;urls&gt;&lt;related-urls&gt;&lt;url&gt;https://doi.org/10.1517/14656566.2014.936848&lt;/url&gt;&lt;/related-urls&gt;&lt;/urls&gt;&lt;electronic-resource-num&gt;10.1517/14656566.2014.936848&lt;/electronic-resource-num&gt;&lt;/record&gt;&lt;/Cite&gt;&lt;/EndNote&gt;</w:instrText>
      </w:r>
      <w:r w:rsidR="008D5F29">
        <w:rPr>
          <w:rFonts w:asciiTheme="majorBidi" w:hAnsiTheme="majorBidi" w:cstheme="majorBidi"/>
          <w:sz w:val="24"/>
          <w:szCs w:val="24"/>
          <w:lang w:val="en-GB"/>
        </w:rPr>
        <w:fldChar w:fldCharType="separate"/>
      </w:r>
      <w:r w:rsidR="008D5F29">
        <w:rPr>
          <w:rFonts w:asciiTheme="majorBidi" w:hAnsiTheme="majorBidi" w:cstheme="majorBidi"/>
          <w:noProof/>
          <w:sz w:val="24"/>
          <w:szCs w:val="24"/>
          <w:lang w:val="en-GB"/>
        </w:rPr>
        <w:t>(</w:t>
      </w:r>
      <w:hyperlink w:anchor="_ENREF_29" w:tooltip="Broadstock, 2014 #375" w:history="1">
        <w:r w:rsidR="00DE113E">
          <w:rPr>
            <w:rFonts w:asciiTheme="majorBidi" w:hAnsiTheme="majorBidi" w:cstheme="majorBidi"/>
            <w:noProof/>
            <w:sz w:val="24"/>
            <w:szCs w:val="24"/>
            <w:lang w:val="en-GB"/>
          </w:rPr>
          <w:t>Broadstock et al., 2014</w:t>
        </w:r>
      </w:hyperlink>
      <w:r w:rsidR="008D5F29">
        <w:rPr>
          <w:rFonts w:asciiTheme="majorBidi" w:hAnsiTheme="majorBidi" w:cstheme="majorBidi"/>
          <w:noProof/>
          <w:sz w:val="24"/>
          <w:szCs w:val="24"/>
          <w:lang w:val="en-GB"/>
        </w:rPr>
        <w:t>)</w:t>
      </w:r>
      <w:r w:rsidR="008D5F29">
        <w:rPr>
          <w:rFonts w:asciiTheme="majorBidi" w:hAnsiTheme="majorBidi" w:cstheme="majorBidi"/>
          <w:sz w:val="24"/>
          <w:szCs w:val="24"/>
          <w:lang w:val="en-GB"/>
        </w:rPr>
        <w:fldChar w:fldCharType="end"/>
      </w:r>
      <w:r w:rsidR="00D93A6D" w:rsidRPr="00D93A6D">
        <w:rPr>
          <w:rFonts w:asciiTheme="majorBidi" w:hAnsiTheme="majorBidi" w:cstheme="majorBidi"/>
          <w:sz w:val="24"/>
          <w:szCs w:val="24"/>
          <w:lang w:val="en-GB"/>
        </w:rPr>
        <w:t>.</w:t>
      </w:r>
      <w:r>
        <w:rPr>
          <w:rFonts w:asciiTheme="majorBidi" w:hAnsiTheme="majorBidi" w:cstheme="majorBidi"/>
          <w:sz w:val="24"/>
          <w:szCs w:val="24"/>
          <w:lang w:val="en-GB"/>
        </w:rPr>
        <w:t xml:space="preserve"> </w:t>
      </w:r>
      <w:r w:rsidR="00970483" w:rsidRPr="00970483">
        <w:rPr>
          <w:rFonts w:asciiTheme="majorBidi" w:hAnsiTheme="majorBidi" w:cstheme="majorBidi"/>
          <w:sz w:val="24"/>
          <w:szCs w:val="24"/>
        </w:rPr>
        <w:t xml:space="preserve">One recent </w:t>
      </w:r>
      <w:r>
        <w:rPr>
          <w:rFonts w:asciiTheme="majorBidi" w:hAnsiTheme="majorBidi" w:cstheme="majorBidi"/>
          <w:sz w:val="24"/>
          <w:szCs w:val="24"/>
        </w:rPr>
        <w:t>review</w:t>
      </w:r>
      <w:r w:rsidR="00970483" w:rsidRPr="00970483">
        <w:rPr>
          <w:rFonts w:asciiTheme="majorBidi" w:hAnsiTheme="majorBidi" w:cstheme="majorBidi"/>
          <w:sz w:val="24"/>
          <w:szCs w:val="24"/>
        </w:rPr>
        <w:t xml:space="preserve"> highlighted several combined approaches with low to moderate evidence, such as donepezil plus hyperbaric oxygen therapy, donepezil plus complex psychosocial intervention, memantine plus scalp electroacupuncture, and rivastigmine with donepezil combined therapy. Although these combinations show some potential, the overall certainty of evidence remains low. This suggests that while current pharmacological and combined treatments offer partial benefits, more effective, integrated, and long-term therapeutic strategies are urgently </w:t>
      </w:r>
      <w:r w:rsidR="00970483" w:rsidRPr="00970483">
        <w:rPr>
          <w:rFonts w:asciiTheme="majorBidi" w:hAnsiTheme="majorBidi" w:cstheme="majorBidi"/>
          <w:sz w:val="24"/>
          <w:szCs w:val="24"/>
        </w:rPr>
        <w:lastRenderedPageBreak/>
        <w:t>needed</w:t>
      </w:r>
      <w:r w:rsidR="008D5F29">
        <w:rPr>
          <w:rFonts w:asciiTheme="majorBidi" w:hAnsiTheme="majorBidi" w:cstheme="majorBidi"/>
          <w:sz w:val="24"/>
          <w:szCs w:val="24"/>
        </w:rPr>
        <w:t xml:space="preserve"> </w:t>
      </w:r>
      <w:r w:rsidR="008D5F29">
        <w:rPr>
          <w:rFonts w:asciiTheme="majorBidi" w:hAnsiTheme="majorBidi" w:cstheme="majorBidi"/>
          <w:sz w:val="24"/>
          <w:szCs w:val="24"/>
        </w:rPr>
        <w:fldChar w:fldCharType="begin"/>
      </w:r>
      <w:r w:rsidR="008D5F29">
        <w:rPr>
          <w:rFonts w:asciiTheme="majorBidi" w:hAnsiTheme="majorBidi" w:cstheme="majorBidi"/>
          <w:sz w:val="24"/>
          <w:szCs w:val="24"/>
        </w:rPr>
        <w:instrText xml:space="preserve"> ADDIN EN.CITE &lt;EndNote&gt;&lt;Cite&gt;&lt;Author&gt;Luxton&lt;/Author&gt;&lt;Year&gt;2025&lt;/Year&gt;&lt;RecNum&gt;376&lt;/RecNum&gt;&lt;DisplayText&gt;(Luxton et al., 2025)&lt;/DisplayText&gt;&lt;record&gt;&lt;rec-number&gt;376&lt;/rec-number&gt;&lt;foreign-keys&gt;&lt;key app="EN" db-id="2ptrtps0adr9vke22dn5tpwzrsfaxtxrfwet" timestamp="1761047394"&gt;376&lt;/key&gt;&lt;/foreign-keys&gt;&lt;ref-type name="Journal Article"&gt;17&lt;/ref-type&gt;&lt;contributors&gt;&lt;authors&gt;&lt;author&gt;Luxton, Dominic&lt;/author&gt;&lt;author&gt;Thorpe, Naomi&lt;/author&gt;&lt;author&gt;Crane, Emily&lt;/author&gt;&lt;author&gt;Warne, Molly&lt;/author&gt;&lt;author&gt;Cornwall, Olivia&lt;/author&gt;&lt;author&gt;El-Dalil, Daniel&lt;/author&gt;&lt;author&gt;Matthews, Joshua&lt;/author&gt;&lt;author&gt;Rajkumar, Anto P.&lt;/author&gt;&lt;/authors&gt;&lt;/contributors&gt;&lt;titles&gt;&lt;title&gt;Systematic review of the efficacy of pharmacological and non-pharmacological interventions for improving quality of life of people with dementia&lt;/title&gt;&lt;secondary-title&gt;The British Journal of Psychiatry&lt;/secondary-title&gt;&lt;/titles&gt;&lt;periodical&gt;&lt;full-title&gt;The British Journal of Psychiatry&lt;/full-title&gt;&lt;/periodical&gt;&lt;pages&gt;1-13&lt;/pages&gt;&lt;edition&gt;2025/04/01&lt;/edition&gt;&lt;keywords&gt;&lt;keyword&gt;Dementia&lt;/keyword&gt;&lt;keyword&gt;meta-analysis&lt;/keyword&gt;&lt;keyword&gt;psychosocial intervention&lt;/keyword&gt;&lt;keyword&gt;quality of life&lt;/keyword&gt;&lt;keyword&gt;systematic review&lt;/keyword&gt;&lt;/keywords&gt;&lt;dates&gt;&lt;year&gt;2025&lt;/year&gt;&lt;/dates&gt;&lt;publisher&gt;Cambridge University Press&lt;/publisher&gt;&lt;isbn&gt;0007-1250&lt;/isbn&gt;&lt;urls&gt;&lt;related-urls&gt;&lt;url&gt;https://www.cambridge.org/core/product/A766AB11F8A7141D7762F47185E4A3DE&lt;/url&gt;&lt;/related-urls&gt;&lt;/urls&gt;&lt;electronic-resource-num&gt;10.1192/bjp.2025.11&lt;/electronic-resource-num&gt;&lt;remote-database-name&gt;Cambridge Core&lt;/remote-database-name&gt;&lt;remote-database-provider&gt;Cambridge University Press&lt;/remote-database-provider&gt;&lt;/record&gt;&lt;/Cite&gt;&lt;/EndNote&gt;</w:instrText>
      </w:r>
      <w:r w:rsidR="008D5F29">
        <w:rPr>
          <w:rFonts w:asciiTheme="majorBidi" w:hAnsiTheme="majorBidi" w:cstheme="majorBidi"/>
          <w:sz w:val="24"/>
          <w:szCs w:val="24"/>
        </w:rPr>
        <w:fldChar w:fldCharType="separate"/>
      </w:r>
      <w:r w:rsidR="008D5F29">
        <w:rPr>
          <w:rFonts w:asciiTheme="majorBidi" w:hAnsiTheme="majorBidi" w:cstheme="majorBidi"/>
          <w:noProof/>
          <w:sz w:val="24"/>
          <w:szCs w:val="24"/>
        </w:rPr>
        <w:t>(</w:t>
      </w:r>
      <w:hyperlink w:anchor="_ENREF_146" w:tooltip="Luxton, 2025 #376" w:history="1">
        <w:r w:rsidR="00DE113E">
          <w:rPr>
            <w:rFonts w:asciiTheme="majorBidi" w:hAnsiTheme="majorBidi" w:cstheme="majorBidi"/>
            <w:noProof/>
            <w:sz w:val="24"/>
            <w:szCs w:val="24"/>
          </w:rPr>
          <w:t>Luxton et al., 2025</w:t>
        </w:r>
      </w:hyperlink>
      <w:r w:rsidR="008D5F29">
        <w:rPr>
          <w:rFonts w:asciiTheme="majorBidi" w:hAnsiTheme="majorBidi" w:cstheme="majorBidi"/>
          <w:noProof/>
          <w:sz w:val="24"/>
          <w:szCs w:val="24"/>
        </w:rPr>
        <w:t>)</w:t>
      </w:r>
      <w:r w:rsidR="008D5F29">
        <w:rPr>
          <w:rFonts w:asciiTheme="majorBidi" w:hAnsiTheme="majorBidi" w:cstheme="majorBidi"/>
          <w:sz w:val="24"/>
          <w:szCs w:val="24"/>
        </w:rPr>
        <w:fldChar w:fldCharType="end"/>
      </w:r>
      <w:r w:rsidR="00970483" w:rsidRPr="00970483">
        <w:rPr>
          <w:rFonts w:asciiTheme="majorBidi" w:hAnsiTheme="majorBidi" w:cstheme="majorBidi"/>
          <w:sz w:val="24"/>
          <w:szCs w:val="24"/>
        </w:rPr>
        <w:t>.</w:t>
      </w:r>
      <w:r>
        <w:rPr>
          <w:rFonts w:asciiTheme="majorBidi" w:hAnsiTheme="majorBidi" w:cstheme="majorBidi"/>
          <w:sz w:val="24"/>
          <w:szCs w:val="24"/>
          <w:lang w:val="en-GB"/>
        </w:rPr>
        <w:t xml:space="preserve"> </w:t>
      </w:r>
      <w:r w:rsidR="00432FF7" w:rsidRPr="00D036E9">
        <w:rPr>
          <w:rFonts w:asciiTheme="majorBidi" w:hAnsiTheme="majorBidi" w:cstheme="majorBidi"/>
          <w:sz w:val="24"/>
          <w:szCs w:val="24"/>
          <w:lang w:val="en-GB"/>
        </w:rPr>
        <w:t xml:space="preserve">Moreover, innovative approaches like microRNA-based therapies are emerging as potential candidates for novel therapeutics. Research by Islam et al. reveals a specific microRNA signature correlated with cognition, suggesting that these molecules could serve both as biomarkers and therapeutic targets for cognitive decline </w:t>
      </w:r>
      <w:r w:rsidR="00432FF7" w:rsidRPr="00D036E9">
        <w:rPr>
          <w:rFonts w:asciiTheme="majorBidi" w:hAnsiTheme="majorBidi" w:cstheme="majorBidi"/>
          <w:sz w:val="24"/>
          <w:szCs w:val="24"/>
          <w:lang w:val="en-GB"/>
        </w:rPr>
        <w:fldChar w:fldCharType="begin">
          <w:fldData xml:space="preserve">PEVuZE5vdGU+PENpdGU+PEF1dGhvcj5Jc2xhbTwvQXV0aG9yPjxZZWFyPjIwMjE8L1llYXI+PFJl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==
</w:fldData>
        </w:fldChar>
      </w:r>
      <w:r w:rsidR="00432FF7" w:rsidRPr="00D036E9">
        <w:rPr>
          <w:rFonts w:asciiTheme="majorBidi" w:hAnsiTheme="majorBidi" w:cstheme="majorBidi"/>
          <w:sz w:val="24"/>
          <w:szCs w:val="24"/>
          <w:lang w:val="en-GB"/>
        </w:rPr>
        <w:instrText xml:space="preserve"> ADDIN EN.CITE </w:instrText>
      </w:r>
      <w:r w:rsidR="00432FF7" w:rsidRPr="00D036E9">
        <w:rPr>
          <w:rFonts w:asciiTheme="majorBidi" w:hAnsiTheme="majorBidi" w:cstheme="majorBidi"/>
          <w:sz w:val="24"/>
          <w:szCs w:val="24"/>
          <w:lang w:val="en-GB"/>
        </w:rPr>
        <w:fldChar w:fldCharType="begin">
          <w:fldData xml:space="preserve">PEVuZE5vdGU+PENpdGU+PEF1dGhvcj5Jc2xhbTwvQXV0aG9yPjxZZWFyPjIwMjE8L1llYXI+PFJl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==
</w:fldData>
        </w:fldChar>
      </w:r>
      <w:r w:rsidR="00432FF7" w:rsidRPr="00D036E9">
        <w:rPr>
          <w:rFonts w:asciiTheme="majorBidi" w:hAnsiTheme="majorBidi" w:cstheme="majorBidi"/>
          <w:sz w:val="24"/>
          <w:szCs w:val="24"/>
          <w:lang w:val="en-GB"/>
        </w:rPr>
        <w:instrText xml:space="preserve"> ADDIN EN.CITE.DATA </w:instrText>
      </w:r>
      <w:r w:rsidR="00432FF7" w:rsidRPr="00D036E9">
        <w:rPr>
          <w:rFonts w:asciiTheme="majorBidi" w:hAnsiTheme="majorBidi" w:cstheme="majorBidi"/>
          <w:sz w:val="24"/>
          <w:szCs w:val="24"/>
          <w:lang w:val="en-GB"/>
        </w:rPr>
      </w:r>
      <w:r w:rsidR="00432FF7" w:rsidRPr="00D036E9">
        <w:rPr>
          <w:rFonts w:asciiTheme="majorBidi" w:hAnsiTheme="majorBidi" w:cstheme="majorBidi"/>
          <w:sz w:val="24"/>
          <w:szCs w:val="24"/>
          <w:lang w:val="en-GB"/>
        </w:rPr>
        <w:fldChar w:fldCharType="end"/>
      </w:r>
      <w:r w:rsidR="00432FF7" w:rsidRPr="00D036E9">
        <w:rPr>
          <w:rFonts w:asciiTheme="majorBidi" w:hAnsiTheme="majorBidi" w:cstheme="majorBidi"/>
          <w:sz w:val="24"/>
          <w:szCs w:val="24"/>
          <w:lang w:val="en-GB"/>
        </w:rPr>
      </w:r>
      <w:r w:rsidR="00432FF7" w:rsidRPr="00D036E9">
        <w:rPr>
          <w:rFonts w:asciiTheme="majorBidi" w:hAnsiTheme="majorBidi" w:cstheme="majorBidi"/>
          <w:sz w:val="24"/>
          <w:szCs w:val="24"/>
          <w:lang w:val="en-GB"/>
        </w:rPr>
        <w:fldChar w:fldCharType="separate"/>
      </w:r>
      <w:r w:rsidR="00432FF7" w:rsidRPr="00D036E9">
        <w:rPr>
          <w:rFonts w:asciiTheme="majorBidi" w:hAnsiTheme="majorBidi" w:cstheme="majorBidi"/>
          <w:sz w:val="24"/>
          <w:szCs w:val="24"/>
          <w:lang w:val="en-GB"/>
        </w:rPr>
        <w:t>(</w:t>
      </w:r>
      <w:hyperlink w:anchor="_ENREF_112" w:tooltip="Islam, 2021 #31" w:history="1">
        <w:r w:rsidR="00DE113E" w:rsidRPr="00D036E9">
          <w:rPr>
            <w:rFonts w:asciiTheme="majorBidi" w:hAnsiTheme="majorBidi" w:cstheme="majorBidi"/>
            <w:sz w:val="24"/>
            <w:szCs w:val="24"/>
            <w:lang w:val="en-GB"/>
          </w:rPr>
          <w:t>Islam et al., 2021</w:t>
        </w:r>
      </w:hyperlink>
      <w:r w:rsidR="00432FF7" w:rsidRPr="00D036E9">
        <w:rPr>
          <w:rFonts w:asciiTheme="majorBidi" w:hAnsiTheme="majorBidi" w:cstheme="majorBidi"/>
          <w:sz w:val="24"/>
          <w:szCs w:val="24"/>
          <w:lang w:val="en-GB"/>
        </w:rPr>
        <w:t>)</w:t>
      </w:r>
      <w:r w:rsidR="00432FF7" w:rsidRPr="00D036E9">
        <w:rPr>
          <w:rFonts w:asciiTheme="majorBidi" w:hAnsiTheme="majorBidi" w:cstheme="majorBidi"/>
          <w:sz w:val="24"/>
          <w:szCs w:val="24"/>
          <w:lang w:val="en-GB"/>
        </w:rPr>
        <w:fldChar w:fldCharType="end"/>
      </w:r>
      <w:r w:rsidR="00432FF7" w:rsidRPr="00D036E9">
        <w:rPr>
          <w:rFonts w:asciiTheme="majorBidi" w:hAnsiTheme="majorBidi" w:cstheme="majorBidi"/>
          <w:sz w:val="24"/>
          <w:szCs w:val="24"/>
          <w:lang w:val="en-GB"/>
        </w:rPr>
        <w:t>.</w:t>
      </w:r>
      <w:r w:rsidR="00C04DF9" w:rsidRPr="00D036E9">
        <w:rPr>
          <w:rFonts w:asciiTheme="majorBidi" w:hAnsiTheme="majorBidi" w:cstheme="majorBidi"/>
          <w:sz w:val="24"/>
          <w:szCs w:val="24"/>
          <w:lang w:val="en-GB"/>
        </w:rPr>
        <w:t xml:space="preserve"> </w:t>
      </w:r>
      <w:r w:rsidR="00432FF7" w:rsidRPr="00D036E9">
        <w:rPr>
          <w:rFonts w:asciiTheme="majorBidi" w:hAnsiTheme="majorBidi" w:cstheme="majorBidi"/>
          <w:sz w:val="24"/>
          <w:szCs w:val="24"/>
          <w:lang w:val="en-GB"/>
        </w:rPr>
        <w:t xml:space="preserve">Such strategies highlight the need for continued exploration of genetic and molecular pathways that contribute to cognitive resilience and decline, </w:t>
      </w:r>
      <w:r w:rsidR="008D5F29">
        <w:rPr>
          <w:rFonts w:asciiTheme="majorBidi" w:hAnsiTheme="majorBidi" w:cstheme="majorBidi"/>
          <w:sz w:val="24"/>
          <w:szCs w:val="24"/>
          <w:lang w:val="en-GB"/>
        </w:rPr>
        <w:t>a</w:t>
      </w:r>
      <w:r w:rsidR="008D5F29" w:rsidRPr="008D5F29">
        <w:rPr>
          <w:rFonts w:asciiTheme="majorBidi" w:hAnsiTheme="majorBidi" w:cstheme="majorBidi"/>
          <w:sz w:val="24"/>
          <w:szCs w:val="24"/>
          <w:lang w:val="en-GB"/>
        </w:rPr>
        <w:t xml:space="preserve">s one article has posited, understanding the genetic underpinnings can aid in tailoring individualized interventions </w:t>
      </w:r>
      <w:r w:rsidR="00B27B7D" w:rsidRPr="00D036E9">
        <w:rPr>
          <w:rFonts w:asciiTheme="majorBidi" w:hAnsiTheme="majorBidi" w:cstheme="majorBidi"/>
          <w:sz w:val="24"/>
          <w:szCs w:val="24"/>
          <w:lang w:val="en-GB"/>
        </w:rPr>
        <w:fldChar w:fldCharType="begin"/>
      </w:r>
      <w:r w:rsidR="00B27B7D" w:rsidRPr="00D036E9">
        <w:rPr>
          <w:rFonts w:asciiTheme="majorBidi" w:hAnsiTheme="majorBidi" w:cstheme="majorBidi"/>
          <w:sz w:val="24"/>
          <w:szCs w:val="24"/>
          <w:lang w:val="en-GB"/>
        </w:rPr>
        <w:instrText xml:space="preserve"> ADDIN EN.CITE &lt;EndNote&gt;&lt;Cite&gt;&lt;Author&gt;Joo&lt;/Author&gt;&lt;Year&gt;2022&lt;/Year&gt;&lt;RecNum&gt;32&lt;/RecNum&gt;&lt;DisplayText&gt;(Joo et al., 2022)&lt;/DisplayText&gt;&lt;record&gt;&lt;rec-number&gt;32&lt;/rec-number&gt;&lt;foreign-keys&gt;&lt;key app="EN" db-id="2ptrtps0adr9vke22dn5tpwzrsfaxtxrfwet" timestamp="1755523858"&gt;32&lt;/key&gt;&lt;/foreign-keys&gt;&lt;ref-type name="Journal Article"&gt;17&lt;/ref-type&gt;&lt;contributors&gt;&lt;authors&gt;&lt;author&gt;Joo, Yoonjung Yoonie&lt;/author&gt;&lt;author&gt;Cha, Jiook&lt;/author&gt;&lt;author&gt;Freese, Jeremy&lt;/author&gt;&lt;author&gt;Hayes, M. Geoffrey&lt;/author&gt;&lt;/authors&gt;&lt;/contributors&gt;&lt;titles&gt;&lt;title&gt;Cognitive Capacity Genome-Wide Polygenic Scores Identify Individuals with Slower Cognitive Decline in Aging&lt;/title&gt;&lt;secondary-title&gt;Genes&lt;/secondary-title&gt;&lt;/titles&gt;&lt;periodical&gt;&lt;full-title&gt;Genes&lt;/full-title&gt;&lt;/periodical&gt;&lt;pages&gt;1320&lt;/pages&gt;&lt;volume&gt;13&lt;/volume&gt;&lt;number&gt;8&lt;/number&gt;&lt;dates&gt;&lt;year&gt;2022&lt;/year&gt;&lt;/dates&gt;&lt;isbn&gt;2073-4425&lt;/isbn&gt;&lt;accession-num&gt;doi:10.3390/genes13081320&lt;/accession-num&gt;&lt;urls&gt;&lt;related-urls&gt;&lt;url&gt;https://www.mdpi.com/2073-4425/13/8/1320&lt;/url&gt;&lt;/related-urls&gt;&lt;/urls&gt;&lt;/record&gt;&lt;/Cite&gt;&lt;/EndNote&gt;</w:instrText>
      </w:r>
      <w:r w:rsidR="00B27B7D" w:rsidRPr="00D036E9">
        <w:rPr>
          <w:rFonts w:asciiTheme="majorBidi" w:hAnsiTheme="majorBidi" w:cstheme="majorBidi"/>
          <w:sz w:val="24"/>
          <w:szCs w:val="24"/>
          <w:lang w:val="en-GB"/>
        </w:rPr>
        <w:fldChar w:fldCharType="separate"/>
      </w:r>
      <w:r w:rsidR="00B27B7D" w:rsidRPr="00D036E9">
        <w:rPr>
          <w:rFonts w:asciiTheme="majorBidi" w:hAnsiTheme="majorBidi" w:cstheme="majorBidi"/>
          <w:sz w:val="24"/>
          <w:szCs w:val="24"/>
          <w:lang w:val="en-GB"/>
        </w:rPr>
        <w:t>(</w:t>
      </w:r>
      <w:hyperlink w:anchor="_ENREF_117" w:tooltip="Joo, 2022 #32" w:history="1">
        <w:r w:rsidR="00DE113E" w:rsidRPr="00D036E9">
          <w:rPr>
            <w:rFonts w:asciiTheme="majorBidi" w:hAnsiTheme="majorBidi" w:cstheme="majorBidi"/>
            <w:sz w:val="24"/>
            <w:szCs w:val="24"/>
            <w:lang w:val="en-GB"/>
          </w:rPr>
          <w:t>Joo et al., 2022</w:t>
        </w:r>
      </w:hyperlink>
      <w:r w:rsidR="00B27B7D" w:rsidRPr="00D036E9">
        <w:rPr>
          <w:rFonts w:asciiTheme="majorBidi" w:hAnsiTheme="majorBidi" w:cstheme="majorBidi"/>
          <w:sz w:val="24"/>
          <w:szCs w:val="24"/>
          <w:lang w:val="en-GB"/>
        </w:rPr>
        <w:t>)</w:t>
      </w:r>
      <w:r w:rsidR="00B27B7D" w:rsidRPr="00D036E9">
        <w:rPr>
          <w:rFonts w:asciiTheme="majorBidi" w:hAnsiTheme="majorBidi" w:cstheme="majorBidi"/>
          <w:sz w:val="24"/>
          <w:szCs w:val="24"/>
          <w:lang w:val="en-GB"/>
        </w:rPr>
        <w:fldChar w:fldCharType="end"/>
      </w:r>
      <w:r w:rsidR="00432FF7" w:rsidRPr="00D036E9">
        <w:rPr>
          <w:rFonts w:asciiTheme="majorBidi" w:hAnsiTheme="majorBidi" w:cstheme="majorBidi"/>
          <w:sz w:val="24"/>
          <w:szCs w:val="24"/>
          <w:lang w:val="en-GB"/>
        </w:rPr>
        <w:t>.</w:t>
      </w:r>
      <w:r w:rsidR="00B54773" w:rsidRPr="00F71F57">
        <w:rPr>
          <w:rFonts w:asciiTheme="majorBidi" w:hAnsiTheme="majorBidi" w:cstheme="majorBidi"/>
          <w:lang w:val="en-GB"/>
        </w:rPr>
        <w:t xml:space="preserve"> </w:t>
      </w:r>
      <w:r w:rsidR="008D5F29">
        <w:rPr>
          <w:rFonts w:asciiTheme="majorBidi" w:hAnsiTheme="majorBidi" w:cstheme="majorBidi"/>
          <w:sz w:val="24"/>
          <w:szCs w:val="24"/>
          <w:lang w:val="en-GB"/>
        </w:rPr>
        <w:t>F</w:t>
      </w:r>
      <w:r w:rsidR="00B54773" w:rsidRPr="00F71F57">
        <w:rPr>
          <w:rFonts w:asciiTheme="majorBidi" w:hAnsiTheme="majorBidi" w:cstheme="majorBidi"/>
          <w:sz w:val="24"/>
          <w:szCs w:val="24"/>
          <w:lang w:val="en-GB"/>
        </w:rPr>
        <w:t xml:space="preserve">indings underscore the efficacy of cognitive rehabilitation programs in improving cognitive function among various populations, including older adults and those recovering from substance use. For instance, Seddon et al. found significant cognitive improvements following abstinence from alcohol in older adults struggling with cognitive impairment, emphasizing that substance-related treatment can positively impact cognitive health </w:t>
      </w:r>
      <w:r w:rsidR="00682E1A" w:rsidRPr="00F71F57">
        <w:rPr>
          <w:rFonts w:asciiTheme="majorBidi" w:hAnsiTheme="majorBidi" w:cstheme="majorBidi"/>
          <w:sz w:val="24"/>
          <w:szCs w:val="24"/>
          <w:lang w:val="en-GB"/>
        </w:rPr>
        <w:fldChar w:fldCharType="begin"/>
      </w:r>
      <w:r w:rsidR="00682E1A" w:rsidRPr="00F71F57">
        <w:rPr>
          <w:rFonts w:asciiTheme="majorBidi" w:hAnsiTheme="majorBidi" w:cstheme="majorBidi"/>
          <w:sz w:val="24"/>
          <w:szCs w:val="24"/>
          <w:lang w:val="en-GB"/>
        </w:rPr>
        <w:instrText xml:space="preserve"> ADDIN EN.CITE &lt;EndNote&gt;&lt;Cite&gt;&lt;Author&gt;Seddon&lt;/Author&gt;&lt;Year&gt;2021&lt;/Year&gt;&lt;RecNum&gt;33&lt;/RecNum&gt;&lt;DisplayText&gt;(Seddon et al., 2021)&lt;/DisplayText&gt;&lt;record&gt;&lt;rec-number&gt;33&lt;/rec-number&gt;&lt;foreign-keys&gt;&lt;key app="EN" db-id="2ptrtps0adr9vke22dn5tpwzrsfaxtxrfwet" timestamp="1755524052"&gt;33&lt;/key&gt;&lt;/foreign-keys&gt;&lt;ref-type name="Journal Article"&gt;17&lt;/ref-type&gt;&lt;contributors&gt;&lt;authors&gt;&lt;author&gt;Seddon, Jennifer&lt;/author&gt;&lt;author&gt;Wadd, Sarah&lt;/author&gt;&lt;author&gt;Elliott, Lawrie&lt;/author&gt;&lt;author&gt;Madoc-Jones, Iolo&lt;/author&gt;&lt;/authors&gt;&lt;/contributors&gt;&lt;titles&gt;&lt;title&gt;Cognitive impairment and treatment outcomes amongst people attending an alcohol intervention service for those aged 50+&lt;/title&gt;&lt;secondary-title&gt;Advances in Dual Diagnosis&lt;/secondary-title&gt;&lt;/titles&gt;&lt;periodical&gt;&lt;full-title&gt;Advances in Dual Diagnosis&lt;/full-title&gt;&lt;/periodical&gt;&lt;pages&gt;58-69&lt;/pages&gt;&lt;volume&gt;14&lt;/volume&gt;&lt;number&gt;2&lt;/number&gt;&lt;dates&gt;&lt;year&gt;2021&lt;/year&gt;&lt;/dates&gt;&lt;isbn&gt;1757-0972&lt;/isbn&gt;&lt;urls&gt;&lt;related-urls&gt;&lt;url&gt;https://doi.org/10.1108/ADD-02-2021-0003&lt;/url&gt;&lt;/related-urls&gt;&lt;/urls&gt;&lt;electronic-resource-num&gt;10.1108/add-02-2021-0003&lt;/electronic-resource-num&gt;&lt;access-date&gt;8/18/2025&lt;/access-date&gt;&lt;/record&gt;&lt;/Cite&gt;&lt;/EndNote&gt;</w:instrText>
      </w:r>
      <w:r w:rsidR="00682E1A" w:rsidRPr="00F71F57">
        <w:rPr>
          <w:rFonts w:asciiTheme="majorBidi" w:hAnsiTheme="majorBidi" w:cstheme="majorBidi"/>
          <w:sz w:val="24"/>
          <w:szCs w:val="24"/>
          <w:lang w:val="en-GB"/>
        </w:rPr>
        <w:fldChar w:fldCharType="separate"/>
      </w:r>
      <w:r w:rsidR="00682E1A" w:rsidRPr="00F71F57">
        <w:rPr>
          <w:rFonts w:asciiTheme="majorBidi" w:hAnsiTheme="majorBidi" w:cstheme="majorBidi"/>
          <w:sz w:val="24"/>
          <w:szCs w:val="24"/>
          <w:lang w:val="en-GB"/>
        </w:rPr>
        <w:t>(</w:t>
      </w:r>
      <w:hyperlink w:anchor="_ENREF_218" w:tooltip="Seddon, 2021 #33" w:history="1">
        <w:r w:rsidR="00DE113E" w:rsidRPr="00F71F57">
          <w:rPr>
            <w:rFonts w:asciiTheme="majorBidi" w:hAnsiTheme="majorBidi" w:cstheme="majorBidi"/>
            <w:sz w:val="24"/>
            <w:szCs w:val="24"/>
            <w:lang w:val="en-GB"/>
          </w:rPr>
          <w:t>Seddon et al., 2021</w:t>
        </w:r>
      </w:hyperlink>
      <w:r w:rsidR="00682E1A" w:rsidRPr="00F71F57">
        <w:rPr>
          <w:rFonts w:asciiTheme="majorBidi" w:hAnsiTheme="majorBidi" w:cstheme="majorBidi"/>
          <w:sz w:val="24"/>
          <w:szCs w:val="24"/>
          <w:lang w:val="en-GB"/>
        </w:rPr>
        <w:t>)</w:t>
      </w:r>
      <w:r w:rsidR="00682E1A" w:rsidRPr="00F71F57">
        <w:rPr>
          <w:rFonts w:asciiTheme="majorBidi" w:hAnsiTheme="majorBidi" w:cstheme="majorBidi"/>
          <w:sz w:val="24"/>
          <w:szCs w:val="24"/>
          <w:lang w:val="en-GB"/>
        </w:rPr>
        <w:fldChar w:fldCharType="end"/>
      </w:r>
      <w:r w:rsidR="00B54773" w:rsidRPr="00F71F57">
        <w:rPr>
          <w:rFonts w:asciiTheme="majorBidi" w:hAnsiTheme="majorBidi" w:cstheme="majorBidi"/>
          <w:sz w:val="24"/>
          <w:szCs w:val="24"/>
          <w:lang w:val="en-GB"/>
        </w:rPr>
        <w:t>. Furthermore, the systematic review</w:t>
      </w:r>
      <w:r w:rsidR="005738C8" w:rsidRPr="00F71F57">
        <w:rPr>
          <w:rFonts w:asciiTheme="majorBidi" w:hAnsiTheme="majorBidi" w:cstheme="majorBidi"/>
          <w:sz w:val="24"/>
          <w:szCs w:val="24"/>
          <w:lang w:val="en-GB"/>
        </w:rPr>
        <w:t xml:space="preserve"> </w:t>
      </w:r>
      <w:r w:rsidR="00B54773" w:rsidRPr="00F71F57">
        <w:rPr>
          <w:rFonts w:asciiTheme="majorBidi" w:hAnsiTheme="majorBidi" w:cstheme="majorBidi"/>
          <w:sz w:val="24"/>
          <w:szCs w:val="24"/>
          <w:lang w:val="en-GB"/>
        </w:rPr>
        <w:t xml:space="preserve">reports that cognition-oriented treatments can be effective in preventing cognitive decline, thus suggesting that structured cognitive interventions are crucial for therapeutic development </w:t>
      </w:r>
      <w:r w:rsidR="007D294B" w:rsidRPr="00F71F57">
        <w:rPr>
          <w:rFonts w:asciiTheme="majorBidi" w:hAnsiTheme="majorBidi" w:cstheme="majorBidi"/>
          <w:sz w:val="24"/>
          <w:szCs w:val="24"/>
          <w:lang w:val="en-GB"/>
        </w:rPr>
        <w:fldChar w:fldCharType="begin">
          <w:fldData xml:space="preserve">PEVuZE5vdGU+PENpdGU+PEF1dGhvcj5HYXZlbGluPC9BdXRob3I+PFllYXI+MjAyMDwvWWVhcj48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</w:fldData>
        </w:fldChar>
      </w:r>
      <w:r w:rsidR="007D294B" w:rsidRPr="00F71F57">
        <w:rPr>
          <w:rFonts w:asciiTheme="majorBidi" w:hAnsiTheme="majorBidi" w:cstheme="majorBidi"/>
          <w:sz w:val="24"/>
          <w:szCs w:val="24"/>
          <w:lang w:val="en-GB"/>
        </w:rPr>
        <w:instrText xml:space="preserve"> ADDIN EN.CITE </w:instrText>
      </w:r>
      <w:r w:rsidR="007D294B" w:rsidRPr="00F71F57">
        <w:rPr>
          <w:rFonts w:asciiTheme="majorBidi" w:hAnsiTheme="majorBidi" w:cstheme="majorBidi"/>
          <w:sz w:val="24"/>
          <w:szCs w:val="24"/>
          <w:lang w:val="en-GB"/>
        </w:rPr>
        <w:fldChar w:fldCharType="begin">
          <w:fldData xml:space="preserve">PEVuZE5vdGU+PENpdGU+PEF1dGhvcj5HYXZlbGluPC9BdXRob3I+PFllYXI+MjAyMDwvWWVhcj48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</w:fldData>
        </w:fldChar>
      </w:r>
      <w:r w:rsidR="007D294B" w:rsidRPr="00F71F57">
        <w:rPr>
          <w:rFonts w:asciiTheme="majorBidi" w:hAnsiTheme="majorBidi" w:cstheme="majorBidi"/>
          <w:sz w:val="24"/>
          <w:szCs w:val="24"/>
          <w:lang w:val="en-GB"/>
        </w:rPr>
        <w:instrText xml:space="preserve"> ADDIN EN.CITE.DATA </w:instrText>
      </w:r>
      <w:r w:rsidR="007D294B" w:rsidRPr="00F71F57">
        <w:rPr>
          <w:rFonts w:asciiTheme="majorBidi" w:hAnsiTheme="majorBidi" w:cstheme="majorBidi"/>
          <w:sz w:val="24"/>
          <w:szCs w:val="24"/>
          <w:lang w:val="en-GB"/>
        </w:rPr>
      </w:r>
      <w:r w:rsidR="007D294B" w:rsidRPr="00F71F57">
        <w:rPr>
          <w:rFonts w:asciiTheme="majorBidi" w:hAnsiTheme="majorBidi" w:cstheme="majorBidi"/>
          <w:sz w:val="24"/>
          <w:szCs w:val="24"/>
          <w:lang w:val="en-GB"/>
        </w:rPr>
        <w:fldChar w:fldCharType="end"/>
      </w:r>
      <w:r w:rsidR="007D294B" w:rsidRPr="00F71F57">
        <w:rPr>
          <w:rFonts w:asciiTheme="majorBidi" w:hAnsiTheme="majorBidi" w:cstheme="majorBidi"/>
          <w:sz w:val="24"/>
          <w:szCs w:val="24"/>
          <w:lang w:val="en-GB"/>
        </w:rPr>
      </w:r>
      <w:r w:rsidR="007D294B" w:rsidRPr="00F71F57">
        <w:rPr>
          <w:rFonts w:asciiTheme="majorBidi" w:hAnsiTheme="majorBidi" w:cstheme="majorBidi"/>
          <w:sz w:val="24"/>
          <w:szCs w:val="24"/>
          <w:lang w:val="en-GB"/>
        </w:rPr>
        <w:fldChar w:fldCharType="separate"/>
      </w:r>
      <w:r w:rsidR="007D294B" w:rsidRPr="00F71F57">
        <w:rPr>
          <w:rFonts w:asciiTheme="majorBidi" w:hAnsiTheme="majorBidi" w:cstheme="majorBidi"/>
          <w:sz w:val="24"/>
          <w:szCs w:val="24"/>
          <w:lang w:val="en-GB"/>
        </w:rPr>
        <w:t>(</w:t>
      </w:r>
      <w:hyperlink w:anchor="_ENREF_85" w:tooltip="Gavelin, 2020 #34" w:history="1">
        <w:r w:rsidR="00DE113E" w:rsidRPr="00F71F57">
          <w:rPr>
            <w:rFonts w:asciiTheme="majorBidi" w:hAnsiTheme="majorBidi" w:cstheme="majorBidi"/>
            <w:sz w:val="24"/>
            <w:szCs w:val="24"/>
            <w:lang w:val="en-GB"/>
          </w:rPr>
          <w:t>Gavelin et al., 2020</w:t>
        </w:r>
      </w:hyperlink>
      <w:r w:rsidR="007D294B" w:rsidRPr="00F71F57">
        <w:rPr>
          <w:rFonts w:asciiTheme="majorBidi" w:hAnsiTheme="majorBidi" w:cstheme="majorBidi"/>
          <w:sz w:val="24"/>
          <w:szCs w:val="24"/>
          <w:lang w:val="en-GB"/>
        </w:rPr>
        <w:t>)</w:t>
      </w:r>
      <w:r w:rsidR="007D294B" w:rsidRPr="00F71F57">
        <w:rPr>
          <w:rFonts w:asciiTheme="majorBidi" w:hAnsiTheme="majorBidi" w:cstheme="majorBidi"/>
          <w:sz w:val="24"/>
          <w:szCs w:val="24"/>
          <w:lang w:val="en-GB"/>
        </w:rPr>
        <w:fldChar w:fldCharType="end"/>
      </w:r>
      <w:r w:rsidR="007D294B" w:rsidRPr="00F71F57">
        <w:rPr>
          <w:rFonts w:asciiTheme="majorBidi" w:hAnsiTheme="majorBidi" w:cstheme="majorBidi"/>
          <w:sz w:val="24"/>
          <w:szCs w:val="24"/>
          <w:lang w:val="en-GB"/>
        </w:rPr>
        <w:t>.</w:t>
      </w:r>
      <w:r w:rsidR="0004547A" w:rsidRPr="00F71F57">
        <w:rPr>
          <w:rFonts w:asciiTheme="majorBidi" w:hAnsiTheme="majorBidi" w:cstheme="majorBidi"/>
          <w:sz w:val="24"/>
          <w:szCs w:val="24"/>
          <w:lang w:val="en-GB"/>
        </w:rPr>
        <w:t xml:space="preserve"> </w:t>
      </w:r>
      <w:r w:rsidR="00FC40D9" w:rsidRPr="00F71F57">
        <w:rPr>
          <w:rFonts w:asciiTheme="majorBidi" w:hAnsiTheme="majorBidi" w:cstheme="majorBidi"/>
          <w:sz w:val="24"/>
          <w:szCs w:val="24"/>
          <w:lang w:val="en-GB"/>
        </w:rPr>
        <w:t>Recognizing and addressing these treatment preferences is pivotal in refining therapeutic approaches and ensuring that interventions align with patient desires.</w:t>
      </w:r>
      <w:r w:rsidR="00450C17" w:rsidRPr="00F71F57">
        <w:rPr>
          <w:rFonts w:asciiTheme="majorBidi" w:hAnsiTheme="majorBidi" w:cstheme="majorBidi"/>
          <w:lang w:val="en-GB"/>
        </w:rPr>
        <w:t xml:space="preserve"> </w:t>
      </w:r>
      <w:r w:rsidR="00450C17" w:rsidRPr="00F71F57">
        <w:rPr>
          <w:rFonts w:asciiTheme="majorBidi" w:hAnsiTheme="majorBidi" w:cstheme="majorBidi"/>
          <w:sz w:val="24"/>
          <w:szCs w:val="24"/>
          <w:lang w:val="en-GB"/>
        </w:rPr>
        <w:t xml:space="preserve">The cross-disciplinary nature of cognitive dysfunction necessitates integrating findings from various studies </w:t>
      </w:r>
      <w:r w:rsidR="00C04DF9" w:rsidRPr="00F71F57">
        <w:rPr>
          <w:rFonts w:asciiTheme="majorBidi" w:hAnsiTheme="majorBidi" w:cstheme="majorBidi"/>
          <w:sz w:val="24"/>
          <w:szCs w:val="24"/>
          <w:lang w:val="en-GB"/>
        </w:rPr>
        <w:t xml:space="preserve">to address the complexity of cognitive decline holistically. </w:t>
      </w:r>
      <w:r w:rsidR="00450C17" w:rsidRPr="00F71F57">
        <w:rPr>
          <w:rFonts w:asciiTheme="majorBidi" w:hAnsiTheme="majorBidi" w:cstheme="majorBidi"/>
          <w:sz w:val="24"/>
          <w:szCs w:val="24"/>
          <w:lang w:val="en-GB"/>
        </w:rPr>
        <w:t xml:space="preserve">Understanding the relationship between cognitive impairment and factors like sensory deficits or mental health disorders is essential for developing comprehensive treatment frameworks. Continued research, such as that conducted by Ge et al., investigates how sensory impairments relate to cognitive decline, emphasizing loneliness and perceived social isolation as significant predictors of cognitive health </w:t>
      </w:r>
      <w:r w:rsidR="00EE7DCA" w:rsidRPr="00F71F57">
        <w:rPr>
          <w:rFonts w:asciiTheme="majorBidi" w:hAnsiTheme="majorBidi" w:cstheme="majorBidi"/>
          <w:sz w:val="24"/>
          <w:szCs w:val="24"/>
          <w:lang w:val="en-GB"/>
        </w:rPr>
        <w:fldChar w:fldCharType="begin"/>
      </w:r>
      <w:r w:rsidR="00EE7DCA" w:rsidRPr="00F71F57">
        <w:rPr>
          <w:rFonts w:asciiTheme="majorBidi" w:hAnsiTheme="majorBidi" w:cstheme="majorBidi"/>
          <w:sz w:val="24"/>
          <w:szCs w:val="24"/>
          <w:lang w:val="en-GB"/>
        </w:rPr>
        <w:instrText xml:space="preserve"> ADDIN EN.CITE &lt;EndNote&gt;&lt;Cite&gt;&lt;Author&gt;Ge&lt;/Author&gt;&lt;Year&gt;2023&lt;/Year&gt;&lt;RecNum&gt;36&lt;/RecNum&gt;&lt;DisplayText&gt;(Ge et al., 2023)&lt;/DisplayText&gt;&lt;record&gt;&lt;rec-number&gt;36&lt;/rec-number&gt;&lt;foreign-keys&gt;&lt;key app="EN" db-id="2ptrtps0adr9vke22dn5tpwzrsfaxtxrfwet" timestamp="1755525417"&gt;36&lt;/key&gt;&lt;/foreign-keys&gt;&lt;ref-type name="Journal Article"&gt;17&lt;/ref-type&gt;&lt;contributors&gt;&lt;authors&gt;&lt;author&gt;Ge,Shaoqing&lt;/author&gt;&lt;author&gt;Pan,Wei&lt;/author&gt;&lt;author&gt;Wu,Bei&lt;/author&gt;&lt;author&gt;Plassman,Brenda L.&lt;/author&gt;&lt;author&gt;Dong,XinQi&lt;/author&gt;&lt;author&gt;McConnell,Eleanor S.&lt;/author&gt;&lt;/authors&gt;&lt;/contributors&gt;&lt;titles&gt;&lt;title&gt;Sensory impairment and cognitive decline among older adults: An analysis of mediation and moderation effects of loneliness&lt;/title&gt;&lt;secondary-title&gt;Frontiers in Neuroscience&lt;/secondary-title&gt;&lt;short-title&gt;LONELINESS, SENSORY IMPAIRMENT, AND COGNITIVE DECLINE&lt;/short-title&gt;&lt;/titles&gt;&lt;periodical&gt;&lt;full-title&gt;Frontiers in Neuroscience&lt;/full-title&gt;&lt;/periodical&gt;&lt;volume&gt;Volume 16 - 2022&lt;/volume&gt;&lt;keywords&gt;&lt;keyword&gt;sensory,cognitive aging,Alzheiemr’s,psychosocial,Risk factors&lt;/keyword&gt;&lt;/keywords&gt;&lt;dates&gt;&lt;year&gt;2023&lt;/year&gt;&lt;pub-dates&gt;&lt;date&gt;2023-January-09&lt;/date&gt;&lt;/pub-dates&gt;&lt;/dates&gt;&lt;isbn&gt;1662-453X&lt;/isbn&gt;&lt;work-type&gt;Original Research&lt;/work-type&gt;&lt;urls&gt;&lt;related-urls&gt;&lt;url&gt;https://www.frontiersin.org/journals/neuroscience/articles/10.3389/fnins.2022.1092297&lt;/url&gt;&lt;/related-urls&gt;&lt;/urls&gt;&lt;electronic-resource-num&gt;10.3389/fnins.2022.1092297&lt;/electronic-resource-num&gt;&lt;language&gt;English&lt;/language&gt;&lt;/record&gt;&lt;/Cite&gt;&lt;/EndNote&gt;</w:instrText>
      </w:r>
      <w:r w:rsidR="00EE7DCA" w:rsidRPr="00F71F57">
        <w:rPr>
          <w:rFonts w:asciiTheme="majorBidi" w:hAnsiTheme="majorBidi" w:cstheme="majorBidi"/>
          <w:sz w:val="24"/>
          <w:szCs w:val="24"/>
          <w:lang w:val="en-GB"/>
        </w:rPr>
        <w:fldChar w:fldCharType="separate"/>
      </w:r>
      <w:r w:rsidR="00EE7DCA" w:rsidRPr="00F71F57">
        <w:rPr>
          <w:rFonts w:asciiTheme="majorBidi" w:hAnsiTheme="majorBidi" w:cstheme="majorBidi"/>
          <w:sz w:val="24"/>
          <w:szCs w:val="24"/>
          <w:lang w:val="en-GB"/>
        </w:rPr>
        <w:t>(</w:t>
      </w:r>
      <w:hyperlink w:anchor="_ENREF_87" w:tooltip="Ge, 2023 #36" w:history="1">
        <w:r w:rsidR="00DE113E" w:rsidRPr="00F71F57">
          <w:rPr>
            <w:rFonts w:asciiTheme="majorBidi" w:hAnsiTheme="majorBidi" w:cstheme="majorBidi"/>
            <w:sz w:val="24"/>
            <w:szCs w:val="24"/>
            <w:lang w:val="en-GB"/>
          </w:rPr>
          <w:t>Ge et al., 2023</w:t>
        </w:r>
      </w:hyperlink>
      <w:r w:rsidR="00EE7DCA" w:rsidRPr="00F71F57">
        <w:rPr>
          <w:rFonts w:asciiTheme="majorBidi" w:hAnsiTheme="majorBidi" w:cstheme="majorBidi"/>
          <w:sz w:val="24"/>
          <w:szCs w:val="24"/>
          <w:lang w:val="en-GB"/>
        </w:rPr>
        <w:t>)</w:t>
      </w:r>
      <w:r w:rsidR="00EE7DCA" w:rsidRPr="00F71F57">
        <w:rPr>
          <w:rFonts w:asciiTheme="majorBidi" w:hAnsiTheme="majorBidi" w:cstheme="majorBidi"/>
          <w:sz w:val="24"/>
          <w:szCs w:val="24"/>
          <w:lang w:val="en-GB"/>
        </w:rPr>
        <w:fldChar w:fldCharType="end"/>
      </w:r>
      <w:r w:rsidR="00EE7DCA" w:rsidRPr="00F71F57">
        <w:rPr>
          <w:rFonts w:asciiTheme="majorBidi" w:hAnsiTheme="majorBidi" w:cstheme="majorBidi"/>
          <w:sz w:val="24"/>
          <w:szCs w:val="24"/>
          <w:lang w:val="en-GB"/>
        </w:rPr>
        <w:t>.</w:t>
      </w:r>
      <w:r w:rsidR="000F24F9" w:rsidRPr="00F71F57">
        <w:rPr>
          <w:rFonts w:asciiTheme="majorBidi" w:hAnsiTheme="majorBidi" w:cstheme="majorBidi"/>
          <w:sz w:val="24"/>
          <w:szCs w:val="24"/>
          <w:lang w:val="en-GB"/>
        </w:rPr>
        <w:t xml:space="preserve"> </w:t>
      </w:r>
      <w:r w:rsidR="005A715E" w:rsidRPr="00F71F57">
        <w:rPr>
          <w:rFonts w:asciiTheme="majorBidi" w:hAnsiTheme="majorBidi" w:cstheme="majorBidi"/>
          <w:sz w:val="24"/>
          <w:szCs w:val="24"/>
          <w:lang w:val="en-GB"/>
        </w:rPr>
        <w:t xml:space="preserve">Despite the promising advancements in therapeutic strategies for cognitive </w:t>
      </w:r>
      <w:r w:rsidR="005A715E" w:rsidRPr="00F71F57">
        <w:rPr>
          <w:rFonts w:asciiTheme="majorBidi" w:hAnsiTheme="majorBidi" w:cstheme="majorBidi"/>
          <w:sz w:val="24"/>
          <w:szCs w:val="24"/>
          <w:lang w:val="en-GB"/>
        </w:rPr>
        <w:lastRenderedPageBreak/>
        <w:t>decline—from targeting modifiable risk factors and exploring molecular biomarkers to implementing cognitive rehabilitation—significant challenges remain in translating these innovations into widespread clinical practice. Many current treatments offer limited efficacy, are not tailored to individual patient profiles, or fail to address the multifactorial nature of neurocognitive disorders. These limitations underscore the need for a critical evaluation of existing therapeutic frameworks, which will discuss in the following section.</w:t>
      </w:r>
    </w:p>
    <w:bookmarkEnd w:id="8"/>
    <w:p w14:paraId="5CC62784" w14:textId="77777777" w:rsidR="00D26271" w:rsidRPr="00F71F57" w:rsidRDefault="00D26271" w:rsidP="00C80A17">
      <w:pPr>
        <w:jc w:val="both"/>
        <w:rPr>
          <w:rFonts w:asciiTheme="majorBidi" w:hAnsiTheme="majorBidi" w:cstheme="majorBidi"/>
          <w:sz w:val="24"/>
          <w:szCs w:val="24"/>
          <w:lang w:val="en-GB"/>
        </w:rPr>
      </w:pPr>
    </w:p>
    <w:p w14:paraId="12DE97D0" w14:textId="69675D62" w:rsidR="00BA0B0F" w:rsidRPr="00F71F57" w:rsidRDefault="00BA0B0F" w:rsidP="00D623DE">
      <w:pPr>
        <w:pStyle w:val="Heading2"/>
        <w:ind w:left="1080"/>
        <w:rPr>
          <w:rtl/>
          <w:lang w:val="en-GB" w:bidi="fa-IR"/>
        </w:rPr>
      </w:pPr>
      <w:bookmarkStart w:id="13" w:name="_Toc214875821"/>
      <w:r w:rsidRPr="00F71F57">
        <w:rPr>
          <w:lang w:val="en-GB" w:bidi="fa-IR"/>
        </w:rPr>
        <w:t xml:space="preserve">1.2 </w:t>
      </w:r>
      <w:r w:rsidR="00B60BFD" w:rsidRPr="00F71F57">
        <w:rPr>
          <w:lang w:val="en-GB" w:bidi="fa-IR"/>
        </w:rPr>
        <w:t>Neurocognitive Mechanisms and Behavioral Assessment Strategies in Neurodegeneration</w:t>
      </w:r>
      <w:bookmarkEnd w:id="13"/>
    </w:p>
    <w:p w14:paraId="71C252E4" w14:textId="77777777" w:rsidR="00246B4A" w:rsidRPr="00F71F57" w:rsidRDefault="00246B4A" w:rsidP="00D623DE">
      <w:pPr>
        <w:pStyle w:val="Heading3"/>
        <w:ind w:left="1080"/>
        <w:rPr>
          <w:lang w:val="en-GB" w:bidi="fa-IR"/>
        </w:rPr>
      </w:pPr>
      <w:bookmarkStart w:id="14" w:name="_Toc214875822"/>
      <w:r w:rsidRPr="00F71F57">
        <w:rPr>
          <w:lang w:val="en-GB" w:bidi="fa-IR"/>
        </w:rPr>
        <w:t>1.2.1 Brain Regions and Their Cognitive Functions</w:t>
      </w:r>
      <w:bookmarkEnd w:id="14"/>
    </w:p>
    <w:p w14:paraId="7241BDC7" w14:textId="340F5884" w:rsidR="00BA0B0F" w:rsidRPr="00F71F57" w:rsidRDefault="00246B4A" w:rsidP="00984E32">
      <w:pPr>
        <w:pStyle w:val="Heading4"/>
        <w:rPr>
          <w:rtl/>
          <w:lang w:bidi="fa-IR"/>
        </w:rPr>
      </w:pPr>
      <w:bookmarkStart w:id="15" w:name="_Toc214875823"/>
      <w:r w:rsidRPr="00F71F57">
        <w:rPr>
          <w:lang w:bidi="fa-IR"/>
        </w:rPr>
        <w:t>1.2.1.1 Hippocampus: Memory Encoding and Retrieval</w:t>
      </w:r>
      <w:bookmarkEnd w:id="15"/>
    </w:p>
    <w:p w14:paraId="483B678B" w14:textId="2071300F" w:rsidR="0002148B" w:rsidRDefault="00D5633C"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The hippocampus plays a pivotal role in the encoding and retrieval of memories, particularly in the context of episodic and autobiographical memory. This section delineates the mechanisms underlying these processes, focusing on the hippocampal subregions and their specific contributions to memory dynamics.</w:t>
      </w:r>
      <w:r w:rsidR="00431944"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Research indicates that the hippocampus is integral to forming associations among discrete events, acting as a contextual backdrop that facilitates memory retrieval and encoding. Relational binding theory posits that this structure is essential for integrating various stimuli, enabling the cognition of memories as cohesive narratives rather than isolated fragments </w:t>
      </w:r>
      <w:r w:rsidRPr="00F71F57">
        <w:rPr>
          <w:rFonts w:asciiTheme="majorBidi" w:hAnsiTheme="majorBidi" w:cstheme="majorBidi"/>
          <w:sz w:val="24"/>
          <w:szCs w:val="24"/>
          <w:lang w:val="en-GB" w:bidi="fa-IR"/>
        </w:rPr>
        <w:fldChar w:fldCharType="begin"/>
      </w:r>
      <w:r w:rsidRPr="00F71F57">
        <w:rPr>
          <w:rFonts w:asciiTheme="majorBidi" w:hAnsiTheme="majorBidi" w:cstheme="majorBidi"/>
          <w:sz w:val="24"/>
          <w:szCs w:val="24"/>
          <w:lang w:val="en-GB" w:bidi="fa-IR"/>
        </w:rPr>
        <w:instrText xml:space="preserve"> ADDIN EN.CITE &lt;EndNote&gt;&lt;Cite&gt;&lt;Author&gt;Winocur&lt;/Author&gt;&lt;Year&gt;2011&lt;/Year&gt;&lt;RecNum&gt;72&lt;/RecNum&gt;&lt;DisplayText&gt;(Winocur &amp;amp; Moscovitch, 2011)&lt;/DisplayText&gt;&lt;record&gt;&lt;rec-number&gt;72&lt;/rec-number&gt;&lt;foreign-keys&gt;&lt;key app="EN" db-id="2ptrtps0adr9vke22dn5tpwzrsfaxtxrfwet" timestamp="1755606212"&gt;72&lt;/key&gt;&lt;/foreign-keys&gt;&lt;ref-type name="Journal Article"&gt;17&lt;/ref-type&gt;&lt;contributors&gt;&lt;authors&gt;&lt;author&gt;Winocur, Gordon&lt;/author&gt;&lt;author&gt;Moscovitch, Morris&lt;/author&gt;&lt;/authors&gt;&lt;/contributors&gt;&lt;titles&gt;&lt;title&gt;Memory Transformation and Systems Consolidation&lt;/title&gt;&lt;secondary-title&gt;Journal of the International Neuropsychological Society&lt;/secondary-title&gt;&lt;/titles&gt;&lt;periodical&gt;&lt;full-title&gt;Journal of the International Neuropsychological Society&lt;/full-title&gt;&lt;/periodical&gt;&lt;pages&gt;766-780&lt;/pages&gt;&lt;volume&gt;17&lt;/volume&gt;&lt;number&gt;5&lt;/number&gt;&lt;edition&gt;2011/06/06&lt;/edition&gt;&lt;keywords&gt;&lt;keyword&gt;Consolidation&lt;/keyword&gt;&lt;keyword&gt;Hippocampus&lt;/keyword&gt;&lt;keyword&gt;Memory&lt;/keyword&gt;&lt;keyword&gt;Retrograde amnesia&lt;/keyword&gt;&lt;keyword&gt;Systems&lt;/keyword&gt;&lt;keyword&gt;Transformation&lt;/keyword&gt;&lt;/keywords&gt;&lt;dates&gt;&lt;year&gt;2011&lt;/year&gt;&lt;/dates&gt;&lt;publisher&gt;Cambridge University Press&lt;/publisher&gt;&lt;isbn&gt;1355-6177&lt;/isbn&gt;&lt;urls&gt;&lt;related-urls&gt;&lt;url&gt;https://www.cambridge.org/core/product/18511C7CFD1671AA7A5F2A3E93BED12D&lt;/url&gt;&lt;/related-urls&gt;&lt;/urls&gt;&lt;electronic-resource-num&gt;10.1017/S1355617711000683&lt;/electronic-resource-num&gt;&lt;remote-database-name&gt;Cambridge Core&lt;/remote-database-name&gt;&lt;remote-database-provider&gt;Cambridge University Press&lt;/remote-database-provider&gt;&lt;/record&gt;&lt;/Cite&gt;&lt;/EndNote&gt;</w:instrText>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261" w:tooltip="Winocur, 2011 #72" w:history="1">
        <w:r w:rsidR="00DE113E" w:rsidRPr="00F71F57">
          <w:rPr>
            <w:rFonts w:asciiTheme="majorBidi" w:hAnsiTheme="majorBidi" w:cstheme="majorBidi"/>
            <w:sz w:val="24"/>
            <w:szCs w:val="24"/>
            <w:lang w:val="en-GB" w:bidi="fa-IR"/>
          </w:rPr>
          <w:t>Winocur &amp; Moscovitch, 2011</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The anterior hippocampus, in particular, has been suggested to be especially active during the encoding phase, where the initial registration of memory occurs </w:t>
      </w:r>
      <w:r w:rsidR="003D67AF" w:rsidRPr="00F71F57">
        <w:rPr>
          <w:rFonts w:asciiTheme="majorBidi" w:hAnsiTheme="majorBidi" w:cstheme="majorBidi"/>
          <w:sz w:val="24"/>
          <w:szCs w:val="24"/>
          <w:lang w:val="en-GB" w:bidi="fa-IR"/>
        </w:rPr>
        <w:fldChar w:fldCharType="begin"/>
      </w:r>
      <w:r w:rsidR="003D67AF" w:rsidRPr="00F71F57">
        <w:rPr>
          <w:rFonts w:asciiTheme="majorBidi" w:hAnsiTheme="majorBidi" w:cstheme="majorBidi"/>
          <w:sz w:val="24"/>
          <w:szCs w:val="24"/>
          <w:lang w:val="en-GB" w:bidi="fa-IR"/>
        </w:rPr>
        <w:instrText xml:space="preserve"> ADDIN EN.CITE &lt;EndNote&gt;&lt;Cite&gt;&lt;Author&gt;Sullivan&lt;/Author&gt;&lt;Year&gt;2024&lt;/Year&gt;&lt;RecNum&gt;74&lt;/RecNum&gt;&lt;DisplayText&gt;(Sullivan et al., 2024)&lt;/DisplayText&gt;&lt;record&gt;&lt;rec-number&gt;74&lt;/rec-number&gt;&lt;foreign-keys&gt;&lt;key app="EN" db-id="2ptrtps0adr9vke22dn5tpwzrsfaxtxrfwet" timestamp="1755606604"&gt;74&lt;/key&gt;&lt;/foreign-keys&gt;&lt;ref-type name="Journal Article"&gt;17&lt;/ref-type&gt;&lt;contributors&gt;&lt;authors&gt;&lt;author&gt;Sullivan, Madeline A.&lt;/author&gt;&lt;author&gt;Fritch, Haley A.&lt;/author&gt;&lt;author&gt;Slotnick, Scott D.&lt;/author&gt;&lt;/authors&gt;&lt;/contributors&gt;&lt;titles&gt;&lt;title&gt;Spatial Memory Encoding Is Associated With the Anterior and Posterior Hippocampus: An &amp;lt;scp&amp;gt;fMRI&amp;lt;/Scp&amp;gt; Activation Likelihood Estimation Meta‐analysis&lt;/title&gt;&lt;secondary-title&gt;Hippocampus&lt;/secondary-title&gt;&lt;/titles&gt;&lt;periodical&gt;&lt;full-title&gt;Hippocampus&lt;/full-title&gt;&lt;/periodical&gt;&lt;pages&gt;575-582&lt;/pages&gt;&lt;volume&gt;34&lt;/volume&gt;&lt;number&gt;11&lt;/number&gt;&lt;dates&gt;&lt;year&gt;2024&lt;/year&gt;&lt;/dates&gt;&lt;urls&gt;&lt;/urls&gt;&lt;electronic-resource-num&gt;10.1002/hipo.23632&lt;/electronic-resource-num&gt;&lt;/record&gt;&lt;/Cite&gt;&lt;/EndNote&gt;</w:instrText>
      </w:r>
      <w:r w:rsidR="003D67AF" w:rsidRPr="00F71F57">
        <w:rPr>
          <w:rFonts w:asciiTheme="majorBidi" w:hAnsiTheme="majorBidi" w:cstheme="majorBidi"/>
          <w:sz w:val="24"/>
          <w:szCs w:val="24"/>
          <w:lang w:val="en-GB" w:bidi="fa-IR"/>
        </w:rPr>
        <w:fldChar w:fldCharType="separate"/>
      </w:r>
      <w:r w:rsidR="003D67AF" w:rsidRPr="00F71F57">
        <w:rPr>
          <w:rFonts w:asciiTheme="majorBidi" w:hAnsiTheme="majorBidi" w:cstheme="majorBidi"/>
          <w:sz w:val="24"/>
          <w:szCs w:val="24"/>
          <w:lang w:val="en-GB" w:bidi="fa-IR"/>
        </w:rPr>
        <w:t>(</w:t>
      </w:r>
      <w:hyperlink w:anchor="_ENREF_234" w:tooltip="Sullivan, 2024 #74" w:history="1">
        <w:r w:rsidR="00DE113E" w:rsidRPr="00F71F57">
          <w:rPr>
            <w:rFonts w:asciiTheme="majorBidi" w:hAnsiTheme="majorBidi" w:cstheme="majorBidi"/>
            <w:sz w:val="24"/>
            <w:szCs w:val="24"/>
            <w:lang w:val="en-GB" w:bidi="fa-IR"/>
          </w:rPr>
          <w:t>Sullivan et al., 2024</w:t>
        </w:r>
      </w:hyperlink>
      <w:r w:rsidR="003D67AF" w:rsidRPr="00F71F57">
        <w:rPr>
          <w:rFonts w:asciiTheme="majorBidi" w:hAnsiTheme="majorBidi" w:cstheme="majorBidi"/>
          <w:sz w:val="24"/>
          <w:szCs w:val="24"/>
          <w:lang w:val="en-GB" w:bidi="fa-IR"/>
        </w:rPr>
        <w:t>)</w:t>
      </w:r>
      <w:r w:rsidR="003D67A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Conversely, the posterior hippocampus is more involved in the retrieval of these encoded memories, underscoring a potential functional specialization along the long axis of the hippocampus </w:t>
      </w:r>
      <w:r w:rsidR="003D67AF" w:rsidRPr="00F71F57">
        <w:rPr>
          <w:rFonts w:asciiTheme="majorBidi" w:hAnsiTheme="majorBidi" w:cstheme="majorBidi"/>
          <w:sz w:val="24"/>
          <w:szCs w:val="24"/>
          <w:lang w:val="en-GB" w:bidi="fa-IR"/>
        </w:rPr>
        <w:fldChar w:fldCharType="begin"/>
      </w:r>
      <w:r w:rsidR="003D67AF" w:rsidRPr="00F71F57">
        <w:rPr>
          <w:rFonts w:asciiTheme="majorBidi" w:hAnsiTheme="majorBidi" w:cstheme="majorBidi"/>
          <w:sz w:val="24"/>
          <w:szCs w:val="24"/>
          <w:lang w:val="en-GB" w:bidi="fa-IR"/>
        </w:rPr>
        <w:instrText xml:space="preserve"> ADDIN EN.CITE &lt;EndNote&gt;&lt;Cite&gt;&lt;Author&gt;Fritch&lt;/Author&gt;&lt;Year&gt;2021&lt;/Year&gt;&lt;RecNum&gt;73&lt;/RecNum&gt;&lt;DisplayText&gt;(Fritch et al., 2021)&lt;/DisplayText&gt;&lt;record&gt;&lt;rec-number&gt;73&lt;/rec-number&gt;&lt;foreign-keys&gt;&lt;key app="EN" db-id="2ptrtps0adr9vke22dn5tpwzrsfaxtxrfwet" timestamp="1755606549"&gt;73&lt;/key&gt;&lt;/foreign-keys&gt;&lt;ref-type name="Journal Article"&gt;17&lt;/ref-type&gt;&lt;contributors&gt;&lt;authors&gt;&lt;author&gt;Fritch, H. A.&lt;/author&gt;&lt;author&gt;Spets, D. S.&lt;/author&gt;&lt;author&gt;Slotnick, S. D.&lt;/author&gt;&lt;/authors&gt;&lt;/contributors&gt;&lt;auth-address&gt;Department of Psychology and Neuroscience, Boston College, Chestnut Hill, Massachusetts, USA.&lt;/auth-address&gt;&lt;titles&gt;&lt;title&gt;Functional connectivity with the anterior and posterior hippocampus during spatial memory&lt;/title&gt;&lt;secondary-title&gt;Hippocampus&lt;/secondary-title&gt;&lt;/titles&gt;&lt;periodical&gt;&lt;full-title&gt;Hippocampus&lt;/full-title&gt;&lt;/periodical&gt;&lt;pages&gt;658-668&lt;/pages&gt;&lt;volume&gt;31&lt;/volume&gt;&lt;number&gt;7&lt;/number&gt;&lt;edition&gt;2020/11/19&lt;/edition&gt;&lt;keywords&gt;&lt;keyword&gt;*Brain Mapping&lt;/keyword&gt;&lt;keyword&gt;Hippocampus/diagnostic imaging/physiology&lt;/keyword&gt;&lt;keyword&gt;Humans&lt;/keyword&gt;&lt;keyword&gt;Magnetic Resonance Imaging/methods&lt;/keyword&gt;&lt;keyword&gt;Mental Recall/physiology&lt;/keyword&gt;&lt;keyword&gt;*Spatial Memory/physiology&lt;/keyword&gt;&lt;keyword&gt;fMRI&lt;/keyword&gt;&lt;keyword&gt;functional connectivity&lt;/keyword&gt;&lt;keyword&gt;hippocampus&lt;/keyword&gt;&lt;keyword&gt;long-term memory&lt;/keyword&gt;&lt;keyword&gt;spatial memory&lt;/keyword&gt;&lt;/keywords&gt;&lt;dates&gt;&lt;year&gt;2021&lt;/year&gt;&lt;pub-dates&gt;&lt;date&gt;Jul&lt;/date&gt;&lt;/pub-dates&gt;&lt;/dates&gt;&lt;isbn&gt;1050-9631&lt;/isbn&gt;&lt;accession-num&gt;33207019&lt;/accession-num&gt;&lt;urls&gt;&lt;/urls&gt;&lt;electronic-resource-num&gt;10.1002/hipo.23283&lt;/electronic-resource-num&gt;&lt;remote-database-provider&gt;NLM&lt;/remote-database-provider&gt;&lt;language&gt;eng&lt;/language&gt;&lt;/record&gt;&lt;/Cite&gt;&lt;/EndNote&gt;</w:instrText>
      </w:r>
      <w:r w:rsidR="003D67AF" w:rsidRPr="00F71F57">
        <w:rPr>
          <w:rFonts w:asciiTheme="majorBidi" w:hAnsiTheme="majorBidi" w:cstheme="majorBidi"/>
          <w:sz w:val="24"/>
          <w:szCs w:val="24"/>
          <w:lang w:val="en-GB" w:bidi="fa-IR"/>
        </w:rPr>
        <w:fldChar w:fldCharType="separate"/>
      </w:r>
      <w:r w:rsidR="003D67AF" w:rsidRPr="00F71F57">
        <w:rPr>
          <w:rFonts w:asciiTheme="majorBidi" w:hAnsiTheme="majorBidi" w:cstheme="majorBidi"/>
          <w:sz w:val="24"/>
          <w:szCs w:val="24"/>
          <w:lang w:val="en-GB" w:bidi="fa-IR"/>
        </w:rPr>
        <w:t>(</w:t>
      </w:r>
      <w:hyperlink w:anchor="_ENREF_80" w:tooltip="Fritch, 2021 #73" w:history="1">
        <w:r w:rsidR="00DE113E" w:rsidRPr="00F71F57">
          <w:rPr>
            <w:rFonts w:asciiTheme="majorBidi" w:hAnsiTheme="majorBidi" w:cstheme="majorBidi"/>
            <w:sz w:val="24"/>
            <w:szCs w:val="24"/>
            <w:lang w:val="en-GB" w:bidi="fa-IR"/>
          </w:rPr>
          <w:t>Fritch et al., 2021</w:t>
        </w:r>
      </w:hyperlink>
      <w:r w:rsidR="003D67AF" w:rsidRPr="00F71F57">
        <w:rPr>
          <w:rFonts w:asciiTheme="majorBidi" w:hAnsiTheme="majorBidi" w:cstheme="majorBidi"/>
          <w:sz w:val="24"/>
          <w:szCs w:val="24"/>
          <w:lang w:val="en-GB" w:bidi="fa-IR"/>
        </w:rPr>
        <w:t>)</w:t>
      </w:r>
      <w:r w:rsidR="003D67AF" w:rsidRPr="00F71F57">
        <w:rPr>
          <w:rFonts w:asciiTheme="majorBidi" w:hAnsiTheme="majorBidi" w:cstheme="majorBidi"/>
          <w:sz w:val="24"/>
          <w:szCs w:val="24"/>
          <w:lang w:val="en-GB" w:bidi="fa-IR"/>
        </w:rPr>
        <w:fldChar w:fldCharType="end"/>
      </w:r>
      <w:r w:rsidR="003D67AF" w:rsidRPr="00F71F57">
        <w:rPr>
          <w:rFonts w:asciiTheme="majorBidi" w:hAnsiTheme="majorBidi" w:cstheme="majorBidi"/>
          <w:sz w:val="24"/>
          <w:szCs w:val="24"/>
          <w:lang w:val="en-GB" w:bidi="fa-IR"/>
        </w:rPr>
        <w:t>.</w:t>
      </w:r>
      <w:r w:rsidR="00431944"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 distinction in the functioning of the anterior versus posterior hippocampus is further emphasized by neuroimaging studies that connect specific activation patterns to the nature and recency of the memory being processed. For example, studies have shown that recent </w:t>
      </w:r>
      <w:r w:rsidRPr="00F71F57">
        <w:rPr>
          <w:rFonts w:asciiTheme="majorBidi" w:hAnsiTheme="majorBidi" w:cstheme="majorBidi"/>
          <w:sz w:val="24"/>
          <w:szCs w:val="24"/>
          <w:lang w:val="en-GB" w:bidi="fa-IR"/>
        </w:rPr>
        <w:lastRenderedPageBreak/>
        <w:t xml:space="preserve">memories tend to elicit more robust activation in the dorsal hippocampus during retrieval compared to remote memories, which recruit a broader network involving the anterior cingulate cortex and other neocortical regions </w:t>
      </w:r>
      <w:r w:rsidR="008C08C0" w:rsidRPr="00F71F57">
        <w:rPr>
          <w:rFonts w:asciiTheme="majorBidi" w:hAnsiTheme="majorBidi" w:cstheme="majorBidi"/>
          <w:sz w:val="24"/>
          <w:szCs w:val="24"/>
          <w:lang w:val="en-GB" w:bidi="fa-IR"/>
        </w:rPr>
        <w:fldChar w:fldCharType="begin"/>
      </w:r>
      <w:r w:rsidR="008C08C0" w:rsidRPr="00F71F57">
        <w:rPr>
          <w:rFonts w:asciiTheme="majorBidi" w:hAnsiTheme="majorBidi" w:cstheme="majorBidi"/>
          <w:sz w:val="24"/>
          <w:szCs w:val="24"/>
          <w:lang w:val="en-GB" w:bidi="fa-IR"/>
        </w:rPr>
        <w:instrText xml:space="preserve"> ADDIN EN.CITE &lt;EndNote&gt;&lt;Cite&gt;&lt;Author&gt;Tayler&lt;/Author&gt;&lt;Year&gt;2013&lt;/Year&gt;&lt;RecNum&gt;75&lt;/RecNum&gt;&lt;DisplayText&gt;(Tayler et al., 2013)&lt;/DisplayText&gt;&lt;record&gt;&lt;rec-number&gt;75&lt;/rec-number&gt;&lt;foreign-keys&gt;&lt;key app="EN" db-id="2ptrtps0adr9vke22dn5tpwzrsfaxtxrfwet" timestamp="1755606824"&gt;75&lt;/key&gt;&lt;/foreign-keys&gt;&lt;ref-type name="Journal Article"&gt;17&lt;/ref-type&gt;&lt;contributors&gt;&lt;authors&gt;&lt;author&gt;Tayler, K. K.&lt;/author&gt;&lt;author&gt;Tanaka, K. Z.&lt;/author&gt;&lt;author&gt;Reijmers, L. G.&lt;/author&gt;&lt;author&gt;Wiltgen, B. J.&lt;/author&gt;&lt;/authors&gt;&lt;/contributors&gt;&lt;auth-address&gt;Department of Psychology, University of Virginia, Charlottesville, VA 22904, USA.&lt;/auth-address&gt;&lt;titles&gt;&lt;title&gt;Reactivation of neural ensembles during the retrieval of recent and remote memory&lt;/title&gt;&lt;secondary-title&gt;Curr Biol&lt;/secondary-title&gt;&lt;/titles&gt;&lt;periodical&gt;&lt;full-title&gt;Curr Biol&lt;/full-title&gt;&lt;/periodical&gt;&lt;pages&gt;99-106&lt;/pages&gt;&lt;volume&gt;23&lt;/volume&gt;&lt;number&gt;2&lt;/number&gt;&lt;edition&gt;2012/12/19&lt;/edition&gt;&lt;keywords&gt;&lt;keyword&gt;Amygdala/*physiology&lt;/keyword&gt;&lt;keyword&gt;Animals&lt;/keyword&gt;&lt;keyword&gt;Conditioning, Psychological&lt;/keyword&gt;&lt;keyword&gt;Female&lt;/keyword&gt;&lt;keyword&gt;Green Fluorescent Proteins&lt;/keyword&gt;&lt;keyword&gt;Hippocampus/*physiology&lt;/keyword&gt;&lt;keyword&gt;Male&lt;/keyword&gt;&lt;keyword&gt;Mental Recall/*physiology&lt;/keyword&gt;&lt;keyword&gt;Mice&lt;/keyword&gt;&lt;keyword&gt;Mice, Transgenic&lt;/keyword&gt;&lt;keyword&gt;Neocortex/*physiology&lt;/keyword&gt;&lt;keyword&gt;Nerve Net/physiology&lt;/keyword&gt;&lt;/keywords&gt;&lt;dates&gt;&lt;year&gt;2013&lt;/year&gt;&lt;pub-dates&gt;&lt;date&gt;Jan 21&lt;/date&gt;&lt;/pub-dates&gt;&lt;/dates&gt;&lt;isbn&gt;0960-9822&lt;/isbn&gt;&lt;accession-num&gt;23246402&lt;/accession-num&gt;&lt;urls&gt;&lt;/urls&gt;&lt;electronic-resource-num&gt;10.1016/j.cub.2012.11.019&lt;/electronic-resource-num&gt;&lt;remote-database-provider&gt;NLM&lt;/remote-database-provider&gt;&lt;language&gt;eng&lt;/language&gt;&lt;/record&gt;&lt;/Cite&gt;&lt;/EndNote&gt;</w:instrText>
      </w:r>
      <w:r w:rsidR="008C08C0" w:rsidRPr="00F71F57">
        <w:rPr>
          <w:rFonts w:asciiTheme="majorBidi" w:hAnsiTheme="majorBidi" w:cstheme="majorBidi"/>
          <w:sz w:val="24"/>
          <w:szCs w:val="24"/>
          <w:lang w:val="en-GB" w:bidi="fa-IR"/>
        </w:rPr>
        <w:fldChar w:fldCharType="separate"/>
      </w:r>
      <w:r w:rsidR="008C08C0" w:rsidRPr="00F71F57">
        <w:rPr>
          <w:rFonts w:asciiTheme="majorBidi" w:hAnsiTheme="majorBidi" w:cstheme="majorBidi"/>
          <w:sz w:val="24"/>
          <w:szCs w:val="24"/>
          <w:lang w:val="en-GB" w:bidi="fa-IR"/>
        </w:rPr>
        <w:t>(</w:t>
      </w:r>
      <w:hyperlink w:anchor="_ENREF_246" w:tooltip="Tayler, 2013 #75" w:history="1">
        <w:r w:rsidR="00DE113E" w:rsidRPr="00F71F57">
          <w:rPr>
            <w:rFonts w:asciiTheme="majorBidi" w:hAnsiTheme="majorBidi" w:cstheme="majorBidi"/>
            <w:sz w:val="24"/>
            <w:szCs w:val="24"/>
            <w:lang w:val="en-GB" w:bidi="fa-IR"/>
          </w:rPr>
          <w:t>Tayler et al., 2013</w:t>
        </w:r>
      </w:hyperlink>
      <w:r w:rsidR="008C08C0" w:rsidRPr="00F71F57">
        <w:rPr>
          <w:rFonts w:asciiTheme="majorBidi" w:hAnsiTheme="majorBidi" w:cstheme="majorBidi"/>
          <w:sz w:val="24"/>
          <w:szCs w:val="24"/>
          <w:lang w:val="en-GB" w:bidi="fa-IR"/>
        </w:rPr>
        <w:t>)</w:t>
      </w:r>
      <w:r w:rsidR="008C08C0" w:rsidRPr="00F71F57">
        <w:rPr>
          <w:rFonts w:asciiTheme="majorBidi" w:hAnsiTheme="majorBidi" w:cstheme="majorBidi"/>
          <w:sz w:val="24"/>
          <w:szCs w:val="24"/>
          <w:lang w:val="en-GB" w:bidi="fa-IR"/>
        </w:rPr>
        <w:fldChar w:fldCharType="end"/>
      </w:r>
      <w:r w:rsidR="008C08C0" w:rsidRPr="00F71F57">
        <w:rPr>
          <w:rFonts w:asciiTheme="majorBidi" w:hAnsiTheme="majorBidi" w:cstheme="majorBidi"/>
          <w:sz w:val="24"/>
          <w:szCs w:val="24"/>
          <w:lang w:val="en-GB" w:bidi="fa-IR"/>
        </w:rPr>
        <w:t xml:space="preserve"> </w:t>
      </w:r>
      <w:r w:rsidR="008C08C0" w:rsidRPr="00F71F57">
        <w:rPr>
          <w:rFonts w:asciiTheme="majorBidi" w:hAnsiTheme="majorBidi" w:cstheme="majorBidi"/>
          <w:sz w:val="24"/>
          <w:szCs w:val="24"/>
          <w:lang w:val="en-GB" w:bidi="fa-IR"/>
        </w:rPr>
        <w:fldChar w:fldCharType="begin"/>
      </w:r>
      <w:r w:rsidR="008C08C0" w:rsidRPr="00F71F57">
        <w:rPr>
          <w:rFonts w:asciiTheme="majorBidi" w:hAnsiTheme="majorBidi" w:cstheme="majorBidi"/>
          <w:sz w:val="24"/>
          <w:szCs w:val="24"/>
          <w:lang w:val="en-GB" w:bidi="fa-IR"/>
        </w:rPr>
        <w:instrText xml:space="preserve"> ADDIN EN.CITE &lt;EndNote&gt;&lt;Cite&gt;&lt;Author&gt;Einarsson&lt;/Author&gt;&lt;Year&gt;2015&lt;/Year&gt;&lt;RecNum&gt;76&lt;/RecNum&gt;&lt;DisplayText&gt;(Einarsson et al., 2015)&lt;/DisplayText&gt;&lt;record&gt;&lt;rec-number&gt;76&lt;/rec-number&gt;&lt;foreign-keys&gt;&lt;key app="EN" db-id="2ptrtps0adr9vke22dn5tpwzrsfaxtxrfwet" timestamp="1755607012"&gt;76&lt;/key&gt;&lt;/foreign-keys&gt;&lt;ref-type name="Journal Article"&gt;17&lt;/ref-type&gt;&lt;contributors&gt;&lt;authors&gt;&lt;author&gt;Einarsson, EÖ&lt;/author&gt;&lt;author&gt;Pors, J.&lt;/author&gt;&lt;author&gt;Nader, K.&lt;/author&gt;&lt;/authors&gt;&lt;/contributors&gt;&lt;auth-address&gt;Department of Psychology, McGill University, Montreal, QC, Canada.&lt;/auth-address&gt;&lt;titles&gt;&lt;title&gt;Systems reconsolidation reveals a selective role for the anterior cingulate cortex in generalized contextual fear memory expression&lt;/title&gt;&lt;secondary-title&gt;Neuropsychopharmacology&lt;/secondary-title&gt;&lt;/titles&gt;&lt;periodical&gt;&lt;full-title&gt;Neuropsychopharmacology&lt;/full-title&gt;&lt;/periodical&gt;&lt;pages&gt;480-7&lt;/pages&gt;&lt;volume&gt;40&lt;/volume&gt;&lt;number&gt;2&lt;/number&gt;&lt;edition&gt;2014/08/06&lt;/edition&gt;&lt;keywords&gt;&lt;keyword&gt;6-Cyano-7-nitroquinoxaline-2,3-dione/pharmacology&lt;/keyword&gt;&lt;keyword&gt;Animals&lt;/keyword&gt;&lt;keyword&gt;Excitatory Amino Acid Antagonists/pharmacology&lt;/keyword&gt;&lt;keyword&gt;Fear/drug effects/*physiology&lt;/keyword&gt;&lt;keyword&gt;GABA-A Receptor Agonists/pharmacology&lt;/keyword&gt;&lt;keyword&gt;Gyrus Cinguli/drug effects/*physiology&lt;/keyword&gt;&lt;keyword&gt;Hippocampus/drug effects/*physiology&lt;/keyword&gt;&lt;keyword&gt;Male&lt;/keyword&gt;&lt;keyword&gt;Memory/drug effects/*physiology&lt;/keyword&gt;&lt;keyword&gt;Muscimol/pharmacology&lt;/keyword&gt;&lt;keyword&gt;Rats, Sprague-Dawley&lt;/keyword&gt;&lt;keyword&gt;Receptors, AMPA/antagonists &amp;amp; inhibitors/metabolism&lt;/keyword&gt;&lt;keyword&gt;Receptors, Kainic Acid/antagonists &amp;amp; inhibitors/metabolism&lt;/keyword&gt;&lt;keyword&gt;Time Factors&lt;/keyword&gt;&lt;/keywords&gt;&lt;dates&gt;&lt;year&gt;2015&lt;/year&gt;&lt;pub-dates&gt;&lt;date&gt;Jan&lt;/date&gt;&lt;/pub-dates&gt;&lt;/dates&gt;&lt;isbn&gt;0893-133X (Print)&amp;#xD;0893-133x&lt;/isbn&gt;&lt;accession-num&gt;25091528&lt;/accession-num&gt;&lt;urls&gt;&lt;/urls&gt;&lt;custom2&gt;PMC4443963&lt;/custom2&gt;&lt;electronic-resource-num&gt;10.1038/npp.2014.197&lt;/electronic-resource-num&gt;&lt;remote-database-provider&gt;NLM&lt;/remote-database-provider&gt;&lt;language&gt;eng&lt;/language&gt;&lt;/record&gt;&lt;/Cite&gt;&lt;/EndNote&gt;</w:instrText>
      </w:r>
      <w:r w:rsidR="008C08C0" w:rsidRPr="00F71F57">
        <w:rPr>
          <w:rFonts w:asciiTheme="majorBidi" w:hAnsiTheme="majorBidi" w:cstheme="majorBidi"/>
          <w:sz w:val="24"/>
          <w:szCs w:val="24"/>
          <w:lang w:val="en-GB" w:bidi="fa-IR"/>
        </w:rPr>
        <w:fldChar w:fldCharType="separate"/>
      </w:r>
      <w:r w:rsidR="008C08C0" w:rsidRPr="00F71F57">
        <w:rPr>
          <w:rFonts w:asciiTheme="majorBidi" w:hAnsiTheme="majorBidi" w:cstheme="majorBidi"/>
          <w:sz w:val="24"/>
          <w:szCs w:val="24"/>
          <w:lang w:val="en-GB" w:bidi="fa-IR"/>
        </w:rPr>
        <w:t>(</w:t>
      </w:r>
      <w:hyperlink w:anchor="_ENREF_68" w:tooltip="Einarsson, 2015 #76" w:history="1">
        <w:r w:rsidR="00DE113E" w:rsidRPr="00F71F57">
          <w:rPr>
            <w:rFonts w:asciiTheme="majorBidi" w:hAnsiTheme="majorBidi" w:cstheme="majorBidi"/>
            <w:sz w:val="24"/>
            <w:szCs w:val="24"/>
            <w:lang w:val="en-GB" w:bidi="fa-IR"/>
          </w:rPr>
          <w:t>Einarsson et al., 2015</w:t>
        </w:r>
      </w:hyperlink>
      <w:r w:rsidR="008C08C0" w:rsidRPr="00F71F57">
        <w:rPr>
          <w:rFonts w:asciiTheme="majorBidi" w:hAnsiTheme="majorBidi" w:cstheme="majorBidi"/>
          <w:sz w:val="24"/>
          <w:szCs w:val="24"/>
          <w:lang w:val="en-GB" w:bidi="fa-IR"/>
        </w:rPr>
        <w:t>)</w:t>
      </w:r>
      <w:r w:rsidR="008C08C0"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Such findings support the standard model of memory consolidation, which posits a time-limited role for the hippocampus that diminishes as memories become more remote </w:t>
      </w:r>
      <w:r w:rsidR="00586AE8" w:rsidRPr="00F71F57">
        <w:rPr>
          <w:rFonts w:asciiTheme="majorBidi" w:hAnsiTheme="majorBidi" w:cstheme="majorBidi"/>
          <w:sz w:val="24"/>
          <w:szCs w:val="24"/>
          <w:lang w:val="en-GB" w:bidi="fa-IR"/>
        </w:rPr>
        <w:fldChar w:fldCharType="begin"/>
      </w:r>
      <w:r w:rsidR="00586AE8" w:rsidRPr="00F71F57">
        <w:rPr>
          <w:rFonts w:asciiTheme="majorBidi" w:hAnsiTheme="majorBidi" w:cstheme="majorBidi"/>
          <w:sz w:val="24"/>
          <w:szCs w:val="24"/>
          <w:lang w:val="en-GB" w:bidi="fa-IR"/>
        </w:rPr>
        <w:instrText xml:space="preserve"> ADDIN EN.CITE &lt;EndNote&gt;&lt;Cite&gt;&lt;Author&gt;Ge&lt;/Author&gt;&lt;Year&gt;2012&lt;/Year&gt;&lt;RecNum&gt;77&lt;/RecNum&gt;&lt;DisplayText&gt;(Ge et al., 2012)&lt;/DisplayText&gt;&lt;record&gt;&lt;rec-number&gt;77&lt;/rec-number&gt;&lt;foreign-keys&gt;&lt;key app="EN" db-id="2ptrtps0adr9vke22dn5tpwzrsfaxtxrfwet" timestamp="1755607167"&gt;77&lt;/key&gt;&lt;/foreign-keys&gt;&lt;ref-type name="Journal Article"&gt;17&lt;/ref-type&gt;&lt;contributors&gt;&lt;authors&gt;&lt;author&gt;Ge, Ruiyang&lt;/author&gt;&lt;author&gt;Fu, Yan&lt;/author&gt;&lt;author&gt;Wang, DaHua&lt;/author&gt;&lt;author&gt;Yao, Li&lt;/author&gt;&lt;author&gt;Long, Zhiying&lt;/author&gt;&lt;/authors&gt;&lt;/contributors&gt;&lt;titles&gt;&lt;title&gt;Neural Mechanism Underlying Autobiographical Memory Modulated by Remoteness and Emotion&lt;/title&gt;&lt;/titles&gt;&lt;dates&gt;&lt;year&gt;2012&lt;/year&gt;&lt;/dates&gt;&lt;urls&gt;&lt;/urls&gt;&lt;electronic-resource-num&gt;10.1117/12.910870&lt;/electronic-resource-num&gt;&lt;/record&gt;&lt;/Cite&gt;&lt;/EndNote&gt;</w:instrText>
      </w:r>
      <w:r w:rsidR="00586AE8" w:rsidRPr="00F71F57">
        <w:rPr>
          <w:rFonts w:asciiTheme="majorBidi" w:hAnsiTheme="majorBidi" w:cstheme="majorBidi"/>
          <w:sz w:val="24"/>
          <w:szCs w:val="24"/>
          <w:lang w:val="en-GB" w:bidi="fa-IR"/>
        </w:rPr>
        <w:fldChar w:fldCharType="separate"/>
      </w:r>
      <w:r w:rsidR="00586AE8" w:rsidRPr="00F71F57">
        <w:rPr>
          <w:rFonts w:asciiTheme="majorBidi" w:hAnsiTheme="majorBidi" w:cstheme="majorBidi"/>
          <w:sz w:val="24"/>
          <w:szCs w:val="24"/>
          <w:lang w:val="en-GB" w:bidi="fa-IR"/>
        </w:rPr>
        <w:t>(</w:t>
      </w:r>
      <w:hyperlink w:anchor="_ENREF_86" w:tooltip="Ge, 2012 #77" w:history="1">
        <w:r w:rsidR="00DE113E" w:rsidRPr="00F71F57">
          <w:rPr>
            <w:rFonts w:asciiTheme="majorBidi" w:hAnsiTheme="majorBidi" w:cstheme="majorBidi"/>
            <w:sz w:val="24"/>
            <w:szCs w:val="24"/>
            <w:lang w:val="en-GB" w:bidi="fa-IR"/>
          </w:rPr>
          <w:t>Ge et al., 2012</w:t>
        </w:r>
      </w:hyperlink>
      <w:r w:rsidR="00586AE8" w:rsidRPr="00F71F57">
        <w:rPr>
          <w:rFonts w:asciiTheme="majorBidi" w:hAnsiTheme="majorBidi" w:cstheme="majorBidi"/>
          <w:sz w:val="24"/>
          <w:szCs w:val="24"/>
          <w:lang w:val="en-GB" w:bidi="fa-IR"/>
        </w:rPr>
        <w:t>)</w:t>
      </w:r>
      <w:r w:rsidR="00586AE8" w:rsidRPr="00F71F57">
        <w:rPr>
          <w:rFonts w:asciiTheme="majorBidi" w:hAnsiTheme="majorBidi" w:cstheme="majorBidi"/>
          <w:sz w:val="24"/>
          <w:szCs w:val="24"/>
          <w:lang w:val="en-GB" w:bidi="fa-IR"/>
        </w:rPr>
        <w:fldChar w:fldCharType="end"/>
      </w:r>
      <w:r w:rsidR="00586AE8" w:rsidRPr="00F71F57">
        <w:rPr>
          <w:rFonts w:asciiTheme="majorBidi" w:hAnsiTheme="majorBidi" w:cstheme="majorBidi"/>
          <w:sz w:val="24"/>
          <w:szCs w:val="24"/>
          <w:lang w:val="en-GB" w:bidi="fa-IR"/>
        </w:rPr>
        <w:t>.</w:t>
      </w:r>
      <w:r w:rsidR="00431944"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Moreover, it has been established that the process of memory retrieval is not merely a passive recall but can also involve the reactivation of neural ensembles associated with the initial encoding of the memory </w:t>
      </w:r>
      <w:r w:rsidR="008C08C0" w:rsidRPr="00F71F57">
        <w:rPr>
          <w:rFonts w:asciiTheme="majorBidi" w:hAnsiTheme="majorBidi" w:cstheme="majorBidi"/>
          <w:sz w:val="24"/>
          <w:szCs w:val="24"/>
          <w:lang w:val="en-GB" w:bidi="fa-IR"/>
        </w:rPr>
        <w:fldChar w:fldCharType="begin"/>
      </w:r>
      <w:r w:rsidR="008C08C0" w:rsidRPr="00F71F57">
        <w:rPr>
          <w:rFonts w:asciiTheme="majorBidi" w:hAnsiTheme="majorBidi" w:cstheme="majorBidi"/>
          <w:sz w:val="24"/>
          <w:szCs w:val="24"/>
          <w:lang w:val="en-GB" w:bidi="fa-IR"/>
        </w:rPr>
        <w:instrText xml:space="preserve"> ADDIN EN.CITE &lt;EndNote&gt;&lt;Cite&gt;&lt;Author&gt;Tayler&lt;/Author&gt;&lt;Year&gt;2013&lt;/Year&gt;&lt;RecNum&gt;75&lt;/RecNum&gt;&lt;DisplayText&gt;(Tayler et al., 2013)&lt;/DisplayText&gt;&lt;record&gt;&lt;rec-number&gt;75&lt;/rec-number&gt;&lt;foreign-keys&gt;&lt;key app="EN" db-id="2ptrtps0adr9vke22dn5tpwzrsfaxtxrfwet" timestamp="1755606824"&gt;75&lt;/key&gt;&lt;/foreign-keys&gt;&lt;ref-type name="Journal Article"&gt;17&lt;/ref-type&gt;&lt;contributors&gt;&lt;authors&gt;&lt;author&gt;Tayler, K. K.&lt;/author&gt;&lt;author&gt;Tanaka, K. Z.&lt;/author&gt;&lt;author&gt;Reijmers, L. G.&lt;/author&gt;&lt;author&gt;Wiltgen, B. J.&lt;/author&gt;&lt;/authors&gt;&lt;/contributors&gt;&lt;auth-address&gt;Department of Psychology, University of Virginia, Charlottesville, VA 22904, USA.&lt;/auth-address&gt;&lt;titles&gt;&lt;title&gt;Reactivation of neural ensembles during the retrieval of recent and remote memory&lt;/title&gt;&lt;secondary-title&gt;Curr Biol&lt;/secondary-title&gt;&lt;/titles&gt;&lt;periodical&gt;&lt;full-title&gt;Curr Biol&lt;/full-title&gt;&lt;/periodical&gt;&lt;pages&gt;99-106&lt;/pages&gt;&lt;volume&gt;23&lt;/volume&gt;&lt;number&gt;2&lt;/number&gt;&lt;edition&gt;2012/12/19&lt;/edition&gt;&lt;keywords&gt;&lt;keyword&gt;Amygdala/*physiology&lt;/keyword&gt;&lt;keyword&gt;Animals&lt;/keyword&gt;&lt;keyword&gt;Conditioning, Psychological&lt;/keyword&gt;&lt;keyword&gt;Female&lt;/keyword&gt;&lt;keyword&gt;Green Fluorescent Proteins&lt;/keyword&gt;&lt;keyword&gt;Hippocampus/*physiology&lt;/keyword&gt;&lt;keyword&gt;Male&lt;/keyword&gt;&lt;keyword&gt;Mental Recall/*physiology&lt;/keyword&gt;&lt;keyword&gt;Mice&lt;/keyword&gt;&lt;keyword&gt;Mice, Transgenic&lt;/keyword&gt;&lt;keyword&gt;Neocortex/*physiology&lt;/keyword&gt;&lt;keyword&gt;Nerve Net/physiology&lt;/keyword&gt;&lt;/keywords&gt;&lt;dates&gt;&lt;year&gt;2013&lt;/year&gt;&lt;pub-dates&gt;&lt;date&gt;Jan 21&lt;/date&gt;&lt;/pub-dates&gt;&lt;/dates&gt;&lt;isbn&gt;0960-9822&lt;/isbn&gt;&lt;accession-num&gt;23246402&lt;/accession-num&gt;&lt;urls&gt;&lt;/urls&gt;&lt;electronic-resource-num&gt;10.1016/j.cub.2012.11.019&lt;/electronic-resource-num&gt;&lt;remote-database-provider&gt;NLM&lt;/remote-database-provider&gt;&lt;language&gt;eng&lt;/language&gt;&lt;/record&gt;&lt;/Cite&gt;&lt;/EndNote&gt;</w:instrText>
      </w:r>
      <w:r w:rsidR="008C08C0" w:rsidRPr="00F71F57">
        <w:rPr>
          <w:rFonts w:asciiTheme="majorBidi" w:hAnsiTheme="majorBidi" w:cstheme="majorBidi"/>
          <w:sz w:val="24"/>
          <w:szCs w:val="24"/>
          <w:lang w:val="en-GB" w:bidi="fa-IR"/>
        </w:rPr>
        <w:fldChar w:fldCharType="separate"/>
      </w:r>
      <w:r w:rsidR="008C08C0" w:rsidRPr="00F71F57">
        <w:rPr>
          <w:rFonts w:asciiTheme="majorBidi" w:hAnsiTheme="majorBidi" w:cstheme="majorBidi"/>
          <w:sz w:val="24"/>
          <w:szCs w:val="24"/>
          <w:lang w:val="en-GB" w:bidi="fa-IR"/>
        </w:rPr>
        <w:t>(</w:t>
      </w:r>
      <w:hyperlink w:anchor="_ENREF_246" w:tooltip="Tayler, 2013 #75" w:history="1">
        <w:r w:rsidR="00DE113E" w:rsidRPr="00F71F57">
          <w:rPr>
            <w:rFonts w:asciiTheme="majorBidi" w:hAnsiTheme="majorBidi" w:cstheme="majorBidi"/>
            <w:sz w:val="24"/>
            <w:szCs w:val="24"/>
            <w:lang w:val="en-GB" w:bidi="fa-IR"/>
          </w:rPr>
          <w:t>Tayler et al., 2013</w:t>
        </w:r>
      </w:hyperlink>
      <w:r w:rsidR="008C08C0" w:rsidRPr="00F71F57">
        <w:rPr>
          <w:rFonts w:asciiTheme="majorBidi" w:hAnsiTheme="majorBidi" w:cstheme="majorBidi"/>
          <w:sz w:val="24"/>
          <w:szCs w:val="24"/>
          <w:lang w:val="en-GB" w:bidi="fa-IR"/>
        </w:rPr>
        <w:t>)</w:t>
      </w:r>
      <w:r w:rsidR="008C08C0"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This is evidenced by studies where activity in the hippocampus during retrieval can influence the recollection of contextual details and emotional aspects tied to the memories </w:t>
      </w:r>
      <w:r w:rsidR="001B5ECE" w:rsidRPr="00F71F57">
        <w:rPr>
          <w:rFonts w:asciiTheme="majorBidi" w:hAnsiTheme="majorBidi" w:cstheme="majorBidi"/>
          <w:sz w:val="24"/>
          <w:szCs w:val="24"/>
          <w:lang w:val="en-GB" w:bidi="fa-IR"/>
        </w:rPr>
        <w:fldChar w:fldCharType="begin"/>
      </w:r>
      <w:r w:rsidR="001B5ECE" w:rsidRPr="00F71F57">
        <w:rPr>
          <w:rFonts w:asciiTheme="majorBidi" w:hAnsiTheme="majorBidi" w:cstheme="majorBidi"/>
          <w:sz w:val="24"/>
          <w:szCs w:val="24"/>
          <w:lang w:val="en-GB" w:bidi="fa-IR"/>
        </w:rPr>
        <w:instrText xml:space="preserve"> ADDIN EN.CITE &lt;EndNote&gt;&lt;Cite&gt;&lt;Author&gt;Zhang&lt;/Author&gt;&lt;Year&gt;2024&lt;/Year&gt;&lt;RecNum&gt;78&lt;/RecNum&gt;&lt;DisplayText&gt;(Zhang et al., 2024)&lt;/DisplayText&gt;&lt;record&gt;&lt;rec-number&gt;78&lt;/rec-number&gt;&lt;foreign-keys&gt;&lt;key app="EN" db-id="2ptrtps0adr9vke22dn5tpwzrsfaxtxrfwet" timestamp="1755607297"&gt;78&lt;/key&gt;&lt;/foreign-keys&gt;&lt;ref-type name="Journal Article"&gt;17&lt;/ref-type&gt;&lt;contributors&gt;&lt;authors&gt;&lt;author&gt;Zhang, Haoxin&lt;/author&gt;&lt;author&gt;Skelin, Ivan&lt;/author&gt;&lt;author&gt;Ma, Shiting&lt;/author&gt;&lt;author&gt;Paff, Michelle&lt;/author&gt;&lt;author&gt;Mnatsakanyan, Lilit&lt;/author&gt;&lt;author&gt;Yassa, Michael A.&lt;/author&gt;&lt;author&gt;Knight, Robert T.&lt;/author&gt;&lt;author&gt;Lin, Jack J.&lt;/author&gt;&lt;/authors&gt;&lt;/contributors&gt;&lt;titles&gt;&lt;title&gt;Awake Ripples Enhance Emotional Memory Encoding in the Human Brain&lt;/title&gt;&lt;secondary-title&gt;Nature Communications&lt;/secondary-title&gt;&lt;/titles&gt;&lt;periodical&gt;&lt;full-title&gt;Nature Communications&lt;/full-title&gt;&lt;/periodical&gt;&lt;volume&gt;15&lt;/volume&gt;&lt;number&gt;1&lt;/number&gt;&lt;dates&gt;&lt;year&gt;2024&lt;/year&gt;&lt;/dates&gt;&lt;urls&gt;&lt;/urls&gt;&lt;electronic-resource-num&gt;10.1038/s41467-023-44295-8&lt;/electronic-resource-num&gt;&lt;/record&gt;&lt;/Cite&gt;&lt;/EndNote&gt;</w:instrText>
      </w:r>
      <w:r w:rsidR="001B5ECE" w:rsidRPr="00F71F57">
        <w:rPr>
          <w:rFonts w:asciiTheme="majorBidi" w:hAnsiTheme="majorBidi" w:cstheme="majorBidi"/>
          <w:sz w:val="24"/>
          <w:szCs w:val="24"/>
          <w:lang w:val="en-GB" w:bidi="fa-IR"/>
        </w:rPr>
        <w:fldChar w:fldCharType="separate"/>
      </w:r>
      <w:r w:rsidR="001B5ECE" w:rsidRPr="00F71F57">
        <w:rPr>
          <w:rFonts w:asciiTheme="majorBidi" w:hAnsiTheme="majorBidi" w:cstheme="majorBidi"/>
          <w:sz w:val="24"/>
          <w:szCs w:val="24"/>
          <w:lang w:val="en-GB" w:bidi="fa-IR"/>
        </w:rPr>
        <w:t>(</w:t>
      </w:r>
      <w:hyperlink w:anchor="_ENREF_269" w:tooltip="Zhang, 2024 #78" w:history="1">
        <w:r w:rsidR="00DE113E" w:rsidRPr="00F71F57">
          <w:rPr>
            <w:rFonts w:asciiTheme="majorBidi" w:hAnsiTheme="majorBidi" w:cstheme="majorBidi"/>
            <w:sz w:val="24"/>
            <w:szCs w:val="24"/>
            <w:lang w:val="en-GB" w:bidi="fa-IR"/>
          </w:rPr>
          <w:t>Zhang et al., 2024</w:t>
        </w:r>
      </w:hyperlink>
      <w:r w:rsidR="001B5ECE" w:rsidRPr="00F71F57">
        <w:rPr>
          <w:rFonts w:asciiTheme="majorBidi" w:hAnsiTheme="majorBidi" w:cstheme="majorBidi"/>
          <w:sz w:val="24"/>
          <w:szCs w:val="24"/>
          <w:lang w:val="en-GB" w:bidi="fa-IR"/>
        </w:rPr>
        <w:t>)</w:t>
      </w:r>
      <w:r w:rsidR="001B5ECE"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The involvement of extrahippocampal regions in supporting memory retrieval further illustrates that while the hippocampus is critical, it often acts in concert with other brain areas, such as the prefrontal cortex, to execute complex retrieval demands </w:t>
      </w:r>
      <w:r w:rsidR="00144EF5" w:rsidRPr="00F71F57">
        <w:rPr>
          <w:rFonts w:asciiTheme="majorBidi" w:hAnsiTheme="majorBidi" w:cstheme="majorBidi"/>
          <w:sz w:val="24"/>
          <w:szCs w:val="24"/>
          <w:lang w:val="en-GB" w:bidi="fa-IR"/>
        </w:rPr>
        <w:fldChar w:fldCharType="begin"/>
      </w:r>
      <w:r w:rsidR="00144EF5" w:rsidRPr="00F71F57">
        <w:rPr>
          <w:rFonts w:asciiTheme="majorBidi" w:hAnsiTheme="majorBidi" w:cstheme="majorBidi"/>
          <w:sz w:val="24"/>
          <w:szCs w:val="24"/>
          <w:lang w:val="en-GB" w:bidi="fa-IR"/>
        </w:rPr>
        <w:instrText xml:space="preserve"> ADDIN EN.CITE &lt;EndNote&gt;&lt;Cite&gt;&lt;Author&gt;Navawongse&lt;/Author&gt;&lt;Year&gt;2013&lt;/Year&gt;&lt;RecNum&gt;79&lt;/RecNum&gt;&lt;DisplayText&gt;(Navawongse &amp;amp; Eichenbaum, 2013)&lt;/DisplayText&gt;&lt;record&gt;&lt;rec-number&gt;79&lt;/rec-number&gt;&lt;foreign-keys&gt;&lt;key app="EN" db-id="2ptrtps0adr9vke22dn5tpwzrsfaxtxrfwet" timestamp="1755608192"&gt;79&lt;/key&gt;&lt;/foreign-keys&gt;&lt;ref-type name="Journal Article"&gt;17&lt;/ref-type&gt;&lt;contributors&gt;&lt;authors&gt;&lt;author&gt;Navawongse, R.&lt;/author&gt;&lt;author&gt;Eichenbaum, H.&lt;/author&gt;&lt;/authors&gt;&lt;/contributors&gt;&lt;auth-address&gt;Center of Memory and Brain, Boston University, Boston, Massachusetts 02115, USA.&lt;/auth-address&gt;&lt;titles&gt;&lt;title&gt;Distinct pathways for rule-based retrieval and spatial mapping of memory representations in hippocampal neurons&lt;/title&gt;&lt;secondary-title&gt;J Neurosci&lt;/secondary-title&gt;&lt;/titles&gt;&lt;periodical&gt;&lt;full-title&gt;J Neurosci&lt;/full-title&gt;&lt;/periodical&gt;&lt;pages&gt;1002-13&lt;/pages&gt;&lt;volume&gt;33&lt;/volume&gt;&lt;number&gt;3&lt;/number&gt;&lt;edition&gt;2013/01/18&lt;/edition&gt;&lt;keywords&gt;&lt;keyword&gt;Animals&lt;/keyword&gt;&lt;keyword&gt;Association Learning/*physiology&lt;/keyword&gt;&lt;keyword&gt;Behavior, Animal/physiology&lt;/keyword&gt;&lt;keyword&gt;Hippocampus/*physiology&lt;/keyword&gt;&lt;keyword&gt;Male&lt;/keyword&gt;&lt;keyword&gt;Memory/*physiology&lt;/keyword&gt;&lt;keyword&gt;Neurons/*physiology&lt;/keyword&gt;&lt;keyword&gt;Rats&lt;/keyword&gt;&lt;keyword&gt;Rats, Long-Evans&lt;/keyword&gt;&lt;keyword&gt;Space Perception/physiology&lt;/keyword&gt;&lt;/keywords&gt;&lt;dates&gt;&lt;year&gt;2013&lt;/year&gt;&lt;pub-dates&gt;&lt;date&gt;Jan 16&lt;/date&gt;&lt;/pub-dates&gt;&lt;/dates&gt;&lt;isbn&gt;0270-6474 (Print)&amp;#xD;0270-6474&lt;/isbn&gt;&lt;accession-num&gt;23325238&lt;/accession-num&gt;&lt;urls&gt;&lt;/urls&gt;&lt;custom2&gt;PMC3566234&lt;/custom2&gt;&lt;custom6&gt;NIHMS436784&lt;/custom6&gt;&lt;electronic-resource-num&gt;10.1523/jneurosci.3891-12.2013&lt;/electronic-resource-num&gt;&lt;remote-database-provider&gt;NLM&lt;/remote-database-provider&gt;&lt;language&gt;eng&lt;/language&gt;&lt;/record&gt;&lt;/Cite&gt;&lt;/EndNote&gt;</w:instrText>
      </w:r>
      <w:r w:rsidR="00144EF5" w:rsidRPr="00F71F57">
        <w:rPr>
          <w:rFonts w:asciiTheme="majorBidi" w:hAnsiTheme="majorBidi" w:cstheme="majorBidi"/>
          <w:sz w:val="24"/>
          <w:szCs w:val="24"/>
          <w:lang w:val="en-GB" w:bidi="fa-IR"/>
        </w:rPr>
        <w:fldChar w:fldCharType="separate"/>
      </w:r>
      <w:r w:rsidR="00144EF5" w:rsidRPr="00F71F57">
        <w:rPr>
          <w:rFonts w:asciiTheme="majorBidi" w:hAnsiTheme="majorBidi" w:cstheme="majorBidi"/>
          <w:sz w:val="24"/>
          <w:szCs w:val="24"/>
          <w:lang w:val="en-GB" w:bidi="fa-IR"/>
        </w:rPr>
        <w:t>(</w:t>
      </w:r>
      <w:hyperlink w:anchor="_ENREF_166" w:tooltip="Navawongse, 2013 #79" w:history="1">
        <w:r w:rsidR="00DE113E" w:rsidRPr="00F71F57">
          <w:rPr>
            <w:rFonts w:asciiTheme="majorBidi" w:hAnsiTheme="majorBidi" w:cstheme="majorBidi"/>
            <w:sz w:val="24"/>
            <w:szCs w:val="24"/>
            <w:lang w:val="en-GB" w:bidi="fa-IR"/>
          </w:rPr>
          <w:t>Navawongse &amp; Eichenbaum, 2013</w:t>
        </w:r>
      </w:hyperlink>
      <w:r w:rsidR="00144EF5" w:rsidRPr="00F71F57">
        <w:rPr>
          <w:rFonts w:asciiTheme="majorBidi" w:hAnsiTheme="majorBidi" w:cstheme="majorBidi"/>
          <w:sz w:val="24"/>
          <w:szCs w:val="24"/>
          <w:lang w:val="en-GB" w:bidi="fa-IR"/>
        </w:rPr>
        <w:t>)</w:t>
      </w:r>
      <w:r w:rsidR="00144EF5" w:rsidRPr="00F71F57">
        <w:rPr>
          <w:rFonts w:asciiTheme="majorBidi" w:hAnsiTheme="majorBidi" w:cstheme="majorBidi"/>
          <w:sz w:val="24"/>
          <w:szCs w:val="24"/>
          <w:lang w:val="en-GB" w:bidi="fa-IR"/>
        </w:rPr>
        <w:fldChar w:fldCharType="end"/>
      </w:r>
      <w:r w:rsidR="00144EF5" w:rsidRPr="00F71F57">
        <w:rPr>
          <w:rFonts w:asciiTheme="majorBidi" w:hAnsiTheme="majorBidi" w:cstheme="majorBidi"/>
          <w:sz w:val="24"/>
          <w:szCs w:val="24"/>
          <w:lang w:val="en-GB" w:bidi="fa-IR"/>
        </w:rPr>
        <w:t>.</w:t>
      </w:r>
      <w:r w:rsidR="00F173DC"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Additionally, nuanced aspects of memory retrieval, such as fear memories, have revealed that distinct neural circuits within the hippocampus mediate retrieval processes that contribute to the modification or enhancement of memories under certain conditions, such as emotional arousal or cue reactivation </w:t>
      </w:r>
      <w:r w:rsidR="00F173DC" w:rsidRPr="00F71F57">
        <w:rPr>
          <w:rFonts w:asciiTheme="majorBidi" w:hAnsiTheme="majorBidi" w:cstheme="majorBidi"/>
          <w:sz w:val="24"/>
          <w:szCs w:val="24"/>
          <w:lang w:val="en-GB" w:bidi="fa-IR"/>
        </w:rPr>
        <w:fldChar w:fldCharType="begin">
          <w:fldData xml:space="preserve">PEVuZE5vdGU+PENpdGU+PEF1dGhvcj5GdWt1c2hpbWE8L0F1dGhvcj48WWVhcj4yMDE0PC9ZZWFy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</w:fldData>
        </w:fldChar>
      </w:r>
      <w:r w:rsidR="00F173DC" w:rsidRPr="00F71F57">
        <w:rPr>
          <w:rFonts w:asciiTheme="majorBidi" w:hAnsiTheme="majorBidi" w:cstheme="majorBidi"/>
          <w:sz w:val="24"/>
          <w:szCs w:val="24"/>
          <w:lang w:val="en-GB" w:bidi="fa-IR"/>
        </w:rPr>
        <w:instrText xml:space="preserve"> ADDIN EN.CITE </w:instrText>
      </w:r>
      <w:r w:rsidR="00F173DC" w:rsidRPr="00F71F57">
        <w:rPr>
          <w:rFonts w:asciiTheme="majorBidi" w:hAnsiTheme="majorBidi" w:cstheme="majorBidi"/>
          <w:sz w:val="24"/>
          <w:szCs w:val="24"/>
          <w:lang w:val="en-GB" w:bidi="fa-IR"/>
        </w:rPr>
        <w:fldChar w:fldCharType="begin">
          <w:fldData xml:space="preserve">PEVuZE5vdGU+PENpdGU+PEF1dGhvcj5GdWt1c2hpbWE8L0F1dGhvcj48WWVhcj4yMDE0PC9ZZWFy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</w:fldData>
        </w:fldChar>
      </w:r>
      <w:r w:rsidR="00F173DC" w:rsidRPr="00F71F57">
        <w:rPr>
          <w:rFonts w:asciiTheme="majorBidi" w:hAnsiTheme="majorBidi" w:cstheme="majorBidi"/>
          <w:sz w:val="24"/>
          <w:szCs w:val="24"/>
          <w:lang w:val="en-GB" w:bidi="fa-IR"/>
        </w:rPr>
        <w:instrText xml:space="preserve"> ADDIN EN.CITE.DATA </w:instrText>
      </w:r>
      <w:r w:rsidR="00F173DC" w:rsidRPr="00F71F57">
        <w:rPr>
          <w:rFonts w:asciiTheme="majorBidi" w:hAnsiTheme="majorBidi" w:cstheme="majorBidi"/>
          <w:sz w:val="24"/>
          <w:szCs w:val="24"/>
          <w:lang w:val="en-GB" w:bidi="fa-IR"/>
        </w:rPr>
      </w:r>
      <w:r w:rsidR="00F173DC" w:rsidRPr="00F71F57">
        <w:rPr>
          <w:rFonts w:asciiTheme="majorBidi" w:hAnsiTheme="majorBidi" w:cstheme="majorBidi"/>
          <w:sz w:val="24"/>
          <w:szCs w:val="24"/>
          <w:lang w:val="en-GB" w:bidi="fa-IR"/>
        </w:rPr>
        <w:fldChar w:fldCharType="end"/>
      </w:r>
      <w:r w:rsidR="00F173DC" w:rsidRPr="00F71F57">
        <w:rPr>
          <w:rFonts w:asciiTheme="majorBidi" w:hAnsiTheme="majorBidi" w:cstheme="majorBidi"/>
          <w:sz w:val="24"/>
          <w:szCs w:val="24"/>
          <w:lang w:val="en-GB" w:bidi="fa-IR"/>
        </w:rPr>
      </w:r>
      <w:r w:rsidR="00F173DC" w:rsidRPr="00F71F57">
        <w:rPr>
          <w:rFonts w:asciiTheme="majorBidi" w:hAnsiTheme="majorBidi" w:cstheme="majorBidi"/>
          <w:sz w:val="24"/>
          <w:szCs w:val="24"/>
          <w:lang w:val="en-GB" w:bidi="fa-IR"/>
        </w:rPr>
        <w:fldChar w:fldCharType="separate"/>
      </w:r>
      <w:r w:rsidR="00F173DC" w:rsidRPr="00F71F57">
        <w:rPr>
          <w:rFonts w:asciiTheme="majorBidi" w:hAnsiTheme="majorBidi" w:cstheme="majorBidi"/>
          <w:sz w:val="24"/>
          <w:szCs w:val="24"/>
          <w:lang w:val="en-GB" w:bidi="fa-IR"/>
        </w:rPr>
        <w:t>(</w:t>
      </w:r>
      <w:hyperlink w:anchor="_ENREF_82" w:tooltip="Fukushima, 2014 #81" w:history="1">
        <w:r w:rsidR="00DE113E" w:rsidRPr="00F71F57">
          <w:rPr>
            <w:rFonts w:asciiTheme="majorBidi" w:hAnsiTheme="majorBidi" w:cstheme="majorBidi"/>
            <w:sz w:val="24"/>
            <w:szCs w:val="24"/>
            <w:lang w:val="en-GB" w:bidi="fa-IR"/>
          </w:rPr>
          <w:t>Fukushima et al., 2014</w:t>
        </w:r>
      </w:hyperlink>
      <w:r w:rsidR="00F173DC" w:rsidRPr="00F71F57">
        <w:rPr>
          <w:rFonts w:asciiTheme="majorBidi" w:hAnsiTheme="majorBidi" w:cstheme="majorBidi"/>
          <w:sz w:val="24"/>
          <w:szCs w:val="24"/>
          <w:lang w:val="en-GB" w:bidi="fa-IR"/>
        </w:rPr>
        <w:t xml:space="preserve">; </w:t>
      </w:r>
      <w:hyperlink w:anchor="_ENREF_217" w:tooltip="Schutsky, 2011 #80" w:history="1">
        <w:r w:rsidR="00DE113E" w:rsidRPr="00F71F57">
          <w:rPr>
            <w:rFonts w:asciiTheme="majorBidi" w:hAnsiTheme="majorBidi" w:cstheme="majorBidi"/>
            <w:sz w:val="24"/>
            <w:szCs w:val="24"/>
            <w:lang w:val="en-GB" w:bidi="fa-IR"/>
          </w:rPr>
          <w:t>Schutsky et al., 2011</w:t>
        </w:r>
      </w:hyperlink>
      <w:r w:rsidR="00F173DC" w:rsidRPr="00F71F57">
        <w:rPr>
          <w:rFonts w:asciiTheme="majorBidi" w:hAnsiTheme="majorBidi" w:cstheme="majorBidi"/>
          <w:sz w:val="24"/>
          <w:szCs w:val="24"/>
          <w:lang w:val="en-GB" w:bidi="fa-IR"/>
        </w:rPr>
        <w:t>)</w:t>
      </w:r>
      <w:r w:rsidR="00F173DC" w:rsidRPr="00F71F57">
        <w:rPr>
          <w:rFonts w:asciiTheme="majorBidi" w:hAnsiTheme="majorBidi" w:cstheme="majorBidi"/>
          <w:sz w:val="24"/>
          <w:szCs w:val="24"/>
          <w:lang w:val="en-GB" w:bidi="fa-IR"/>
        </w:rPr>
        <w:fldChar w:fldCharType="end"/>
      </w:r>
      <w:r w:rsidR="00F173DC"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This points to a dynamic interplay between hippocampal pathways and associated emotional circuits, particularly concerning fear conditioning paradigms.</w:t>
      </w:r>
    </w:p>
    <w:p w14:paraId="57D43ACF" w14:textId="77777777" w:rsidR="00B51E4B" w:rsidRDefault="00B51E4B" w:rsidP="006C5626">
      <w:pPr>
        <w:jc w:val="both"/>
        <w:rPr>
          <w:rFonts w:asciiTheme="majorBidi" w:hAnsiTheme="majorBidi" w:cstheme="majorBidi"/>
          <w:b/>
          <w:bCs/>
          <w:sz w:val="24"/>
          <w:szCs w:val="24"/>
          <w:lang w:val="en-GB" w:bidi="fa-IR"/>
        </w:rPr>
      </w:pPr>
    </w:p>
    <w:p w14:paraId="3664491B" w14:textId="642AC4FE" w:rsidR="00E773C6" w:rsidRPr="00F71F57" w:rsidRDefault="00CC3C28" w:rsidP="00984E32">
      <w:pPr>
        <w:pStyle w:val="Heading4"/>
        <w:rPr>
          <w:lang w:bidi="fa-IR"/>
        </w:rPr>
      </w:pPr>
      <w:bookmarkStart w:id="16" w:name="_Toc214875824"/>
      <w:r w:rsidRPr="00F71F57">
        <w:rPr>
          <w:lang w:bidi="fa-IR"/>
        </w:rPr>
        <w:t>1.2.1.2 Prefrontal Cortex: Executive Function and Attention</w:t>
      </w:r>
      <w:bookmarkEnd w:id="16"/>
    </w:p>
    <w:p w14:paraId="6595262A" w14:textId="3BCB825D" w:rsidR="00C328AD" w:rsidRDefault="00E773C6"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 xml:space="preserve">The prefrontal cortex (PFC) is critically involved in executive functions and attentional processes, orchestrating various cognitive operations that underpin our ability to plan, make decisions, and hold information in working memory. This section explores the significant role of the PFC in executive function, emphasizing functional specialization within </w:t>
      </w:r>
      <w:r w:rsidRPr="00F71F57">
        <w:rPr>
          <w:rFonts w:asciiTheme="majorBidi" w:hAnsiTheme="majorBidi" w:cstheme="majorBidi"/>
          <w:sz w:val="24"/>
          <w:szCs w:val="24"/>
          <w:lang w:val="en-GB" w:bidi="fa-IR"/>
        </w:rPr>
        <w:lastRenderedPageBreak/>
        <w:t>its subregions and their contributions to cognitive control and attention.</w:t>
      </w:r>
      <w:r w:rsidR="001E07A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Clinical observations have highlighted the pivotal role of the dorsolateral prefrontal cortex (DLPFC) in nonverbal working memory, decision-making, and the regulation of attention. Damage to this area often presents as executive dysfunction, compromising capabilities in tasks requiring inhibition and cognitive flexibility </w:t>
      </w:r>
      <w:r w:rsidR="0022359A" w:rsidRPr="00F71F57">
        <w:rPr>
          <w:rFonts w:asciiTheme="majorBidi" w:hAnsiTheme="majorBidi" w:cstheme="majorBidi"/>
          <w:sz w:val="24"/>
          <w:szCs w:val="24"/>
          <w:lang w:val="en-GB" w:bidi="fa-IR"/>
        </w:rPr>
        <w:fldChar w:fldCharType="begin"/>
      </w:r>
      <w:r w:rsidR="0022359A" w:rsidRPr="00F71F57">
        <w:rPr>
          <w:rFonts w:asciiTheme="majorBidi" w:hAnsiTheme="majorBidi" w:cstheme="majorBidi"/>
          <w:sz w:val="24"/>
          <w:szCs w:val="24"/>
          <w:lang w:val="en-GB" w:bidi="fa-IR"/>
        </w:rPr>
        <w:instrText xml:space="preserve"> ADDIN EN.CITE &lt;EndNote&gt;&lt;Cite&gt;&lt;Author&gt;Bahia&lt;/Author&gt;&lt;Year&gt;2013&lt;/Year&gt;&lt;RecNum&gt;302&lt;/RecNum&gt;&lt;DisplayText&gt;(Bahia et al., 2013)&lt;/DisplayText&gt;&lt;record&gt;&lt;rec-number&gt;302&lt;/rec-number&gt;&lt;foreign-keys&gt;&lt;key app="EN" db-id="2ptrtps0adr9vke22dn5tpwzrsfaxtxrfwet" timestamp="1755867236"&gt;302&lt;/key&gt;&lt;/foreign-keys&gt;&lt;ref-type name="Journal Article"&gt;17&lt;/ref-type&gt;&lt;contributors&gt;&lt;authors&gt;&lt;author&gt;Bahia, Valéria Santoro&lt;/author&gt;&lt;author&gt;Takada, Leonel Tadao&lt;/author&gt;&lt;author&gt;Caixeta, Leonardo&lt;/author&gt;&lt;author&gt;Lucato, Leandro Tavares&lt;/author&gt;&lt;author&gt;Porto, Cláudia Sellitto&lt;/author&gt;&lt;author&gt;Nitríni, Ricardo&lt;/author&gt;&lt;/authors&gt;&lt;/contributors&gt;&lt;titles&gt;&lt;title&gt;Prefrontal Damage in Childhood and Changes in the Development of Personality: A Case Report&lt;/title&gt;&lt;secondary-title&gt;Dementia &amp;amp; Neuropsychologia&lt;/secondary-title&gt;&lt;/titles&gt;&lt;periodical&gt;&lt;full-title&gt;Dementia &amp;amp; Neuropsychologia&lt;/full-title&gt;&lt;/periodical&gt;&lt;pages&gt;132-135&lt;/pages&gt;&lt;volume&gt;7&lt;/volume&gt;&lt;number&gt;1&lt;/number&gt;&lt;dates&gt;&lt;year&gt;2013&lt;/year&gt;&lt;/dates&gt;&lt;urls&gt;&lt;/urls&gt;&lt;electronic-resource-num&gt;10.1590/s1980-57642013dn70100019&lt;/electronic-resource-num&gt;&lt;/record&gt;&lt;/Cite&gt;&lt;/EndNote&gt;</w:instrText>
      </w:r>
      <w:r w:rsidR="0022359A" w:rsidRPr="00F71F57">
        <w:rPr>
          <w:rFonts w:asciiTheme="majorBidi" w:hAnsiTheme="majorBidi" w:cstheme="majorBidi"/>
          <w:sz w:val="24"/>
          <w:szCs w:val="24"/>
          <w:lang w:val="en-GB" w:bidi="fa-IR"/>
        </w:rPr>
        <w:fldChar w:fldCharType="separate"/>
      </w:r>
      <w:r w:rsidR="0022359A" w:rsidRPr="00F71F57">
        <w:rPr>
          <w:rFonts w:asciiTheme="majorBidi" w:hAnsiTheme="majorBidi" w:cstheme="majorBidi"/>
          <w:sz w:val="24"/>
          <w:szCs w:val="24"/>
          <w:lang w:val="en-GB" w:bidi="fa-IR"/>
        </w:rPr>
        <w:t>(</w:t>
      </w:r>
      <w:hyperlink w:anchor="_ENREF_11" w:tooltip="Bahia, 2013 #302" w:history="1">
        <w:r w:rsidR="00DE113E" w:rsidRPr="00F71F57">
          <w:rPr>
            <w:rFonts w:asciiTheme="majorBidi" w:hAnsiTheme="majorBidi" w:cstheme="majorBidi"/>
            <w:sz w:val="24"/>
            <w:szCs w:val="24"/>
            <w:lang w:val="en-GB" w:bidi="fa-IR"/>
          </w:rPr>
          <w:t>Bahia et al., 2013</w:t>
        </w:r>
      </w:hyperlink>
      <w:r w:rsidR="0022359A" w:rsidRPr="00F71F57">
        <w:rPr>
          <w:rFonts w:asciiTheme="majorBidi" w:hAnsiTheme="majorBidi" w:cstheme="majorBidi"/>
          <w:sz w:val="24"/>
          <w:szCs w:val="24"/>
          <w:lang w:val="en-GB" w:bidi="fa-IR"/>
        </w:rPr>
        <w:t>)</w:t>
      </w:r>
      <w:r w:rsidR="0022359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w:t>
      </w:r>
      <w:r w:rsidR="0022359A" w:rsidRPr="00F71F57">
        <w:rPr>
          <w:rFonts w:asciiTheme="majorBidi" w:hAnsiTheme="majorBidi" w:cstheme="majorBidi"/>
          <w:sz w:val="24"/>
          <w:szCs w:val="24"/>
          <w:lang w:val="en-GB" w:bidi="fa-IR"/>
        </w:rPr>
        <w:t xml:space="preserve">Researchers </w:t>
      </w:r>
      <w:r w:rsidRPr="00F71F57">
        <w:rPr>
          <w:rFonts w:asciiTheme="majorBidi" w:hAnsiTheme="majorBidi" w:cstheme="majorBidi"/>
          <w:sz w:val="24"/>
          <w:szCs w:val="24"/>
          <w:lang w:val="en-GB" w:bidi="fa-IR"/>
        </w:rPr>
        <w:t xml:space="preserve">found that the DLPFC serves as the central executive system of working memory, partitioning responsibilities into motivational </w:t>
      </w:r>
      <w:r w:rsidR="005A1A74" w:rsidRPr="00F71F57">
        <w:rPr>
          <w:rFonts w:asciiTheme="majorBidi" w:hAnsiTheme="majorBidi" w:cstheme="majorBidi"/>
          <w:sz w:val="24"/>
          <w:szCs w:val="24"/>
          <w:lang w:val="en-GB" w:bidi="fa-IR"/>
        </w:rPr>
        <w:t>behaviours</w:t>
      </w:r>
      <w:r w:rsidRPr="00F71F57">
        <w:rPr>
          <w:rFonts w:asciiTheme="majorBidi" w:hAnsiTheme="majorBidi" w:cstheme="majorBidi"/>
          <w:sz w:val="24"/>
          <w:szCs w:val="24"/>
          <w:lang w:val="en-GB" w:bidi="fa-IR"/>
        </w:rPr>
        <w:t xml:space="preserve"> responsible for evaluation and control </w:t>
      </w:r>
      <w:r w:rsidR="005A1A74" w:rsidRPr="00F71F57">
        <w:rPr>
          <w:rFonts w:asciiTheme="majorBidi" w:hAnsiTheme="majorBidi" w:cstheme="majorBidi"/>
          <w:sz w:val="24"/>
          <w:szCs w:val="24"/>
          <w:lang w:val="en-GB" w:bidi="fa-IR"/>
        </w:rPr>
        <w:t>behaviours</w:t>
      </w:r>
      <w:r w:rsidRPr="00F71F57">
        <w:rPr>
          <w:rFonts w:asciiTheme="majorBidi" w:hAnsiTheme="majorBidi" w:cstheme="majorBidi"/>
          <w:sz w:val="24"/>
          <w:szCs w:val="24"/>
          <w:lang w:val="en-GB" w:bidi="fa-IR"/>
        </w:rPr>
        <w:t xml:space="preserve"> associated with cognitive control, which are crucial for effective decision-making and attentional allocation </w:t>
      </w:r>
      <w:r w:rsidR="0022359A" w:rsidRPr="00F71F57">
        <w:rPr>
          <w:rFonts w:asciiTheme="majorBidi" w:hAnsiTheme="majorBidi" w:cstheme="majorBidi"/>
          <w:sz w:val="24"/>
          <w:szCs w:val="24"/>
          <w:lang w:val="en-GB" w:bidi="fa-IR"/>
        </w:rPr>
        <w:fldChar w:fldCharType="begin"/>
      </w:r>
      <w:r w:rsidR="0022359A" w:rsidRPr="00F71F57">
        <w:rPr>
          <w:rFonts w:asciiTheme="majorBidi" w:hAnsiTheme="majorBidi" w:cstheme="majorBidi"/>
          <w:sz w:val="24"/>
          <w:szCs w:val="24"/>
          <w:lang w:val="en-GB" w:bidi="fa-IR"/>
        </w:rPr>
        <w:instrText xml:space="preserve"> ADDIN EN.CITE &lt;EndNote&gt;&lt;Cite&gt;&lt;Author&gt;Liu&lt;/Author&gt;&lt;Year&gt;2024&lt;/Year&gt;&lt;RecNum&gt;303&lt;/RecNum&gt;&lt;DisplayText&gt;(Yuanyuan Liu et al., 2024)&lt;/DisplayText&gt;&lt;record&gt;&lt;rec-number&gt;303&lt;/rec-number&gt;&lt;foreign-keys&gt;&lt;key app="EN" db-id="2ptrtps0adr9vke22dn5tpwzrsfaxtxrfwet" timestamp="1755867277"&gt;303&lt;/key&gt;&lt;/foreign-keys&gt;&lt;ref-type name="Journal Article"&gt;17&lt;/ref-type&gt;&lt;contributors&gt;&lt;authors&gt;&lt;author&gt;Liu, Yuanyuan&lt;/author&gt;&lt;author&gt;Zhong, Zongye&lt;/author&gt;&lt;author&gt;Chen, Jian&lt;/author&gt;&lt;author&gt;Kuo, Hochieh&lt;/author&gt;&lt;author&gt;Chen, Xiuli&lt;/author&gt;&lt;author&gt;Wang, Ping&lt;/author&gt;&lt;author&gt;Shi, Mingfang&lt;/author&gt;&lt;author&gt;Yang, Mingzhen&lt;/author&gt;&lt;author&gt;Liu, Bangzhong&lt;/author&gt;&lt;author&gt;Liu, Guanghua&lt;/author&gt;&lt;/authors&gt;&lt;/contributors&gt;&lt;titles&gt;&lt;title&gt;Brain Activation Patterns in Patients With Post-Stroke Cognitive Impairment During Working Memory Task: A Functional Near-Infrared Spectroscopy Study&lt;/title&gt;&lt;secondary-title&gt;Frontiers in Neurology&lt;/secondary-title&gt;&lt;/titles&gt;&lt;periodical&gt;&lt;full-title&gt;Frontiers in Neurology&lt;/full-title&gt;&lt;/periodical&gt;&lt;volume&gt;15&lt;/volume&gt;&lt;dates&gt;&lt;year&gt;2024&lt;/year&gt;&lt;/dates&gt;&lt;urls&gt;&lt;/urls&gt;&lt;electronic-resource-num&gt;10.3389/fneur.2024.1419128&lt;/electronic-resource-num&gt;&lt;/record&gt;&lt;/Cite&gt;&lt;/EndNote&gt;</w:instrText>
      </w:r>
      <w:r w:rsidR="0022359A" w:rsidRPr="00F71F57">
        <w:rPr>
          <w:rFonts w:asciiTheme="majorBidi" w:hAnsiTheme="majorBidi" w:cstheme="majorBidi"/>
          <w:sz w:val="24"/>
          <w:szCs w:val="24"/>
          <w:lang w:val="en-GB" w:bidi="fa-IR"/>
        </w:rPr>
        <w:fldChar w:fldCharType="separate"/>
      </w:r>
      <w:r w:rsidR="0022359A" w:rsidRPr="00F71F57">
        <w:rPr>
          <w:rFonts w:asciiTheme="majorBidi" w:hAnsiTheme="majorBidi" w:cstheme="majorBidi"/>
          <w:sz w:val="24"/>
          <w:szCs w:val="24"/>
          <w:lang w:val="en-GB" w:bidi="fa-IR"/>
        </w:rPr>
        <w:t>(</w:t>
      </w:r>
      <w:hyperlink w:anchor="_ENREF_141" w:tooltip="Liu, 2024 #303" w:history="1">
        <w:r w:rsidR="00DE113E" w:rsidRPr="00F71F57">
          <w:rPr>
            <w:rFonts w:asciiTheme="majorBidi" w:hAnsiTheme="majorBidi" w:cstheme="majorBidi"/>
            <w:sz w:val="24"/>
            <w:szCs w:val="24"/>
            <w:lang w:val="en-GB" w:bidi="fa-IR"/>
          </w:rPr>
          <w:t>Yuanyuan Liu et al., 2024</w:t>
        </w:r>
      </w:hyperlink>
      <w:r w:rsidR="0022359A" w:rsidRPr="00F71F57">
        <w:rPr>
          <w:rFonts w:asciiTheme="majorBidi" w:hAnsiTheme="majorBidi" w:cstheme="majorBidi"/>
          <w:sz w:val="24"/>
          <w:szCs w:val="24"/>
          <w:lang w:val="en-GB" w:bidi="fa-IR"/>
        </w:rPr>
        <w:t>)</w:t>
      </w:r>
      <w:r w:rsidR="0022359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These findings suggest strong evidence for a topographical organization within the PFC that supports its diverse functional roles.</w:t>
      </w:r>
      <w:r w:rsidR="001E07A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Neuroimaging studies have further elucidated how the PFC interacts dynamically with other brain regions to </w:t>
      </w:r>
      <w:r w:rsidR="000118FA" w:rsidRPr="00F71F57">
        <w:rPr>
          <w:rFonts w:asciiTheme="majorBidi" w:hAnsiTheme="majorBidi" w:cstheme="majorBidi"/>
          <w:sz w:val="24"/>
          <w:szCs w:val="24"/>
          <w:lang w:val="en-GB" w:bidi="fa-IR"/>
        </w:rPr>
        <w:t>fulfil</w:t>
      </w:r>
      <w:r w:rsidRPr="00F71F57">
        <w:rPr>
          <w:rFonts w:asciiTheme="majorBidi" w:hAnsiTheme="majorBidi" w:cstheme="majorBidi"/>
          <w:sz w:val="24"/>
          <w:szCs w:val="24"/>
          <w:lang w:val="en-GB" w:bidi="fa-IR"/>
        </w:rPr>
        <w:t xml:space="preserve"> executive tasks. Activation patterns recorded during cognitive tasks, such as the Stroop task, indicate significant involvement of the DLPFC in managing attentional conflicts. Patients with lesions in this region often exhibit impairments in managing conflicting stimuli, thus highlighting the essence of executive control mediated by the PFC </w:t>
      </w:r>
      <w:r w:rsidR="0022359A" w:rsidRPr="00F71F57">
        <w:rPr>
          <w:rFonts w:asciiTheme="majorBidi" w:hAnsiTheme="majorBidi" w:cstheme="majorBidi"/>
          <w:sz w:val="24"/>
          <w:szCs w:val="24"/>
          <w:lang w:val="en-GB" w:bidi="fa-IR"/>
        </w:rPr>
        <w:fldChar w:fldCharType="begin"/>
      </w:r>
      <w:r w:rsidR="0022359A" w:rsidRPr="00F71F57">
        <w:rPr>
          <w:rFonts w:asciiTheme="majorBidi" w:hAnsiTheme="majorBidi" w:cstheme="majorBidi"/>
          <w:sz w:val="24"/>
          <w:szCs w:val="24"/>
          <w:lang w:val="en-GB" w:bidi="fa-IR"/>
        </w:rPr>
        <w:instrText xml:space="preserve"> ADDIN EN.CITE &lt;EndNote&gt;&lt;Cite&gt;&lt;Author&gt;Li&lt;/Author&gt;&lt;Year&gt;2009&lt;/Year&gt;&lt;RecNum&gt;304&lt;/RecNum&gt;&lt;DisplayText&gt;(Li et al., 2009)&lt;/DisplayText&gt;&lt;record&gt;&lt;rec-number&gt;304&lt;/rec-number&gt;&lt;foreign-keys&gt;&lt;key app="EN" db-id="2ptrtps0adr9vke22dn5tpwzrsfaxtxrfwet" timestamp="1755867318"&gt;304&lt;/key&gt;&lt;/foreign-keys&gt;&lt;ref-type name="Journal Article"&gt;17&lt;/ref-type&gt;&lt;contributors&gt;&lt;authors&gt;&lt;author&gt;Li, Chuanming&lt;/author&gt;&lt;author&gt;Zheng, Jian&lt;/author&gt;&lt;author&gt;Wang, Jian&lt;/author&gt;&lt;author&gt;Gui, Li&lt;/author&gt;&lt;author&gt;Li, Chuan&lt;/author&gt;&lt;/authors&gt;&lt;/contributors&gt;&lt;titles&gt;&lt;title&gt;An fMRI Stroop Task Study of Prefrontal Cortical Function in Normal Aging, Mild Cognitive Impairment, and Alzheimers Disease&lt;/title&gt;&lt;secondary-title&gt;Current Alzheimer Research&lt;/secondary-title&gt;&lt;/titles&gt;&lt;periodical&gt;&lt;full-title&gt;Current Alzheimer Research&lt;/full-title&gt;&lt;/periodical&gt;&lt;pages&gt;525-530&lt;/pages&gt;&lt;volume&gt;6&lt;/volume&gt;&lt;number&gt;6&lt;/number&gt;&lt;dates&gt;&lt;year&gt;2009&lt;/year&gt;&lt;/dates&gt;&lt;urls&gt;&lt;/urls&gt;&lt;electronic-resource-num&gt;10.2174/156720509790147142&lt;/electronic-resource-num&gt;&lt;/record&gt;&lt;/Cite&gt;&lt;/EndNote&gt;</w:instrText>
      </w:r>
      <w:r w:rsidR="0022359A" w:rsidRPr="00F71F57">
        <w:rPr>
          <w:rFonts w:asciiTheme="majorBidi" w:hAnsiTheme="majorBidi" w:cstheme="majorBidi"/>
          <w:sz w:val="24"/>
          <w:szCs w:val="24"/>
          <w:lang w:val="en-GB" w:bidi="fa-IR"/>
        </w:rPr>
        <w:fldChar w:fldCharType="separate"/>
      </w:r>
      <w:r w:rsidR="0022359A" w:rsidRPr="00F71F57">
        <w:rPr>
          <w:rFonts w:asciiTheme="majorBidi" w:hAnsiTheme="majorBidi" w:cstheme="majorBidi"/>
          <w:sz w:val="24"/>
          <w:szCs w:val="24"/>
          <w:lang w:val="en-GB" w:bidi="fa-IR"/>
        </w:rPr>
        <w:t>(</w:t>
      </w:r>
      <w:hyperlink w:anchor="_ENREF_135" w:tooltip="Li, 2009 #304" w:history="1">
        <w:r w:rsidR="00DE113E" w:rsidRPr="00F71F57">
          <w:rPr>
            <w:rFonts w:asciiTheme="majorBidi" w:hAnsiTheme="majorBidi" w:cstheme="majorBidi"/>
            <w:sz w:val="24"/>
            <w:szCs w:val="24"/>
            <w:lang w:val="en-GB" w:bidi="fa-IR"/>
          </w:rPr>
          <w:t>Li et al., 2009</w:t>
        </w:r>
      </w:hyperlink>
      <w:r w:rsidR="0022359A" w:rsidRPr="00F71F57">
        <w:rPr>
          <w:rFonts w:asciiTheme="majorBidi" w:hAnsiTheme="majorBidi" w:cstheme="majorBidi"/>
          <w:sz w:val="24"/>
          <w:szCs w:val="24"/>
          <w:lang w:val="en-GB" w:bidi="fa-IR"/>
        </w:rPr>
        <w:t>)</w:t>
      </w:r>
      <w:r w:rsidR="0022359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This functional specialization is underpinned by the PFC's interactions with broader neural circuits, where both the lateral and medial aspects of the PFC engage in varying cognitive demands, such as decision-making and emotional regulation </w:t>
      </w:r>
      <w:r w:rsidR="0022359A" w:rsidRPr="00F71F57">
        <w:rPr>
          <w:rFonts w:asciiTheme="majorBidi" w:hAnsiTheme="majorBidi" w:cstheme="majorBidi"/>
          <w:sz w:val="24"/>
          <w:szCs w:val="24"/>
          <w:lang w:val="en-GB" w:bidi="fa-IR"/>
        </w:rPr>
        <w:fldChar w:fldCharType="begin"/>
      </w:r>
      <w:r w:rsidR="0022359A" w:rsidRPr="00F71F57">
        <w:rPr>
          <w:rFonts w:asciiTheme="majorBidi" w:hAnsiTheme="majorBidi" w:cstheme="majorBidi"/>
          <w:sz w:val="24"/>
          <w:szCs w:val="24"/>
          <w:lang w:val="en-GB" w:bidi="fa-IR"/>
        </w:rPr>
        <w:instrText xml:space="preserve"> ADDIN EN.CITE &lt;EndNote&gt;&lt;Cite&gt;&lt;Author&gt;Coutlee&lt;/Author&gt;&lt;Year&gt;2012&lt;/Year&gt;&lt;RecNum&gt;305&lt;/RecNum&gt;&lt;DisplayText&gt;(Coutlee &amp;amp; Huettel, 2012)&lt;/DisplayText&gt;&lt;record&gt;&lt;rec-number&gt;305&lt;/rec-number&gt;&lt;foreign-keys&gt;&lt;key app="EN" db-id="2ptrtps0adr9vke22dn5tpwzrsfaxtxrfwet" timestamp="1755867352"&gt;305&lt;/key&gt;&lt;/foreign-keys&gt;&lt;ref-type name="Journal Article"&gt;17&lt;/ref-type&gt;&lt;contributors&gt;&lt;authors&gt;&lt;author&gt;Coutlee, Christopher G.&lt;/author&gt;&lt;author&gt;Huettel, Scott A.&lt;/author&gt;&lt;/authors&gt;&lt;/contributors&gt;&lt;titles&gt;&lt;title&gt;The Functional Neuroanatomy of Decision Making: Prefrontal Control of Thought and Action&lt;/title&gt;&lt;secondary-title&gt;Brain Research&lt;/secondary-title&gt;&lt;/titles&gt;&lt;periodical&gt;&lt;full-title&gt;Brain Research&lt;/full-title&gt;&lt;/periodical&gt;&lt;pages&gt;3-12&lt;/pages&gt;&lt;volume&gt;1428&lt;/volume&gt;&lt;dates&gt;&lt;year&gt;2012&lt;/year&gt;&lt;/dates&gt;&lt;urls&gt;&lt;/urls&gt;&lt;electronic-resource-num&gt;10.1016/j.brainres.2011.05.053&lt;/electronic-resource-num&gt;&lt;/record&gt;&lt;/Cite&gt;&lt;/EndNote&gt;</w:instrText>
      </w:r>
      <w:r w:rsidR="0022359A" w:rsidRPr="00F71F57">
        <w:rPr>
          <w:rFonts w:asciiTheme="majorBidi" w:hAnsiTheme="majorBidi" w:cstheme="majorBidi"/>
          <w:sz w:val="24"/>
          <w:szCs w:val="24"/>
          <w:lang w:val="en-GB" w:bidi="fa-IR"/>
        </w:rPr>
        <w:fldChar w:fldCharType="separate"/>
      </w:r>
      <w:r w:rsidR="0022359A" w:rsidRPr="00F71F57">
        <w:rPr>
          <w:rFonts w:asciiTheme="majorBidi" w:hAnsiTheme="majorBidi" w:cstheme="majorBidi"/>
          <w:sz w:val="24"/>
          <w:szCs w:val="24"/>
          <w:lang w:val="en-GB" w:bidi="fa-IR"/>
        </w:rPr>
        <w:t>(</w:t>
      </w:r>
      <w:hyperlink w:anchor="_ENREF_53" w:tooltip="Coutlee, 2012 #305" w:history="1">
        <w:r w:rsidR="00DE113E" w:rsidRPr="00F71F57">
          <w:rPr>
            <w:rFonts w:asciiTheme="majorBidi" w:hAnsiTheme="majorBidi" w:cstheme="majorBidi"/>
            <w:sz w:val="24"/>
            <w:szCs w:val="24"/>
            <w:lang w:val="en-GB" w:bidi="fa-IR"/>
          </w:rPr>
          <w:t>Coutlee &amp; Huettel, 2012</w:t>
        </w:r>
      </w:hyperlink>
      <w:r w:rsidR="0022359A" w:rsidRPr="00F71F57">
        <w:rPr>
          <w:rFonts w:asciiTheme="majorBidi" w:hAnsiTheme="majorBidi" w:cstheme="majorBidi"/>
          <w:sz w:val="24"/>
          <w:szCs w:val="24"/>
          <w:lang w:val="en-GB" w:bidi="fa-IR"/>
        </w:rPr>
        <w:t>)</w:t>
      </w:r>
      <w:r w:rsidR="0022359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1E07A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Moreover, the PFC's role extends beyond single cognitive functions into more complex behavioral domains. The interplay between the PFC and dopaminergic pathways significantly influences executive functions such as behavioral flexibility and performance on working memory tasks </w:t>
      </w:r>
      <w:r w:rsidR="0022359A" w:rsidRPr="00F71F57">
        <w:rPr>
          <w:rFonts w:asciiTheme="majorBidi" w:hAnsiTheme="majorBidi" w:cstheme="majorBidi"/>
          <w:sz w:val="24"/>
          <w:szCs w:val="24"/>
          <w:lang w:val="en-GB" w:bidi="fa-IR"/>
        </w:rPr>
        <w:fldChar w:fldCharType="begin"/>
      </w:r>
      <w:r w:rsidR="0022359A" w:rsidRPr="00F71F57">
        <w:rPr>
          <w:rFonts w:asciiTheme="majorBidi" w:hAnsiTheme="majorBidi" w:cstheme="majorBidi"/>
          <w:sz w:val="24"/>
          <w:szCs w:val="24"/>
          <w:lang w:val="en-GB" w:bidi="fa-IR"/>
        </w:rPr>
        <w:instrText xml:space="preserve"> ADDIN EN.CITE &lt;EndNote&gt;&lt;Cite&gt;&lt;Author&gt;Locke&lt;/Author&gt;&lt;Year&gt;2018&lt;/Year&gt;&lt;RecNum&gt;306&lt;/RecNum&gt;&lt;DisplayText&gt;(Locke et al., 2018)&lt;/DisplayText&gt;&lt;record&gt;&lt;rec-number&gt;306&lt;/rec-number&gt;&lt;foreign-keys&gt;&lt;key app="EN" db-id="2ptrtps0adr9vke22dn5tpwzrsfaxtxrfwet" timestamp="1755867377"&gt;306&lt;/key&gt;&lt;/foreign-keys&gt;&lt;ref-type name="Journal Article"&gt;17&lt;/ref-type&gt;&lt;contributors&gt;&lt;authors&gt;&lt;author&gt;Locke, Timothy M.&lt;/author&gt;&lt;author&gt;Soden, Marta E.&lt;/author&gt;&lt;author&gt;Miller, Samara&lt;/author&gt;&lt;author&gt;Hunker, Avery C.&lt;/author&gt;&lt;author&gt;Knakal, Cerise R.&lt;/author&gt;&lt;author&gt;Licholai, Julia A.&lt;/author&gt;&lt;author&gt;Dhillon, Karn S.&lt;/author&gt;&lt;author&gt;Keene, C. Dirk&lt;/author&gt;&lt;author&gt;Zweifel, Larry S.&lt;/author&gt;&lt;author&gt;Carlson, Erik S.&lt;/author&gt;&lt;/authors&gt;&lt;/contributors&gt;&lt;titles&gt;&lt;title&gt;Dopamine D1 Receptor–Positive Neurons in the Lateral Nucleus of the Cerebellum Contribute to Cognitive Behavior&lt;/title&gt;&lt;secondary-title&gt;Biological Psychiatry&lt;/secondary-title&gt;&lt;/titles&gt;&lt;periodical&gt;&lt;full-title&gt;Biological Psychiatry&lt;/full-title&gt;&lt;/periodical&gt;&lt;pages&gt;401-412&lt;/pages&gt;&lt;volume&gt;84&lt;/volume&gt;&lt;number&gt;6&lt;/number&gt;&lt;dates&gt;&lt;year&gt;2018&lt;/year&gt;&lt;/dates&gt;&lt;urls&gt;&lt;/urls&gt;&lt;electronic-resource-num&gt;10.1016/j.biopsych.2018.01.019&lt;/electronic-resource-num&gt;&lt;/record&gt;&lt;/Cite&gt;&lt;/EndNote&gt;</w:instrText>
      </w:r>
      <w:r w:rsidR="0022359A" w:rsidRPr="00F71F57">
        <w:rPr>
          <w:rFonts w:asciiTheme="majorBidi" w:hAnsiTheme="majorBidi" w:cstheme="majorBidi"/>
          <w:sz w:val="24"/>
          <w:szCs w:val="24"/>
          <w:lang w:val="en-GB" w:bidi="fa-IR"/>
        </w:rPr>
        <w:fldChar w:fldCharType="separate"/>
      </w:r>
      <w:r w:rsidR="0022359A" w:rsidRPr="00F71F57">
        <w:rPr>
          <w:rFonts w:asciiTheme="majorBidi" w:hAnsiTheme="majorBidi" w:cstheme="majorBidi"/>
          <w:sz w:val="24"/>
          <w:szCs w:val="24"/>
          <w:lang w:val="en-GB" w:bidi="fa-IR"/>
        </w:rPr>
        <w:t>(</w:t>
      </w:r>
      <w:hyperlink w:anchor="_ENREF_142" w:tooltip="Locke, 2018 #306" w:history="1">
        <w:r w:rsidR="00DE113E" w:rsidRPr="00F71F57">
          <w:rPr>
            <w:rFonts w:asciiTheme="majorBidi" w:hAnsiTheme="majorBidi" w:cstheme="majorBidi"/>
            <w:sz w:val="24"/>
            <w:szCs w:val="24"/>
            <w:lang w:val="en-GB" w:bidi="fa-IR"/>
          </w:rPr>
          <w:t>Locke et al., 2018</w:t>
        </w:r>
      </w:hyperlink>
      <w:r w:rsidR="0022359A" w:rsidRPr="00F71F57">
        <w:rPr>
          <w:rFonts w:asciiTheme="majorBidi" w:hAnsiTheme="majorBidi" w:cstheme="majorBidi"/>
          <w:sz w:val="24"/>
          <w:szCs w:val="24"/>
          <w:lang w:val="en-GB" w:bidi="fa-IR"/>
        </w:rPr>
        <w:t>)</w:t>
      </w:r>
      <w:r w:rsidR="0022359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Research shows that stimulation of the DLPFC through repetitive transcranial magnetic stimulation (rTMS) can lead to improvements in cognitive functions, suggesting a possible therapeutic avenue for managing executive dysfunctions, particularly in </w:t>
      </w:r>
      <w:r w:rsidRPr="00F71F57">
        <w:rPr>
          <w:rFonts w:asciiTheme="majorBidi" w:hAnsiTheme="majorBidi" w:cstheme="majorBidi"/>
          <w:sz w:val="24"/>
          <w:szCs w:val="24"/>
          <w:lang w:val="en-GB" w:bidi="fa-IR"/>
        </w:rPr>
        <w:lastRenderedPageBreak/>
        <w:t xml:space="preserve">neurodegenerative diseases such as Alzheimer’s </w:t>
      </w:r>
      <w:r w:rsidR="0022359A" w:rsidRPr="00F71F57">
        <w:rPr>
          <w:rFonts w:asciiTheme="majorBidi" w:hAnsiTheme="majorBidi" w:cstheme="majorBidi"/>
          <w:sz w:val="24"/>
          <w:szCs w:val="24"/>
          <w:lang w:val="en-GB" w:bidi="fa-IR"/>
        </w:rPr>
        <w:fldChar w:fldCharType="begin"/>
      </w:r>
      <w:r w:rsidR="0022359A" w:rsidRPr="00F71F57">
        <w:rPr>
          <w:rFonts w:asciiTheme="majorBidi" w:hAnsiTheme="majorBidi" w:cstheme="majorBidi"/>
          <w:sz w:val="24"/>
          <w:szCs w:val="24"/>
          <w:lang w:val="en-GB" w:bidi="fa-IR"/>
        </w:rPr>
        <w:instrText xml:space="preserve"> ADDIN EN.CITE &lt;EndNote&gt;&lt;Cite&gt;&lt;Author&gt;Guo&lt;/Author&gt;&lt;Year&gt;2021&lt;/Year&gt;&lt;RecNum&gt;307&lt;/RecNum&gt;&lt;DisplayText&gt;(Guo et al., 2021)&lt;/DisplayText&gt;&lt;record&gt;&lt;rec-number&gt;307&lt;/rec-number&gt;&lt;foreign-keys&gt;&lt;key app="EN" db-id="2ptrtps0adr9vke22dn5tpwzrsfaxtxrfwet" timestamp="1755867419"&gt;307&lt;/key&gt;&lt;/foreign-keys&gt;&lt;ref-type name="Journal Article"&gt;17&lt;/ref-type&gt;&lt;contributors&gt;&lt;authors&gt;&lt;author&gt;Guo, Yi&lt;/author&gt;&lt;author&gt;Dang, Ge&lt;/author&gt;&lt;author&gt;Hordacre, Brenton&lt;/author&gt;&lt;author&gt;Su, Xiaolin&lt;/author&gt;&lt;author&gt;Yan, Nan&lt;/author&gt;&lt;author&gt;Chen, Siyan&lt;/author&gt;&lt;author&gt;Ren, Huixia&lt;/author&gt;&lt;author&gt;Shi, Xue&lt;/author&gt;&lt;author&gt;Cai, Min&lt;/author&gt;&lt;author&gt;Zhang, Sirui&lt;/author&gt;&lt;author&gt;Lan, Xiaoyong&lt;/author&gt;&lt;/authors&gt;&lt;/contributors&gt;&lt;titles&gt;&lt;title&gt;Repetitive Transcranial Magnetic Stimulation of the Dorsolateral Prefrontal Cortex Modulates Electroencephalographic Functional Connectivity in Alzheimer’s Disease&lt;/title&gt;&lt;secondary-title&gt;Frontiers in Aging Neuroscience&lt;/secondary-title&gt;&lt;/titles&gt;&lt;periodical&gt;&lt;full-title&gt;Frontiers in Aging Neuroscience&lt;/full-title&gt;&lt;/periodical&gt;&lt;volume&gt;13&lt;/volume&gt;&lt;dates&gt;&lt;year&gt;2021&lt;/year&gt;&lt;/dates&gt;&lt;urls&gt;&lt;/urls&gt;&lt;electronic-resource-num&gt;10.3389/fnagi.2021.679585&lt;/electronic-resource-num&gt;&lt;/record&gt;&lt;/Cite&gt;&lt;/EndNote&gt;</w:instrText>
      </w:r>
      <w:r w:rsidR="0022359A" w:rsidRPr="00F71F57">
        <w:rPr>
          <w:rFonts w:asciiTheme="majorBidi" w:hAnsiTheme="majorBidi" w:cstheme="majorBidi"/>
          <w:sz w:val="24"/>
          <w:szCs w:val="24"/>
          <w:lang w:val="en-GB" w:bidi="fa-IR"/>
        </w:rPr>
        <w:fldChar w:fldCharType="separate"/>
      </w:r>
      <w:r w:rsidR="0022359A" w:rsidRPr="00F71F57">
        <w:rPr>
          <w:rFonts w:asciiTheme="majorBidi" w:hAnsiTheme="majorBidi" w:cstheme="majorBidi"/>
          <w:sz w:val="24"/>
          <w:szCs w:val="24"/>
          <w:lang w:val="en-GB" w:bidi="fa-IR"/>
        </w:rPr>
        <w:t>(</w:t>
      </w:r>
      <w:hyperlink w:anchor="_ENREF_94" w:tooltip="Guo, 2021 #307" w:history="1">
        <w:r w:rsidR="00DE113E" w:rsidRPr="00F71F57">
          <w:rPr>
            <w:rFonts w:asciiTheme="majorBidi" w:hAnsiTheme="majorBidi" w:cstheme="majorBidi"/>
            <w:sz w:val="24"/>
            <w:szCs w:val="24"/>
            <w:lang w:val="en-GB" w:bidi="fa-IR"/>
          </w:rPr>
          <w:t>Guo et al., 2021</w:t>
        </w:r>
      </w:hyperlink>
      <w:r w:rsidR="0022359A" w:rsidRPr="00F71F57">
        <w:rPr>
          <w:rFonts w:asciiTheme="majorBidi" w:hAnsiTheme="majorBidi" w:cstheme="majorBidi"/>
          <w:sz w:val="24"/>
          <w:szCs w:val="24"/>
          <w:lang w:val="en-GB" w:bidi="fa-IR"/>
        </w:rPr>
        <w:t>)</w:t>
      </w:r>
      <w:r w:rsidR="0022359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1E07A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Additionally, structural changes within the PFC have been correlated with deficits in various cognitive functions. For instance, synaptic loss within the PFC has been associated with cognitive decline seen in diseases such as amyotrophic lateral sclerosis </w:t>
      </w:r>
      <w:r w:rsidR="0022359A" w:rsidRPr="00F71F57">
        <w:rPr>
          <w:rFonts w:asciiTheme="majorBidi" w:hAnsiTheme="majorBidi" w:cstheme="majorBidi"/>
          <w:sz w:val="24"/>
          <w:szCs w:val="24"/>
          <w:lang w:val="en-GB" w:bidi="fa-IR"/>
        </w:rPr>
        <w:fldChar w:fldCharType="begin"/>
      </w:r>
      <w:r w:rsidR="0022359A" w:rsidRPr="00F71F57">
        <w:rPr>
          <w:rFonts w:asciiTheme="majorBidi" w:hAnsiTheme="majorBidi" w:cstheme="majorBidi"/>
          <w:sz w:val="24"/>
          <w:szCs w:val="24"/>
          <w:lang w:val="en-GB" w:bidi="fa-IR"/>
        </w:rPr>
        <w:instrText xml:space="preserve"> ADDIN EN.CITE &lt;EndNote&gt;&lt;Cite&gt;&lt;Author&gt;Illán‐Gala&lt;/Author&gt;&lt;Year&gt;2020&lt;/Year&gt;&lt;RecNum&gt;308&lt;/RecNum&gt;&lt;DisplayText&gt;(Illán‐Gala et al., 2020)&lt;/DisplayText&gt;&lt;record&gt;&lt;rec-number&gt;308&lt;/rec-number&gt;&lt;foreign-keys&gt;&lt;key app="EN" db-id="2ptrtps0adr9vke22dn5tpwzrsfaxtxrfwet" timestamp="1755867457"&gt;308&lt;/key&gt;&lt;/foreign-keys&gt;&lt;ref-type name="Journal Article"&gt;17&lt;/ref-type&gt;&lt;contributors&gt;&lt;authors&gt;&lt;author&gt;Illán‐Gala, Ignacio&lt;/author&gt;&lt;author&gt;Montal, Víctor&lt;/author&gt;&lt;author&gt;Pegueroles, Jordi&lt;/author&gt;&lt;author&gt;Vilaplana, Eduard&lt;/author&gt;&lt;author&gt;Alcolea, Daniel&lt;/author&gt;&lt;author&gt;Dols‐Icardo, Oriol&lt;/author&gt;&lt;author&gt;Luna, Noemí de&lt;/author&gt;&lt;author&gt;Turón‐Sans, Janina&lt;/author&gt;&lt;author&gt;Cortés‐Vicente, Elena&lt;/author&gt;&lt;author&gt;Martinez-Roman, Luis&lt;/author&gt;&lt;author&gt;Sánchez‐Saudinós, M. Belén&lt;/author&gt;&lt;author&gt;Subirana, Andrea&lt;/author&gt;&lt;author&gt;Videla, Laura&lt;/author&gt;&lt;author&gt;Sala, Isabel&lt;/author&gt;&lt;author&gt;Barroeta, Isabel&lt;/author&gt;&lt;author&gt;Valldeneu, Sílvia&lt;/author&gt;&lt;author&gt;Blesa, Rafael&lt;/author&gt;&lt;author&gt;Clarimón, Jordi&lt;/author&gt;&lt;author&gt;Lleó, Alberto&lt;/author&gt;&lt;author&gt;Fortea, Juan&lt;/author&gt;&lt;author&gt;Rojas‐García, Ricard&lt;/author&gt;&lt;/authors&gt;&lt;/contributors&gt;&lt;titles&gt;&lt;title&gt;Cortical Microstructure in the Amyotrophic Lateral Sclerosis–frontotemporal Dementia Continuum&lt;/title&gt;&lt;secondary-title&gt;Neurology&lt;/secondary-title&gt;&lt;/titles&gt;&lt;periodical&gt;&lt;full-title&gt;Neurology&lt;/full-title&gt;&lt;/periodical&gt;&lt;volume&gt;95&lt;/volume&gt;&lt;number&gt;18&lt;/number&gt;&lt;dates&gt;&lt;year&gt;2020&lt;/year&gt;&lt;/dates&gt;&lt;urls&gt;&lt;/urls&gt;&lt;electronic-resource-num&gt;10.1212/wnl.0000000000010727&lt;/electronic-resource-num&gt;&lt;/record&gt;&lt;/Cite&gt;&lt;/EndNote&gt;</w:instrText>
      </w:r>
      <w:r w:rsidR="0022359A" w:rsidRPr="00F71F57">
        <w:rPr>
          <w:rFonts w:asciiTheme="majorBidi" w:hAnsiTheme="majorBidi" w:cstheme="majorBidi"/>
          <w:sz w:val="24"/>
          <w:szCs w:val="24"/>
          <w:lang w:val="en-GB" w:bidi="fa-IR"/>
        </w:rPr>
        <w:fldChar w:fldCharType="separate"/>
      </w:r>
      <w:r w:rsidR="0022359A" w:rsidRPr="00F71F57">
        <w:rPr>
          <w:rFonts w:asciiTheme="majorBidi" w:hAnsiTheme="majorBidi" w:cstheme="majorBidi"/>
          <w:sz w:val="24"/>
          <w:szCs w:val="24"/>
          <w:lang w:val="en-GB" w:bidi="fa-IR"/>
        </w:rPr>
        <w:t>(</w:t>
      </w:r>
      <w:hyperlink w:anchor="_ENREF_109" w:tooltip="Illán‐Gala, 2020 #308" w:history="1">
        <w:r w:rsidR="00DE113E" w:rsidRPr="00F71F57">
          <w:rPr>
            <w:rFonts w:asciiTheme="majorBidi" w:hAnsiTheme="majorBidi" w:cstheme="majorBidi"/>
            <w:sz w:val="24"/>
            <w:szCs w:val="24"/>
            <w:lang w:val="en-GB" w:bidi="fa-IR"/>
          </w:rPr>
          <w:t>Illán‐Gala et al., 2020</w:t>
        </w:r>
      </w:hyperlink>
      <w:r w:rsidR="0022359A" w:rsidRPr="00F71F57">
        <w:rPr>
          <w:rFonts w:asciiTheme="majorBidi" w:hAnsiTheme="majorBidi" w:cstheme="majorBidi"/>
          <w:sz w:val="24"/>
          <w:szCs w:val="24"/>
          <w:lang w:val="en-GB" w:bidi="fa-IR"/>
        </w:rPr>
        <w:t>)</w:t>
      </w:r>
      <w:r w:rsidR="0022359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These findings underscore the vulnerability of the PFC to neurodegenerative processes, impacting its ability to maintain essential executive functions.</w:t>
      </w:r>
      <w:r w:rsidR="001E07A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Importantly, the impact of stress on PFC function cannot be overlooked. Studies indicate that chronic stress adversely affects PFC-mediated cognitive processes, leading to impairments in attention, working memory, and emotional regulation </w:t>
      </w:r>
      <w:r w:rsidR="0022359A" w:rsidRPr="00F71F57">
        <w:rPr>
          <w:rFonts w:asciiTheme="majorBidi" w:hAnsiTheme="majorBidi" w:cstheme="majorBidi"/>
          <w:sz w:val="24"/>
          <w:szCs w:val="24"/>
          <w:lang w:val="en-GB" w:bidi="fa-IR"/>
        </w:rPr>
        <w:fldChar w:fldCharType="begin"/>
      </w:r>
      <w:r w:rsidR="0022359A" w:rsidRPr="00F71F57">
        <w:rPr>
          <w:rFonts w:asciiTheme="majorBidi" w:hAnsiTheme="majorBidi" w:cstheme="majorBidi"/>
          <w:sz w:val="24"/>
          <w:szCs w:val="24"/>
          <w:lang w:val="en-GB" w:bidi="fa-IR"/>
        </w:rPr>
        <w:instrText xml:space="preserve"> ADDIN EN.CITE &lt;EndNote&gt;&lt;Cite&gt;&lt;Author&gt;Snyder&lt;/Author&gt;&lt;Year&gt;2014&lt;/Year&gt;&lt;RecNum&gt;309&lt;/RecNum&gt;&lt;DisplayText&gt;(Snyder et al., 2014)&lt;/DisplayText&gt;&lt;record&gt;&lt;rec-number&gt;309&lt;/rec-number&gt;&lt;foreign-keys&gt;&lt;key app="EN" db-id="2ptrtps0adr9vke22dn5tpwzrsfaxtxrfwet" timestamp="1755867488"&gt;309&lt;/key&gt;&lt;/foreign-keys&gt;&lt;ref-type name="Journal Article"&gt;17&lt;/ref-type&gt;&lt;contributors&gt;&lt;authors&gt;&lt;author&gt;Snyder, Kevin&lt;/author&gt;&lt;author&gt;Barry, Mark&lt;/author&gt;&lt;author&gt;Valentino, Rita J.&lt;/author&gt;&lt;/authors&gt;&lt;/contributors&gt;&lt;titles&gt;&lt;title&gt;Cognitive Impact of Social Stress and Coping Strategy Throughout Development&lt;/title&gt;&lt;secondary-title&gt;Psychopharmacology&lt;/secondary-title&gt;&lt;/titles&gt;&lt;periodical&gt;&lt;full-title&gt;Psychopharmacology&lt;/full-title&gt;&lt;/periodical&gt;&lt;pages&gt;185-195&lt;/pages&gt;&lt;volume&gt;232&lt;/volume&gt;&lt;number&gt;1&lt;/number&gt;&lt;dates&gt;&lt;year&gt;2014&lt;/year&gt;&lt;/dates&gt;&lt;urls&gt;&lt;/urls&gt;&lt;electronic-resource-num&gt;10.1007/s00213-014-3654-7&lt;/electronic-resource-num&gt;&lt;/record&gt;&lt;/Cite&gt;&lt;/EndNote&gt;</w:instrText>
      </w:r>
      <w:r w:rsidR="0022359A" w:rsidRPr="00F71F57">
        <w:rPr>
          <w:rFonts w:asciiTheme="majorBidi" w:hAnsiTheme="majorBidi" w:cstheme="majorBidi"/>
          <w:sz w:val="24"/>
          <w:szCs w:val="24"/>
          <w:lang w:val="en-GB" w:bidi="fa-IR"/>
        </w:rPr>
        <w:fldChar w:fldCharType="separate"/>
      </w:r>
      <w:r w:rsidR="0022359A" w:rsidRPr="00F71F57">
        <w:rPr>
          <w:rFonts w:asciiTheme="majorBidi" w:hAnsiTheme="majorBidi" w:cstheme="majorBidi"/>
          <w:sz w:val="24"/>
          <w:szCs w:val="24"/>
          <w:lang w:val="en-GB" w:bidi="fa-IR"/>
        </w:rPr>
        <w:t>(</w:t>
      </w:r>
      <w:hyperlink w:anchor="_ENREF_227" w:tooltip="Snyder, 2014 #309" w:history="1">
        <w:r w:rsidR="00DE113E" w:rsidRPr="00F71F57">
          <w:rPr>
            <w:rFonts w:asciiTheme="majorBidi" w:hAnsiTheme="majorBidi" w:cstheme="majorBidi"/>
            <w:sz w:val="24"/>
            <w:szCs w:val="24"/>
            <w:lang w:val="en-GB" w:bidi="fa-IR"/>
          </w:rPr>
          <w:t>Snyder et al., 2014</w:t>
        </w:r>
      </w:hyperlink>
      <w:r w:rsidR="0022359A" w:rsidRPr="00F71F57">
        <w:rPr>
          <w:rFonts w:asciiTheme="majorBidi" w:hAnsiTheme="majorBidi" w:cstheme="majorBidi"/>
          <w:sz w:val="24"/>
          <w:szCs w:val="24"/>
          <w:lang w:val="en-GB" w:bidi="fa-IR"/>
        </w:rPr>
        <w:t>)</w:t>
      </w:r>
      <w:r w:rsidR="0022359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This relationship reinforces the need for comprehensive approaches in evaluating cognitive function and its underlying neurobiological mechanisms.</w:t>
      </w:r>
      <w:r w:rsidR="001E07AD" w:rsidRPr="00F71F57">
        <w:rPr>
          <w:rFonts w:asciiTheme="majorBidi" w:hAnsiTheme="majorBidi" w:cstheme="majorBidi"/>
          <w:sz w:val="24"/>
          <w:szCs w:val="24"/>
          <w:lang w:val="en-GB" w:bidi="fa-IR"/>
        </w:rPr>
        <w:t xml:space="preserve"> T</w:t>
      </w:r>
      <w:r w:rsidRPr="00F71F57">
        <w:rPr>
          <w:rFonts w:asciiTheme="majorBidi" w:hAnsiTheme="majorBidi" w:cstheme="majorBidi"/>
          <w:sz w:val="24"/>
          <w:szCs w:val="24"/>
          <w:lang w:val="en-GB" w:bidi="fa-IR"/>
        </w:rPr>
        <w:t>he prefrontal cortex serves as a crucial hub for executive functions and attentional processes, characterized by its intricate internal organization and robust connections with other brain regions. As our understanding deepens, investigating the specific mechanisms and interrelations within the PFC continues to be vital in addressing cognitive deficits associated with neurodegenerative disorders.</w:t>
      </w:r>
    </w:p>
    <w:p w14:paraId="062E0138" w14:textId="77777777" w:rsidR="00DF605E" w:rsidRPr="00F71F57" w:rsidRDefault="00DF605E" w:rsidP="00C80A17">
      <w:pPr>
        <w:jc w:val="both"/>
        <w:rPr>
          <w:rFonts w:asciiTheme="majorBidi" w:hAnsiTheme="majorBidi" w:cstheme="majorBidi"/>
          <w:b/>
          <w:bCs/>
          <w:sz w:val="24"/>
          <w:szCs w:val="24"/>
          <w:rtl/>
          <w:lang w:val="en-GB" w:bidi="fa-IR"/>
        </w:rPr>
      </w:pPr>
    </w:p>
    <w:p w14:paraId="18C66FB3" w14:textId="5859A2B3" w:rsidR="00C328AD" w:rsidRPr="00F71F57" w:rsidRDefault="003C3477" w:rsidP="00984E32">
      <w:pPr>
        <w:pStyle w:val="Heading4"/>
        <w:rPr>
          <w:lang w:bidi="fa-IR"/>
        </w:rPr>
      </w:pPr>
      <w:bookmarkStart w:id="17" w:name="_Toc214875825"/>
      <w:r w:rsidRPr="00F71F57">
        <w:rPr>
          <w:lang w:bidi="fa-IR"/>
        </w:rPr>
        <w:t>1.2.1.3 Parietal Cortex: Spatial Processing</w:t>
      </w:r>
      <w:bookmarkEnd w:id="17"/>
    </w:p>
    <w:p w14:paraId="24836D18" w14:textId="7AE7A464" w:rsidR="00F85C41" w:rsidRPr="00F71F57" w:rsidRDefault="00801F1E" w:rsidP="00EE365E">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 xml:space="preserve">The parietal cortex serves as a critical hub for spatial processing and attention in the human brain. Its role encompasses a variety of cognitive functions, notably spatial cognition, attention distribution, and sensory integration. The posterior parietal cortex (PPC) participates extensively in the encoding of spatial information, functioning as a coordinate system for representing locations and objects within one's environment. This area integrates visual, sensory, and motor signals to facilitate spatial navigation and enhance attention to relevant stimuli </w:t>
      </w:r>
      <w:r w:rsidRPr="00F71F57">
        <w:rPr>
          <w:rFonts w:asciiTheme="majorBidi" w:hAnsiTheme="majorBidi" w:cstheme="majorBidi"/>
          <w:sz w:val="24"/>
          <w:szCs w:val="24"/>
          <w:lang w:val="en-GB" w:bidi="fa-IR"/>
        </w:rPr>
        <w:fldChar w:fldCharType="begin"/>
      </w:r>
      <w:r w:rsidRPr="00F71F57">
        <w:rPr>
          <w:rFonts w:asciiTheme="majorBidi" w:hAnsiTheme="majorBidi" w:cstheme="majorBidi"/>
          <w:sz w:val="24"/>
          <w:szCs w:val="24"/>
          <w:lang w:val="en-GB" w:bidi="fa-IR"/>
        </w:rPr>
        <w:instrText xml:space="preserve"> ADDIN EN.CITE &lt;EndNote&gt;&lt;Cite&gt;&lt;Author&gt;Rolls&lt;/Author&gt;&lt;Year&gt;2023&lt;/Year&gt;&lt;RecNum&gt;93&lt;/RecNum&gt;&lt;DisplayText&gt;(Rolls, 2023)&lt;/DisplayText&gt;&lt;record&gt;&lt;rec-number&gt;93&lt;/rec-number&gt;&lt;foreign-keys&gt;&lt;key app="EN" db-id="2ptrtps0adr9vke22dn5tpwzrsfaxtxrfwet" timestamp="1755678645"&gt;93&lt;/key&gt;&lt;/foreign-keys&gt;&lt;ref-type name="Journal Article"&gt;17&lt;/ref-type&gt;&lt;contributors&gt;&lt;authors&gt;&lt;author&gt;Rolls, Edmund T.&lt;/author&gt;&lt;/authors&gt;&lt;/contributors&gt;&lt;titles&gt;&lt;title&gt;The Parietal Cortex, Spatial Functions, and Navigation&lt;/title&gt;&lt;/titles&gt;&lt;pages&gt;459-474&lt;/pages&gt;&lt;dates&gt;&lt;year&gt;2023&lt;/year&gt;&lt;/dates&gt;&lt;urls&gt;&lt;/urls&gt;&lt;electronic-resource-num&gt;10.1093/oso/9780198887911.003.0010&lt;/electronic-resource-num&gt;&lt;/record&gt;&lt;/Cite&gt;&lt;/EndNote&gt;</w:instrText>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203" w:tooltip="Rolls, 2023 #93" w:history="1">
        <w:r w:rsidR="00DE113E" w:rsidRPr="00F71F57">
          <w:rPr>
            <w:rFonts w:asciiTheme="majorBidi" w:hAnsiTheme="majorBidi" w:cstheme="majorBidi"/>
            <w:sz w:val="24"/>
            <w:szCs w:val="24"/>
            <w:lang w:val="en-GB" w:bidi="fa-IR"/>
          </w:rPr>
          <w:t>Rolls, 2023</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B164C9"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Recent studies emphasize the PPC's involvement in both spatial and non-spatial aspects of visual attention. The notion of "priority maps" </w:t>
      </w:r>
      <w:r w:rsidRPr="00F71F57">
        <w:rPr>
          <w:rFonts w:asciiTheme="majorBidi" w:hAnsiTheme="majorBidi" w:cstheme="majorBidi"/>
          <w:sz w:val="24"/>
          <w:szCs w:val="24"/>
          <w:lang w:val="en-GB" w:bidi="fa-IR"/>
        </w:rPr>
        <w:lastRenderedPageBreak/>
        <w:t xml:space="preserve">within the parietal cortex highlights its capability to represent areas in the visual field that require attentional resources </w:t>
      </w:r>
      <w:r w:rsidRPr="00F71F57">
        <w:rPr>
          <w:rFonts w:asciiTheme="majorBidi" w:hAnsiTheme="majorBidi" w:cstheme="majorBidi"/>
          <w:sz w:val="24"/>
          <w:szCs w:val="24"/>
          <w:lang w:val="en-GB" w:bidi="fa-IR"/>
        </w:rPr>
        <w:fldChar w:fldCharType="begin"/>
      </w:r>
      <w:r w:rsidRPr="00F71F57">
        <w:rPr>
          <w:rFonts w:asciiTheme="majorBidi" w:hAnsiTheme="majorBidi" w:cstheme="majorBidi"/>
          <w:sz w:val="24"/>
          <w:szCs w:val="24"/>
          <w:lang w:val="en-GB" w:bidi="fa-IR"/>
        </w:rPr>
        <w:instrText xml:space="preserve"> ADDIN EN.CITE &lt;EndNote&gt;&lt;Cite&gt;&lt;Author&gt;Shomstein&lt;/Author&gt;&lt;Year&gt;2016&lt;/Year&gt;&lt;RecNum&gt;94&lt;/RecNum&gt;&lt;DisplayText&gt;(Shomstein &amp;amp; Gottlieb, 2016)&lt;/DisplayText&gt;&lt;record&gt;&lt;rec-number&gt;94&lt;/rec-number&gt;&lt;foreign-keys&gt;&lt;key app="EN" db-id="2ptrtps0adr9vke22dn5tpwzrsfaxtxrfwet" timestamp="1755678744"&gt;94&lt;/key&gt;&lt;/foreign-keys&gt;&lt;ref-type name="Journal Article"&gt;17&lt;/ref-type&gt;&lt;contributors&gt;&lt;authors&gt;&lt;author&gt;Shomstein, S.&lt;/author&gt;&lt;author&gt;Gottlieb, J.&lt;/author&gt;&lt;/authors&gt;&lt;/contributors&gt;&lt;auth-address&gt;Department of Psychology, George Washington University, United States. Electronic address: shom@gwu.edu.&amp;#xD;Department of Neuroscience, Columbia University, United States; The Kavli Institute for Brain Science, Columbia University, United States. Electronic address: jg2141@cumc.columbia.edu.&lt;/auth-address&gt;&lt;titles&gt;&lt;title&gt;Spatial and non-spatial aspects of visual attention: Interactive cognitive mechanisms and neural underpinnings&lt;/title&gt;&lt;secondary-title&gt;Neuropsychologia&lt;/secondary-title&gt;&lt;/titles&gt;&lt;periodical&gt;&lt;full-title&gt;Neuropsychologia&lt;/full-title&gt;&lt;/periodical&gt;&lt;pages&gt;9-19&lt;/pages&gt;&lt;volume&gt;92&lt;/volume&gt;&lt;edition&gt;2016/06/04&lt;/edition&gt;&lt;keywords&gt;&lt;keyword&gt;Animals&lt;/keyword&gt;&lt;keyword&gt;Attention/*physiology&lt;/keyword&gt;&lt;keyword&gt;Humans&lt;/keyword&gt;&lt;keyword&gt;Parietal Lobe/*physiology&lt;/keyword&gt;&lt;keyword&gt;Space Perception/*physiology&lt;/keyword&gt;&lt;keyword&gt;Human neuroimaging&lt;/keyword&gt;&lt;keyword&gt;Monkey physiology&lt;/keyword&gt;&lt;keyword&gt;Non-spatial attentional selection&lt;/keyword&gt;&lt;keyword&gt;Spatial attentional selection&lt;/keyword&gt;&lt;/keywords&gt;&lt;dates&gt;&lt;year&gt;2016&lt;/year&gt;&lt;pub-dates&gt;&lt;date&gt;Nov&lt;/date&gt;&lt;/pub-dates&gt;&lt;/dates&gt;&lt;isbn&gt;0028-3932&lt;/isbn&gt;&lt;accession-num&gt;27256592&lt;/accession-num&gt;&lt;urls&gt;&lt;/urls&gt;&lt;electronic-resource-num&gt;10.1016/j.neuropsychologia.2016.05.021&lt;/electronic-resource-num&gt;&lt;remote-database-provider&gt;NLM&lt;/remote-database-provider&gt;&lt;language&gt;eng&lt;/language&gt;&lt;/record&gt;&lt;/Cite&gt;&lt;/EndNote&gt;</w:instrText>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225" w:tooltip="Shomstein, 2016 #94" w:history="1">
        <w:r w:rsidR="00DE113E" w:rsidRPr="00F71F57">
          <w:rPr>
            <w:rFonts w:asciiTheme="majorBidi" w:hAnsiTheme="majorBidi" w:cstheme="majorBidi"/>
            <w:sz w:val="24"/>
            <w:szCs w:val="24"/>
            <w:lang w:val="en-GB" w:bidi="fa-IR"/>
          </w:rPr>
          <w:t>Shomstein &amp; Gottlieb, 2016</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These maps support the top-down modulation of attention, demonstrating the parietal cortex's role in filtering information based on behavioral goals </w:t>
      </w:r>
      <w:r w:rsidRPr="00F71F57">
        <w:rPr>
          <w:rFonts w:asciiTheme="majorBidi" w:hAnsiTheme="majorBidi" w:cstheme="majorBidi"/>
          <w:sz w:val="24"/>
          <w:szCs w:val="24"/>
          <w:lang w:val="en-GB" w:bidi="fa-IR"/>
        </w:rPr>
        <w:fldChar w:fldCharType="begin">
          <w:fldData xml:space="preserve">PEVuZE5vdGU+PENpdGU+PEF1dGhvcj5QdGFrPC9BdXRob3I+PFllYXI+MjAxMjwvWWVhcj48UmVj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==
</w:fldData>
        </w:fldChar>
      </w:r>
      <w:r w:rsidRPr="00F71F57">
        <w:rPr>
          <w:rFonts w:asciiTheme="majorBidi" w:hAnsiTheme="majorBidi" w:cstheme="majorBidi"/>
          <w:sz w:val="24"/>
          <w:szCs w:val="24"/>
          <w:lang w:val="en-GB" w:bidi="fa-IR"/>
        </w:rPr>
        <w:instrText xml:space="preserve"> ADDIN EN.CITE </w:instrText>
      </w:r>
      <w:r w:rsidRPr="00F71F57">
        <w:rPr>
          <w:rFonts w:asciiTheme="majorBidi" w:hAnsiTheme="majorBidi" w:cstheme="majorBidi"/>
          <w:sz w:val="24"/>
          <w:szCs w:val="24"/>
          <w:lang w:val="en-GB" w:bidi="fa-IR"/>
        </w:rPr>
        <w:fldChar w:fldCharType="begin">
          <w:fldData xml:space="preserve">PEVuZE5vdGU+PENpdGU+PEF1dGhvcj5QdGFrPC9BdXRob3I+PFllYXI+MjAxMjwvWWVhcj48UmVj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==
</w:fldData>
        </w:fldChar>
      </w:r>
      <w:r w:rsidRPr="00F71F57">
        <w:rPr>
          <w:rFonts w:asciiTheme="majorBidi" w:hAnsiTheme="majorBidi" w:cstheme="majorBidi"/>
          <w:sz w:val="24"/>
          <w:szCs w:val="24"/>
          <w:lang w:val="en-GB" w:bidi="fa-IR"/>
        </w:rPr>
        <w:instrText xml:space="preserve"> ADDIN EN.CITE.DATA </w:instrText>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52" w:tooltip="Corbetta, 2002 #95" w:history="1">
        <w:r w:rsidR="00DE113E" w:rsidRPr="00F71F57">
          <w:rPr>
            <w:rFonts w:asciiTheme="majorBidi" w:hAnsiTheme="majorBidi" w:cstheme="majorBidi"/>
            <w:sz w:val="24"/>
            <w:szCs w:val="24"/>
            <w:lang w:val="en-GB" w:bidi="fa-IR"/>
          </w:rPr>
          <w:t>Corbetta &amp; Shulman, 2002</w:t>
        </w:r>
      </w:hyperlink>
      <w:r w:rsidRPr="00F71F57">
        <w:rPr>
          <w:rFonts w:asciiTheme="majorBidi" w:hAnsiTheme="majorBidi" w:cstheme="majorBidi"/>
          <w:sz w:val="24"/>
          <w:szCs w:val="24"/>
          <w:lang w:val="en-GB" w:bidi="fa-IR"/>
        </w:rPr>
        <w:t xml:space="preserve">; </w:t>
      </w:r>
      <w:hyperlink w:anchor="_ENREF_190" w:tooltip="Ptak, 2012 #96" w:history="1">
        <w:r w:rsidR="00DE113E" w:rsidRPr="00F71F57">
          <w:rPr>
            <w:rFonts w:asciiTheme="majorBidi" w:hAnsiTheme="majorBidi" w:cstheme="majorBidi"/>
            <w:sz w:val="24"/>
            <w:szCs w:val="24"/>
            <w:lang w:val="en-GB" w:bidi="fa-IR"/>
          </w:rPr>
          <w:t>Ptak, 2012</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Neurological evidence supports this, as patients with parietal lesions exhibit deficits in spatial attention and disorders such as visual neglect and Balint's syndrome, which further characterize the functional implications of parietal damage on spatial cognition</w:t>
      </w:r>
      <w:r w:rsidR="004D425B" w:rsidRPr="00F71F57">
        <w:rPr>
          <w:lang w:val="en-GB"/>
        </w:rPr>
        <w:t xml:space="preserve"> </w:t>
      </w:r>
      <w:r w:rsidR="004D425B" w:rsidRPr="00F71F57">
        <w:rPr>
          <w:rFonts w:asciiTheme="majorBidi" w:hAnsiTheme="majorBidi" w:cstheme="majorBidi"/>
          <w:sz w:val="24"/>
          <w:szCs w:val="24"/>
          <w:lang w:val="en-GB" w:bidi="fa-IR"/>
        </w:rPr>
        <w:fldChar w:fldCharType="begin"/>
      </w:r>
      <w:r w:rsidR="00F61DBB" w:rsidRPr="00F71F57">
        <w:rPr>
          <w:rFonts w:asciiTheme="majorBidi" w:hAnsiTheme="majorBidi" w:cstheme="majorBidi"/>
          <w:sz w:val="24"/>
          <w:szCs w:val="24"/>
          <w:lang w:val="en-GB" w:bidi="fa-IR"/>
        </w:rPr>
        <w:instrText xml:space="preserve"> ADDIN EN.CITE &lt;EndNote&gt;&lt;Cite&gt;&lt;Author&gt;Ptak&lt;/Author&gt;&lt;Year&gt;2013&lt;/Year&gt;&lt;RecNum&gt;98&lt;/RecNum&gt;&lt;DisplayText&gt;(Ptak &amp;amp; Müri, 2013; Rolls, 2001)&lt;/DisplayText&gt;&lt;record&gt;&lt;rec-number&gt;98&lt;/rec-number&gt;&lt;foreign-keys&gt;&lt;key app="EN" db-id="2ptrtps0adr9vke22dn5tpwzrsfaxtxrfwet" timestamp="1755678999"&gt;98&lt;/key&gt;&lt;/foreign-keys&gt;&lt;ref-type name="Journal Article"&gt;17&lt;/ref-type&gt;&lt;contributors&gt;&lt;authors&gt;&lt;author&gt;Ptak, Radek&lt;/author&gt;&lt;author&gt;Müri, René M.&lt;/author&gt;&lt;/authors&gt;&lt;/contributors&gt;&lt;titles&gt;&lt;title&gt;The Parietal Cortex and Saccade Planning: Lessons From Human Lesion Studies&lt;/title&gt;&lt;secondary-title&gt;Frontiers in Human Neuroscience&lt;/secondary-title&gt;&lt;/titles&gt;&lt;periodical&gt;&lt;full-title&gt;Frontiers in Human Neuroscience&lt;/full-title&gt;&lt;/periodical&gt;&lt;volume&gt;7&lt;/volume&gt;&lt;dates&gt;&lt;year&gt;2013&lt;/year&gt;&lt;/dates&gt;&lt;urls&gt;&lt;/urls&gt;&lt;electronic-resource-num&gt;10.3389/fnhum.2013.00254&lt;/electronic-resource-num&gt;&lt;/record&gt;&lt;/Cite&gt;&lt;Cite&gt;&lt;Author&gt;Rolls&lt;/Author&gt;&lt;Year&gt;2001&lt;/Year&gt;&lt;RecNum&gt;97&lt;/RecNum&gt;&lt;record&gt;&lt;rec-number&gt;97&lt;/rec-number&gt;&lt;foreign-keys&gt;&lt;key app="EN" db-id="2ptrtps0adr9vke22dn5tpwzrsfaxtxrfwet" timestamp="1755678978"&gt;97&lt;/key&gt;&lt;/foreign-keys&gt;&lt;ref-type name="Journal Article"&gt;17&lt;/ref-type&gt;&lt;contributors&gt;&lt;authors&gt;&lt;author&gt;Rolls, Edmund T.&lt;/author&gt;&lt;/authors&gt;&lt;/contributors&gt;&lt;titles&gt;&lt;title&gt;The Parietal Cortex&lt;/title&gt;&lt;/titles&gt;&lt;pages&gt;70-80&lt;/pages&gt;&lt;dates&gt;&lt;year&gt;2001&lt;/year&gt;&lt;/dates&gt;&lt;urls&gt;&lt;/urls&gt;&lt;electronic-resource-num&gt;10.1093/acprof:oso/9780198524885.003.0004&lt;/electronic-resource-num&gt;&lt;/record&gt;&lt;/Cite&gt;&lt;/EndNote&gt;</w:instrText>
      </w:r>
      <w:r w:rsidR="004D425B" w:rsidRPr="00F71F57">
        <w:rPr>
          <w:rFonts w:asciiTheme="majorBidi" w:hAnsiTheme="majorBidi" w:cstheme="majorBidi"/>
          <w:sz w:val="24"/>
          <w:szCs w:val="24"/>
          <w:lang w:val="en-GB" w:bidi="fa-IR"/>
        </w:rPr>
        <w:fldChar w:fldCharType="separate"/>
      </w:r>
      <w:r w:rsidR="00F61DBB" w:rsidRPr="00F71F57">
        <w:rPr>
          <w:rFonts w:asciiTheme="majorBidi" w:hAnsiTheme="majorBidi" w:cstheme="majorBidi"/>
          <w:sz w:val="24"/>
          <w:szCs w:val="24"/>
          <w:lang w:val="en-GB" w:bidi="fa-IR"/>
        </w:rPr>
        <w:t>(</w:t>
      </w:r>
      <w:hyperlink w:anchor="_ENREF_191" w:tooltip="Ptak, 2013 #98" w:history="1">
        <w:r w:rsidR="00DE113E" w:rsidRPr="00F71F57">
          <w:rPr>
            <w:rFonts w:asciiTheme="majorBidi" w:hAnsiTheme="majorBidi" w:cstheme="majorBidi"/>
            <w:sz w:val="24"/>
            <w:szCs w:val="24"/>
            <w:lang w:val="en-GB" w:bidi="fa-IR"/>
          </w:rPr>
          <w:t>Ptak &amp; Müri, 2013</w:t>
        </w:r>
      </w:hyperlink>
      <w:r w:rsidR="00F61DBB" w:rsidRPr="00F71F57">
        <w:rPr>
          <w:rFonts w:asciiTheme="majorBidi" w:hAnsiTheme="majorBidi" w:cstheme="majorBidi"/>
          <w:sz w:val="24"/>
          <w:szCs w:val="24"/>
          <w:lang w:val="en-GB" w:bidi="fa-IR"/>
        </w:rPr>
        <w:t xml:space="preserve">; </w:t>
      </w:r>
      <w:hyperlink w:anchor="_ENREF_202" w:tooltip="Rolls, 2001 #97" w:history="1">
        <w:r w:rsidR="00DE113E" w:rsidRPr="00F71F57">
          <w:rPr>
            <w:rFonts w:asciiTheme="majorBidi" w:hAnsiTheme="majorBidi" w:cstheme="majorBidi"/>
            <w:sz w:val="24"/>
            <w:szCs w:val="24"/>
            <w:lang w:val="en-GB" w:bidi="fa-IR"/>
          </w:rPr>
          <w:t>Rolls, 2001</w:t>
        </w:r>
      </w:hyperlink>
      <w:r w:rsidR="00F61DBB" w:rsidRPr="00F71F57">
        <w:rPr>
          <w:rFonts w:asciiTheme="majorBidi" w:hAnsiTheme="majorBidi" w:cstheme="majorBidi"/>
          <w:sz w:val="24"/>
          <w:szCs w:val="24"/>
          <w:lang w:val="en-GB" w:bidi="fa-IR"/>
        </w:rPr>
        <w:t>)</w:t>
      </w:r>
      <w:r w:rsidR="004D425B" w:rsidRPr="00F71F57">
        <w:rPr>
          <w:rFonts w:asciiTheme="majorBidi" w:hAnsiTheme="majorBidi" w:cstheme="majorBidi"/>
          <w:sz w:val="24"/>
          <w:szCs w:val="24"/>
          <w:lang w:val="en-GB" w:bidi="fa-IR"/>
        </w:rPr>
        <w:fldChar w:fldCharType="end"/>
      </w:r>
      <w:r w:rsidR="004D425B" w:rsidRPr="00F71F57">
        <w:rPr>
          <w:lang w:val="en-GB"/>
        </w:rPr>
        <w:t>.</w:t>
      </w:r>
      <w:r w:rsidR="00B164C9"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Furthermore, the distribution of cognitive resources in the PPC is supported by its structural and functional variations, where different regions are activated depending on the type of task. For instance, studies reveal that the intraparietal sulcus contains distinct spatial maps that represent contralateral visual space</w:t>
      </w:r>
      <w:r w:rsidR="00B164C9" w:rsidRPr="00F71F57">
        <w:rPr>
          <w:rFonts w:asciiTheme="majorBidi" w:hAnsiTheme="majorBidi" w:cstheme="majorBidi"/>
          <w:sz w:val="24"/>
          <w:szCs w:val="24"/>
          <w:lang w:val="en-GB" w:bidi="fa-IR"/>
        </w:rPr>
        <w:t xml:space="preserve"> </w:t>
      </w:r>
      <w:r w:rsidR="00B164C9" w:rsidRPr="00F71F57">
        <w:rPr>
          <w:rFonts w:asciiTheme="majorBidi" w:hAnsiTheme="majorBidi" w:cstheme="majorBidi"/>
          <w:sz w:val="24"/>
          <w:szCs w:val="24"/>
          <w:lang w:val="en-GB" w:bidi="fa-IR"/>
        </w:rPr>
        <w:fldChar w:fldCharType="begin"/>
      </w:r>
      <w:r w:rsidR="00B164C9" w:rsidRPr="00F71F57">
        <w:rPr>
          <w:rFonts w:asciiTheme="majorBidi" w:hAnsiTheme="majorBidi" w:cstheme="majorBidi"/>
          <w:sz w:val="24"/>
          <w:szCs w:val="24"/>
          <w:lang w:val="en-GB" w:bidi="fa-IR"/>
        </w:rPr>
        <w:instrText xml:space="preserve"> ADDIN EN.CITE &lt;EndNote&gt;&lt;Cite&gt;&lt;Author&gt;Rosen&lt;/Author&gt;&lt;Year&gt;2015&lt;/Year&gt;&lt;RecNum&gt;99&lt;/RecNum&gt;&lt;DisplayText&gt;(Connolly et al., 2015; Rosen et al., 2015)&lt;/DisplayText&gt;&lt;record&gt;&lt;rec-number&gt;99&lt;/rec-number&gt;&lt;foreign-keys&gt;&lt;key app="EN" db-id="2ptrtps0adr9vke22dn5tpwzrsfaxtxrfwet" timestamp="1755679219"&gt;99&lt;/key&gt;&lt;/foreign-keys&gt;&lt;ref-type name="Journal Article"&gt;17&lt;/ref-type&gt;&lt;contributors&gt;&lt;authors&gt;&lt;author&gt;Rosen, M. L.&lt;/author&gt;&lt;author&gt;Stern, Chantal E.&lt;/author&gt;&lt;author&gt;Michalka, Samantha&lt;/author&gt;&lt;author&gt;Devaney, Kathryn J.&lt;/author&gt;&lt;author&gt;Somers, David C.&lt;/author&gt;&lt;/authors&gt;&lt;/contributors&gt;&lt;titles&gt;&lt;title&gt;Influences of Long-Term Memory-Guided Attention and Stimulus-Guided Attention on Visuospatial Representations Within Human Intraparietal Sulcus&lt;/title&gt;&lt;secondary-title&gt;Journal of Neuroscience&lt;/secondary-title&gt;&lt;/titles&gt;&lt;periodical&gt;&lt;full-title&gt;Journal of Neuroscience&lt;/full-title&gt;&lt;/periodical&gt;&lt;pages&gt;11358-11363&lt;/pages&gt;&lt;volume&gt;35&lt;/volume&gt;&lt;number&gt;32&lt;/number&gt;&lt;dates&gt;&lt;year&gt;2015&lt;/year&gt;&lt;/dates&gt;&lt;urls&gt;&lt;/urls&gt;&lt;electronic-resource-num&gt;10.1523/jneurosci.1055-15.2015&lt;/electronic-resource-num&gt;&lt;/record&gt;&lt;/Cite&gt;&lt;Cite&gt;&lt;Author&gt;Connolly&lt;/Author&gt;&lt;Year&gt;2015&lt;/Year&gt;&lt;RecNum&gt;100&lt;/RecNum&gt;&lt;record&gt;&lt;rec-number&gt;100&lt;/rec-number&gt;&lt;foreign-keys&gt;&lt;key app="EN" db-id="2ptrtps0adr9vke22dn5tpwzrsfaxtxrfwet" timestamp="1755679245"&gt;100&lt;/key&gt;&lt;/foreign-keys&gt;&lt;ref-type name="Journal Article"&gt;17&lt;/ref-type&gt;&lt;contributors&gt;&lt;authors&gt;&lt;author&gt;Connolly, Jason D.&lt;/author&gt;&lt;author&gt;Kentridge, Robert W.&lt;/author&gt;&lt;author&gt;Cavina‐Pratesi, Cristiana&lt;/author&gt;&lt;/authors&gt;&lt;/contributors&gt;&lt;titles&gt;&lt;title&gt;Coding of Attention Across the Human Intraparietal Sulcus&lt;/title&gt;&lt;secondary-title&gt;Experimental Brain Research&lt;/secondary-title&gt;&lt;/titles&gt;&lt;periodical&gt;&lt;full-title&gt;Experimental Brain Research&lt;/full-title&gt;&lt;/periodical&gt;&lt;pages&gt;917-930&lt;/pages&gt;&lt;volume&gt;234&lt;/volume&gt;&lt;number&gt;3&lt;/number&gt;&lt;dates&gt;&lt;year&gt;2015&lt;/year&gt;&lt;/dates&gt;&lt;urls&gt;&lt;/urls&gt;&lt;electronic-resource-num&gt;10.1007/s00221-015-4507-2&lt;/electronic-resource-num&gt;&lt;/record&gt;&lt;/Cite&gt;&lt;/EndNote&gt;</w:instrText>
      </w:r>
      <w:r w:rsidR="00B164C9" w:rsidRPr="00F71F57">
        <w:rPr>
          <w:rFonts w:asciiTheme="majorBidi" w:hAnsiTheme="majorBidi" w:cstheme="majorBidi"/>
          <w:sz w:val="24"/>
          <w:szCs w:val="24"/>
          <w:lang w:val="en-GB" w:bidi="fa-IR"/>
        </w:rPr>
        <w:fldChar w:fldCharType="separate"/>
      </w:r>
      <w:r w:rsidR="00B164C9" w:rsidRPr="00F71F57">
        <w:rPr>
          <w:rFonts w:asciiTheme="majorBidi" w:hAnsiTheme="majorBidi" w:cstheme="majorBidi"/>
          <w:sz w:val="24"/>
          <w:szCs w:val="24"/>
          <w:lang w:val="en-GB" w:bidi="fa-IR"/>
        </w:rPr>
        <w:t>(</w:t>
      </w:r>
      <w:hyperlink w:anchor="_ENREF_51" w:tooltip="Connolly, 2015 #100" w:history="1">
        <w:r w:rsidR="00DE113E" w:rsidRPr="00F71F57">
          <w:rPr>
            <w:rFonts w:asciiTheme="majorBidi" w:hAnsiTheme="majorBidi" w:cstheme="majorBidi"/>
            <w:sz w:val="24"/>
            <w:szCs w:val="24"/>
            <w:lang w:val="en-GB" w:bidi="fa-IR"/>
          </w:rPr>
          <w:t>Connolly et al., 2015</w:t>
        </w:r>
      </w:hyperlink>
      <w:r w:rsidR="00B164C9" w:rsidRPr="00F71F57">
        <w:rPr>
          <w:rFonts w:asciiTheme="majorBidi" w:hAnsiTheme="majorBidi" w:cstheme="majorBidi"/>
          <w:sz w:val="24"/>
          <w:szCs w:val="24"/>
          <w:lang w:val="en-GB" w:bidi="fa-IR"/>
        </w:rPr>
        <w:t xml:space="preserve">; </w:t>
      </w:r>
      <w:hyperlink w:anchor="_ENREF_207" w:tooltip="Rosen, 2015 #99" w:history="1">
        <w:r w:rsidR="00DE113E" w:rsidRPr="00F71F57">
          <w:rPr>
            <w:rFonts w:asciiTheme="majorBidi" w:hAnsiTheme="majorBidi" w:cstheme="majorBidi"/>
            <w:sz w:val="24"/>
            <w:szCs w:val="24"/>
            <w:lang w:val="en-GB" w:bidi="fa-IR"/>
          </w:rPr>
          <w:t>Rosen et al., 2015</w:t>
        </w:r>
      </w:hyperlink>
      <w:r w:rsidR="00B164C9" w:rsidRPr="00F71F57">
        <w:rPr>
          <w:rFonts w:asciiTheme="majorBidi" w:hAnsiTheme="majorBidi" w:cstheme="majorBidi"/>
          <w:sz w:val="24"/>
          <w:szCs w:val="24"/>
          <w:lang w:val="en-GB" w:bidi="fa-IR"/>
        </w:rPr>
        <w:t>)</w:t>
      </w:r>
      <w:r w:rsidR="00B164C9" w:rsidRPr="00F71F57">
        <w:rPr>
          <w:rFonts w:asciiTheme="majorBidi" w:hAnsiTheme="majorBidi" w:cstheme="majorBidi"/>
          <w:sz w:val="24"/>
          <w:szCs w:val="24"/>
          <w:lang w:val="en-GB" w:bidi="fa-IR"/>
        </w:rPr>
        <w:fldChar w:fldCharType="end"/>
      </w:r>
      <w:r w:rsidR="007861B2"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These maps not only facilitate visual attention but also engage in memory retrieval processes that align with spatial cognition, indicating a relationship between spatial representation and memory </w:t>
      </w:r>
      <w:r w:rsidR="00B164C9" w:rsidRPr="00F71F57">
        <w:rPr>
          <w:rFonts w:asciiTheme="majorBidi" w:hAnsiTheme="majorBidi" w:cstheme="majorBidi"/>
          <w:sz w:val="24"/>
          <w:szCs w:val="24"/>
          <w:lang w:val="en-GB" w:bidi="fa-IR"/>
        </w:rPr>
        <w:fldChar w:fldCharType="begin"/>
      </w:r>
      <w:r w:rsidR="00F61DBB" w:rsidRPr="00F71F57">
        <w:rPr>
          <w:rFonts w:asciiTheme="majorBidi" w:hAnsiTheme="majorBidi" w:cstheme="majorBidi"/>
          <w:sz w:val="24"/>
          <w:szCs w:val="24"/>
          <w:lang w:val="en-GB" w:bidi="fa-IR"/>
        </w:rPr>
        <w:instrText xml:space="preserve"> ADDIN EN.CITE &lt;EndNote&gt;&lt;Cite&gt;&lt;Author&gt;Rosen&lt;/Author&gt;&lt;Year&gt;2015&lt;/Year&gt;&lt;RecNum&gt;99&lt;/RecNum&gt;&lt;DisplayText&gt;(Das &amp;amp; Menon, 2024; Rosen et al., 2015)&lt;/DisplayText&gt;&lt;record&gt;&lt;rec-number&gt;99&lt;/rec-number&gt;&lt;foreign-keys&gt;&lt;key app="EN" db-id="2ptrtps0adr9vke22dn5tpwzrsfaxtxrfwet" timestamp="1755679219"&gt;99&lt;/key&gt;&lt;/foreign-keys&gt;&lt;ref-type name="Journal Article"&gt;17&lt;/ref-type&gt;&lt;contributors&gt;&lt;authors&gt;&lt;author&gt;Rosen, M. L.&lt;/author&gt;&lt;author&gt;Stern, Chantal E.&lt;/author&gt;&lt;author&gt;Michalka, Samantha&lt;/author&gt;&lt;author&gt;Devaney, Kathryn J.&lt;/author&gt;&lt;author&gt;Somers, David C.&lt;/author&gt;&lt;/authors&gt;&lt;/contributors&gt;&lt;titles&gt;&lt;title&gt;Influences of Long-Term Memory-Guided Attention and Stimulus-Guided Attention on Visuospatial Representations Within Human Intraparietal Sulcus&lt;/title&gt;&lt;secondary-title&gt;Journal of Neuroscience&lt;/secondary-title&gt;&lt;/titles&gt;&lt;periodical&gt;&lt;full-title&gt;Journal of Neuroscience&lt;/full-title&gt;&lt;/periodical&gt;&lt;pages&gt;11358-11363&lt;/pages&gt;&lt;volume&gt;35&lt;/volume&gt;&lt;number&gt;32&lt;/number&gt;&lt;dates&gt;&lt;year&gt;2015&lt;/year&gt;&lt;/dates&gt;&lt;urls&gt;&lt;/urls&gt;&lt;electronic-resource-num&gt;10.1523/jneurosci.1055-15.2015&lt;/electronic-resource-num&gt;&lt;/record&gt;&lt;/Cite&gt;&lt;Cite&gt;&lt;Author&gt;Das&lt;/Author&gt;&lt;Year&gt;2024&lt;/Year&gt;&lt;RecNum&gt;101&lt;/RecNum&gt;&lt;record&gt;&lt;rec-number&gt;101&lt;/rec-number&gt;&lt;foreign-keys&gt;&lt;key app="EN" db-id="2ptrtps0adr9vke22dn5tpwzrsfaxtxrfwet" timestamp="1755679371"&gt;101&lt;/key&gt;&lt;/foreign-keys&gt;&lt;ref-type name="Journal Article"&gt;17&lt;/ref-type&gt;&lt;contributors&gt;&lt;authors&gt;&lt;author&gt;Das, Anup&lt;/author&gt;&lt;author&gt;Menon, Vinod&lt;/author&gt;&lt;/authors&gt;&lt;/contributors&gt;&lt;titles&gt;&lt;title&gt;Frequency-Specific Directed Connectivity Between the Hippocampus and Parietal Cortex During Verbal and Spatial Episodic Memory: An Intracranial EEG Replication&lt;/title&gt;&lt;secondary-title&gt;Cerebral Cortex&lt;/secondary-title&gt;&lt;/titles&gt;&lt;periodical&gt;&lt;full-title&gt;Cerebral Cortex&lt;/full-title&gt;&lt;/periodical&gt;&lt;volume&gt;34&lt;/volume&gt;&lt;number&gt;7&lt;/number&gt;&lt;dates&gt;&lt;year&gt;2024&lt;/year&gt;&lt;/dates&gt;&lt;urls&gt;&lt;/urls&gt;&lt;electronic-resource-num&gt;10.1093/cercor/bhae287&lt;/electronic-resource-num&gt;&lt;/record&gt;&lt;/Cite&gt;&lt;/EndNote&gt;</w:instrText>
      </w:r>
      <w:r w:rsidR="00B164C9" w:rsidRPr="00F71F57">
        <w:rPr>
          <w:rFonts w:asciiTheme="majorBidi" w:hAnsiTheme="majorBidi" w:cstheme="majorBidi"/>
          <w:sz w:val="24"/>
          <w:szCs w:val="24"/>
          <w:lang w:val="en-GB" w:bidi="fa-IR"/>
        </w:rPr>
        <w:fldChar w:fldCharType="separate"/>
      </w:r>
      <w:r w:rsidR="00F61DBB" w:rsidRPr="00F71F57">
        <w:rPr>
          <w:rFonts w:asciiTheme="majorBidi" w:hAnsiTheme="majorBidi" w:cstheme="majorBidi"/>
          <w:sz w:val="24"/>
          <w:szCs w:val="24"/>
          <w:lang w:val="en-GB" w:bidi="fa-IR"/>
        </w:rPr>
        <w:t>(</w:t>
      </w:r>
      <w:hyperlink w:anchor="_ENREF_55" w:tooltip="Das, 2024 #101" w:history="1">
        <w:r w:rsidR="00DE113E" w:rsidRPr="00F71F57">
          <w:rPr>
            <w:rFonts w:asciiTheme="majorBidi" w:hAnsiTheme="majorBidi" w:cstheme="majorBidi"/>
            <w:sz w:val="24"/>
            <w:szCs w:val="24"/>
            <w:lang w:val="en-GB" w:bidi="fa-IR"/>
          </w:rPr>
          <w:t>Das &amp; Menon, 2024</w:t>
        </w:r>
      </w:hyperlink>
      <w:r w:rsidR="00F61DBB" w:rsidRPr="00F71F57">
        <w:rPr>
          <w:rFonts w:asciiTheme="majorBidi" w:hAnsiTheme="majorBidi" w:cstheme="majorBidi"/>
          <w:sz w:val="24"/>
          <w:szCs w:val="24"/>
          <w:lang w:val="en-GB" w:bidi="fa-IR"/>
        </w:rPr>
        <w:t xml:space="preserve">; </w:t>
      </w:r>
      <w:hyperlink w:anchor="_ENREF_207" w:tooltip="Rosen, 2015 #99" w:history="1">
        <w:r w:rsidR="00DE113E" w:rsidRPr="00F71F57">
          <w:rPr>
            <w:rFonts w:asciiTheme="majorBidi" w:hAnsiTheme="majorBidi" w:cstheme="majorBidi"/>
            <w:sz w:val="24"/>
            <w:szCs w:val="24"/>
            <w:lang w:val="en-GB" w:bidi="fa-IR"/>
          </w:rPr>
          <w:t>Rosen et al., 2015</w:t>
        </w:r>
      </w:hyperlink>
      <w:r w:rsidR="00F61DBB" w:rsidRPr="00F71F57">
        <w:rPr>
          <w:rFonts w:asciiTheme="majorBidi" w:hAnsiTheme="majorBidi" w:cstheme="majorBidi"/>
          <w:sz w:val="24"/>
          <w:szCs w:val="24"/>
          <w:lang w:val="en-GB" w:bidi="fa-IR"/>
        </w:rPr>
        <w:t>)</w:t>
      </w:r>
      <w:r w:rsidR="00B164C9" w:rsidRPr="00F71F57">
        <w:rPr>
          <w:rFonts w:asciiTheme="majorBidi" w:hAnsiTheme="majorBidi" w:cstheme="majorBidi"/>
          <w:sz w:val="24"/>
          <w:szCs w:val="24"/>
          <w:lang w:val="en-GB" w:bidi="fa-IR"/>
        </w:rPr>
        <w:fldChar w:fldCharType="end"/>
      </w:r>
      <w:r w:rsidR="00B164C9"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The mechanistic role of the parietal cortex in saccadic eye movements further illustrates its functional importance. The PPC is involved in planning and executing eye movements toward targets in space, integrating sensory input with motor output</w:t>
      </w:r>
      <w:r w:rsidR="00B164C9" w:rsidRPr="00F71F57">
        <w:rPr>
          <w:rFonts w:asciiTheme="majorBidi" w:hAnsiTheme="majorBidi" w:cstheme="majorBidi"/>
          <w:sz w:val="24"/>
          <w:szCs w:val="24"/>
          <w:lang w:val="en-GB" w:bidi="fa-IR"/>
        </w:rPr>
        <w:t xml:space="preserve"> </w:t>
      </w:r>
      <w:r w:rsidR="00B164C9" w:rsidRPr="00F71F57">
        <w:rPr>
          <w:rFonts w:asciiTheme="majorBidi" w:hAnsiTheme="majorBidi" w:cstheme="majorBidi"/>
          <w:sz w:val="24"/>
          <w:szCs w:val="24"/>
          <w:lang w:val="en-GB" w:bidi="fa-IR"/>
        </w:rPr>
        <w:fldChar w:fldCharType="begin"/>
      </w:r>
      <w:r w:rsidR="00B164C9" w:rsidRPr="00F71F57">
        <w:rPr>
          <w:rFonts w:asciiTheme="majorBidi" w:hAnsiTheme="majorBidi" w:cstheme="majorBidi"/>
          <w:sz w:val="24"/>
          <w:szCs w:val="24"/>
          <w:lang w:val="en-GB" w:bidi="fa-IR"/>
        </w:rPr>
        <w:instrText xml:space="preserve"> ADDIN EN.CITE &lt;EndNote&gt;&lt;Cite&gt;&lt;Author&gt;Ptak&lt;/Author&gt;&lt;Year&gt;2013&lt;/Year&gt;&lt;RecNum&gt;98&lt;/RecNum&gt;&lt;DisplayText&gt;(Ptak &amp;amp; Müri, 2013)&lt;/DisplayText&gt;&lt;record&gt;&lt;rec-number&gt;98&lt;/rec-number&gt;&lt;foreign-keys&gt;&lt;key app="EN" db-id="2ptrtps0adr9vke22dn5tpwzrsfaxtxrfwet" timestamp="1755678999"&gt;98&lt;/key&gt;&lt;/foreign-keys&gt;&lt;ref-type name="Journal Article"&gt;17&lt;/ref-type&gt;&lt;contributors&gt;&lt;authors&gt;&lt;author&gt;Ptak, Radek&lt;/author&gt;&lt;author&gt;Müri, René M.&lt;/author&gt;&lt;/authors&gt;&lt;/contributors&gt;&lt;titles&gt;&lt;title&gt;The Parietal Cortex and Saccade Planning: Lessons From Human Lesion Studies&lt;/title&gt;&lt;secondary-title&gt;Frontiers in Human Neuroscience&lt;/secondary-title&gt;&lt;/titles&gt;&lt;periodical&gt;&lt;full-title&gt;Frontiers in Human Neuroscience&lt;/full-title&gt;&lt;/periodical&gt;&lt;volume&gt;7&lt;/volume&gt;&lt;dates&gt;&lt;year&gt;2013&lt;/year&gt;&lt;/dates&gt;&lt;urls&gt;&lt;/urls&gt;&lt;electronic-resource-num&gt;10.3389/fnhum.2013.00254&lt;/electronic-resource-num&gt;&lt;/record&gt;&lt;/Cite&gt;&lt;/EndNote&gt;</w:instrText>
      </w:r>
      <w:r w:rsidR="00B164C9" w:rsidRPr="00F71F57">
        <w:rPr>
          <w:rFonts w:asciiTheme="majorBidi" w:hAnsiTheme="majorBidi" w:cstheme="majorBidi"/>
          <w:sz w:val="24"/>
          <w:szCs w:val="24"/>
          <w:lang w:val="en-GB" w:bidi="fa-IR"/>
        </w:rPr>
        <w:fldChar w:fldCharType="separate"/>
      </w:r>
      <w:r w:rsidR="00B164C9" w:rsidRPr="00F71F57">
        <w:rPr>
          <w:rFonts w:asciiTheme="majorBidi" w:hAnsiTheme="majorBidi" w:cstheme="majorBidi"/>
          <w:sz w:val="24"/>
          <w:szCs w:val="24"/>
          <w:lang w:val="en-GB" w:bidi="fa-IR"/>
        </w:rPr>
        <w:t>(</w:t>
      </w:r>
      <w:hyperlink w:anchor="_ENREF_191" w:tooltip="Ptak, 2013 #98" w:history="1">
        <w:r w:rsidR="00DE113E" w:rsidRPr="00F71F57">
          <w:rPr>
            <w:rFonts w:asciiTheme="majorBidi" w:hAnsiTheme="majorBidi" w:cstheme="majorBidi"/>
            <w:sz w:val="24"/>
            <w:szCs w:val="24"/>
            <w:lang w:val="en-GB" w:bidi="fa-IR"/>
          </w:rPr>
          <w:t>Ptak &amp; Müri, 2013</w:t>
        </w:r>
      </w:hyperlink>
      <w:r w:rsidR="00B164C9" w:rsidRPr="00F71F57">
        <w:rPr>
          <w:rFonts w:asciiTheme="majorBidi" w:hAnsiTheme="majorBidi" w:cstheme="majorBidi"/>
          <w:sz w:val="24"/>
          <w:szCs w:val="24"/>
          <w:lang w:val="en-GB" w:bidi="fa-IR"/>
        </w:rPr>
        <w:t>)</w:t>
      </w:r>
      <w:r w:rsidR="00B164C9"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research utilizing transcranial magnetic stimulation (TMS) indicates that specific parietal subregions are engaged during different phases of spatial attention, showcasing how the parietal cortex mediates attentional shifts across various sensory modalities </w:t>
      </w:r>
      <w:r w:rsidR="00B164C9" w:rsidRPr="00F71F57">
        <w:rPr>
          <w:rFonts w:asciiTheme="majorBidi" w:hAnsiTheme="majorBidi" w:cstheme="majorBidi"/>
          <w:sz w:val="24"/>
          <w:szCs w:val="24"/>
          <w:lang w:val="en-GB" w:bidi="fa-IR"/>
        </w:rPr>
        <w:fldChar w:fldCharType="begin"/>
      </w:r>
      <w:r w:rsidR="00B164C9" w:rsidRPr="00F71F57">
        <w:rPr>
          <w:rFonts w:asciiTheme="majorBidi" w:hAnsiTheme="majorBidi" w:cstheme="majorBidi"/>
          <w:sz w:val="24"/>
          <w:szCs w:val="24"/>
          <w:lang w:val="en-GB" w:bidi="fa-IR"/>
        </w:rPr>
        <w:instrText xml:space="preserve"> ADDIN EN.CITE &lt;EndNote&gt;&lt;Cite&gt;&lt;Author&gt;Chambers&lt;/Author&gt;&lt;Year&gt;2004&lt;/Year&gt;&lt;RecNum&gt;102&lt;/RecNum&gt;&lt;DisplayText&gt;(Chambers et al., 2004)&lt;/DisplayText&gt;&lt;record&gt;&lt;rec-number&gt;102&lt;/rec-number&gt;&lt;foreign-keys&gt;&lt;key app="EN" db-id="2ptrtps0adr9vke22dn5tpwzrsfaxtxrfwet" timestamp="1755679498"&gt;102&lt;/key&gt;&lt;/foreign-keys&gt;&lt;ref-type name="Journal Article"&gt;17&lt;/ref-type&gt;&lt;contributors&gt;&lt;authors&gt;&lt;author&gt;Chambers, Chris&lt;/author&gt;&lt;author&gt;Payne, Jonathan M.&lt;/author&gt;&lt;author&gt;Stokes, Mark G.&lt;/author&gt;&lt;author&gt;Mattingley, Jason B.&lt;/author&gt;&lt;/authors&gt;&lt;/contributors&gt;&lt;titles&gt;&lt;title&gt;Fast and Slow Parietal Pathways Mediate Spatial Attention&lt;/title&gt;&lt;secondary-title&gt;Nature Neuroscience&lt;/secondary-title&gt;&lt;/titles&gt;&lt;periodical&gt;&lt;full-title&gt;Nature Neuroscience&lt;/full-title&gt;&lt;/periodical&gt;&lt;pages&gt;217-218&lt;/pages&gt;&lt;volume&gt;7&lt;/volume&gt;&lt;number&gt;3&lt;/number&gt;&lt;dates&gt;&lt;year&gt;2004&lt;/year&gt;&lt;/dates&gt;&lt;urls&gt;&lt;/urls&gt;&lt;electronic-resource-num&gt;10.1038/nn1203&lt;/electronic-resource-num&gt;&lt;/record&gt;&lt;/Cite&gt;&lt;/EndNote&gt;</w:instrText>
      </w:r>
      <w:r w:rsidR="00B164C9" w:rsidRPr="00F71F57">
        <w:rPr>
          <w:rFonts w:asciiTheme="majorBidi" w:hAnsiTheme="majorBidi" w:cstheme="majorBidi"/>
          <w:sz w:val="24"/>
          <w:szCs w:val="24"/>
          <w:lang w:val="en-GB" w:bidi="fa-IR"/>
        </w:rPr>
        <w:fldChar w:fldCharType="separate"/>
      </w:r>
      <w:r w:rsidR="00B164C9" w:rsidRPr="00F71F57">
        <w:rPr>
          <w:rFonts w:asciiTheme="majorBidi" w:hAnsiTheme="majorBidi" w:cstheme="majorBidi"/>
          <w:sz w:val="24"/>
          <w:szCs w:val="24"/>
          <w:lang w:val="en-GB" w:bidi="fa-IR"/>
        </w:rPr>
        <w:t>(</w:t>
      </w:r>
      <w:hyperlink w:anchor="_ENREF_41" w:tooltip="Chambers, 2004 #102" w:history="1">
        <w:r w:rsidR="00DE113E" w:rsidRPr="00F71F57">
          <w:rPr>
            <w:rFonts w:asciiTheme="majorBidi" w:hAnsiTheme="majorBidi" w:cstheme="majorBidi"/>
            <w:sz w:val="24"/>
            <w:szCs w:val="24"/>
            <w:lang w:val="en-GB" w:bidi="fa-IR"/>
          </w:rPr>
          <w:t>Chambers et al., 2004</w:t>
        </w:r>
      </w:hyperlink>
      <w:r w:rsidR="00B164C9" w:rsidRPr="00F71F57">
        <w:rPr>
          <w:rFonts w:asciiTheme="majorBidi" w:hAnsiTheme="majorBidi" w:cstheme="majorBidi"/>
          <w:sz w:val="24"/>
          <w:szCs w:val="24"/>
          <w:lang w:val="en-GB" w:bidi="fa-IR"/>
        </w:rPr>
        <w:t>)</w:t>
      </w:r>
      <w:r w:rsidR="00B164C9" w:rsidRPr="00F71F57">
        <w:rPr>
          <w:rFonts w:asciiTheme="majorBidi" w:hAnsiTheme="majorBidi" w:cstheme="majorBidi"/>
          <w:sz w:val="24"/>
          <w:szCs w:val="24"/>
          <w:lang w:val="en-GB" w:bidi="fa-IR"/>
        </w:rPr>
        <w:fldChar w:fldCharType="end"/>
      </w:r>
      <w:r w:rsidR="00B164C9"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Overall, the parietal cortex is indispensable for effective spatial processing, facilitating nearly all aspects of spatial attention, sensory integration, and memory encoding. Understanding its cognitive roles is critical for elucidating the neural underpinnings of spatial awareness and for addressing the implications of parietal dysfunction in clinical settings.</w:t>
      </w:r>
    </w:p>
    <w:p w14:paraId="0DBF6E50" w14:textId="259F01C5" w:rsidR="003C3477" w:rsidRPr="00F71F57" w:rsidRDefault="00B164C9" w:rsidP="00D623DE">
      <w:pPr>
        <w:pStyle w:val="Heading3"/>
        <w:ind w:left="1080"/>
        <w:rPr>
          <w:lang w:val="en-GB" w:bidi="fa-IR"/>
        </w:rPr>
      </w:pPr>
      <w:bookmarkStart w:id="18" w:name="_Toc214875826"/>
      <w:r w:rsidRPr="00F71F57">
        <w:rPr>
          <w:lang w:val="en-GB" w:bidi="fa-IR"/>
        </w:rPr>
        <w:lastRenderedPageBreak/>
        <w:t>1.2.2 Molecular and Cellular Mechanisms of Cognitive Decline</w:t>
      </w:r>
      <w:bookmarkEnd w:id="18"/>
    </w:p>
    <w:p w14:paraId="1DA3DE92" w14:textId="10E2EDC1" w:rsidR="00C328AD" w:rsidRPr="00F71F57" w:rsidRDefault="005009FB" w:rsidP="00984E32">
      <w:pPr>
        <w:pStyle w:val="Heading4"/>
        <w:rPr>
          <w:lang w:bidi="fa-IR"/>
        </w:rPr>
      </w:pPr>
      <w:bookmarkStart w:id="19" w:name="_Toc214875827"/>
      <w:r w:rsidRPr="00F71F57">
        <w:rPr>
          <w:lang w:bidi="fa-IR"/>
        </w:rPr>
        <w:t>1.2.2.1 Tau and Amyloid Pathology</w:t>
      </w:r>
      <w:bookmarkEnd w:id="19"/>
    </w:p>
    <w:p w14:paraId="1584EFE6" w14:textId="3A6B5E84" w:rsidR="00244365" w:rsidRPr="00F71F57" w:rsidRDefault="00603DA1"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Tau and amyloid pathology have emerged as central players in the realm of neurodegenerative diseases, particularly Alzheimer's disease (AD) and various tauopathies. These pathologies are characterized by the abnormal accumulation of tau protein in neurofibrillary tangles (NFTs) and amyloid-beta (Aβ) plaques, respectively, profoundly impacting neuronal function and cognitive abilities.</w:t>
      </w:r>
      <w:r w:rsidR="00091099"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 presence of hyperphosphorylated tau is particularly detrimental, as it destabilizes microtubules that are essential for axonal transport, thus leading to neuronal degeneration </w:t>
      </w:r>
      <w:r w:rsidRPr="00F71F57">
        <w:rPr>
          <w:rFonts w:asciiTheme="majorBidi" w:hAnsiTheme="majorBidi" w:cstheme="majorBidi"/>
          <w:sz w:val="24"/>
          <w:szCs w:val="24"/>
          <w:lang w:val="en-GB" w:bidi="fa-IR"/>
        </w:rPr>
        <w:fldChar w:fldCharType="begin">
          <w:fldData xml:space="preserve">PEVuZE5vdGU+PENpdGU+PEF1dGhvcj7FoGltacSHPC9BdXRob3I+PFllYXI+MjAxNjwvWWVhcj48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</w:fldData>
        </w:fldChar>
      </w:r>
      <w:r w:rsidRPr="00F71F57">
        <w:rPr>
          <w:rFonts w:asciiTheme="majorBidi" w:hAnsiTheme="majorBidi" w:cstheme="majorBidi"/>
          <w:sz w:val="24"/>
          <w:szCs w:val="24"/>
          <w:lang w:val="en-GB" w:bidi="fa-IR"/>
        </w:rPr>
        <w:instrText xml:space="preserve"> ADDIN EN.CITE </w:instrText>
      </w:r>
      <w:r w:rsidRPr="00F71F57">
        <w:rPr>
          <w:rFonts w:asciiTheme="majorBidi" w:hAnsiTheme="majorBidi" w:cstheme="majorBidi"/>
          <w:sz w:val="24"/>
          <w:szCs w:val="24"/>
          <w:lang w:val="en-GB" w:bidi="fa-IR"/>
        </w:rPr>
        <w:fldChar w:fldCharType="begin">
          <w:fldData xml:space="preserve">PEVuZE5vdGU+PENpdGU+PEF1dGhvcj7FoGltacSHPC9BdXRob3I+PFllYXI+MjAxNjwvWWVhcj48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</w:fldData>
        </w:fldChar>
      </w:r>
      <w:r w:rsidRPr="00F71F57">
        <w:rPr>
          <w:rFonts w:asciiTheme="majorBidi" w:hAnsiTheme="majorBidi" w:cstheme="majorBidi"/>
          <w:sz w:val="24"/>
          <w:szCs w:val="24"/>
          <w:lang w:val="en-GB" w:bidi="fa-IR"/>
        </w:rPr>
        <w:instrText xml:space="preserve"> ADDIN EN.CITE.DATA </w:instrText>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226" w:tooltip="Šimić, 2016 #103" w:history="1">
        <w:r w:rsidR="00DE113E" w:rsidRPr="00F71F57">
          <w:rPr>
            <w:rFonts w:asciiTheme="majorBidi" w:hAnsiTheme="majorBidi" w:cstheme="majorBidi"/>
            <w:sz w:val="24"/>
            <w:szCs w:val="24"/>
            <w:lang w:val="en-GB" w:bidi="fa-IR"/>
          </w:rPr>
          <w:t>Šimić et al., 2016</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NFTs, the hallmark of tauopathies, are closely associated with cognitive dysfunction across various neurodegenerative diseases, serving as a reliable biomarker of disease severity. Research indicates that the burden of tau pathology is often more closely correlated with cognitive decline than amyloid plaque accumulation, suggesting that tau might drive the neurodegenerative process more directly than Aβ </w:t>
      </w:r>
      <w:r w:rsidRPr="00F71F57">
        <w:rPr>
          <w:rFonts w:asciiTheme="majorBidi" w:hAnsiTheme="majorBidi" w:cstheme="majorBidi"/>
          <w:sz w:val="24"/>
          <w:szCs w:val="24"/>
          <w:lang w:val="en-GB" w:bidi="fa-IR"/>
        </w:rPr>
        <w:fldChar w:fldCharType="begin"/>
      </w:r>
      <w:r w:rsidRPr="00F71F57">
        <w:rPr>
          <w:rFonts w:asciiTheme="majorBidi" w:hAnsiTheme="majorBidi" w:cstheme="majorBidi"/>
          <w:sz w:val="24"/>
          <w:szCs w:val="24"/>
          <w:lang w:val="en-GB" w:bidi="fa-IR"/>
        </w:rPr>
        <w:instrText xml:space="preserve"> ADDIN EN.CITE &lt;EndNote&gt;&lt;Cite&gt;&lt;Author&gt;Saha&lt;/Author&gt;&lt;Year&gt;2019&lt;/Year&gt;&lt;RecNum&gt;104&lt;/RecNum&gt;&lt;DisplayText&gt;(Saha &amp;amp; Sen, 2019)&lt;/DisplayText&gt;&lt;record&gt;&lt;rec-number&gt;104&lt;/rec-number&gt;&lt;foreign-keys&gt;&lt;key app="EN" db-id="2ptrtps0adr9vke22dn5tpwzrsfaxtxrfwet" timestamp="1755682852"&gt;104&lt;/key&gt;&lt;/foreign-keys&gt;&lt;ref-type name="Journal Article"&gt;17&lt;/ref-type&gt;&lt;contributors&gt;&lt;authors&gt;&lt;author&gt;Saha, Pampa&lt;/author&gt;&lt;author&gt;Sen, Nilkantha&lt;/author&gt;&lt;/authors&gt;&lt;/contributors&gt;&lt;titles&gt;&lt;title&gt;Tauopathy: A Common Mechanism for Neurodegeneration and Brain Aging&lt;/title&gt;&lt;secondary-title&gt;Mechanisms of Ageing and Development&lt;/secondary-title&gt;&lt;/titles&gt;&lt;periodical&gt;&lt;full-title&gt;Mechanisms of Ageing and Development&lt;/full-title&gt;&lt;/periodical&gt;&lt;pages&gt;72-79&lt;/pages&gt;&lt;volume&gt;178&lt;/volume&gt;&lt;dates&gt;&lt;year&gt;2019&lt;/year&gt;&lt;/dates&gt;&lt;urls&gt;&lt;/urls&gt;&lt;electronic-resource-num&gt;10.1016/j.mad.2019.01.007&lt;/electronic-resource-num&gt;&lt;/record&gt;&lt;/Cite&gt;&lt;/EndNote&gt;</w:instrText>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210" w:tooltip="Saha, 2019 #104" w:history="1">
        <w:r w:rsidR="00DE113E" w:rsidRPr="00F71F57">
          <w:rPr>
            <w:rFonts w:asciiTheme="majorBidi" w:hAnsiTheme="majorBidi" w:cstheme="majorBidi"/>
            <w:sz w:val="24"/>
            <w:szCs w:val="24"/>
            <w:lang w:val="en-GB" w:bidi="fa-IR"/>
          </w:rPr>
          <w:t>Saha &amp; Sen, 2019</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F85C41"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In parallel, amyloid pathology plays a crucial role in the onset and progression of cognitive decline. The aggregation of amyloid-beta peptides into plaques can lead to neuroinflammation, further exacerbating neuronal damage and cognitive impairment </w:t>
      </w:r>
      <w:r w:rsidR="0058290E" w:rsidRPr="00F71F57">
        <w:rPr>
          <w:rFonts w:asciiTheme="majorBidi" w:hAnsiTheme="majorBidi" w:cstheme="majorBidi"/>
          <w:sz w:val="24"/>
          <w:szCs w:val="24"/>
          <w:lang w:val="en-GB" w:bidi="fa-IR"/>
        </w:rPr>
        <w:fldChar w:fldCharType="begin"/>
      </w:r>
      <w:r w:rsidR="0058290E" w:rsidRPr="00F71F57">
        <w:rPr>
          <w:rFonts w:asciiTheme="majorBidi" w:hAnsiTheme="majorBidi" w:cstheme="majorBidi"/>
          <w:sz w:val="24"/>
          <w:szCs w:val="24"/>
          <w:lang w:val="en-GB" w:bidi="fa-IR"/>
        </w:rPr>
        <w:instrText xml:space="preserve"> ADDIN EN.CITE &lt;EndNote&gt;&lt;Cite&gt;&lt;Author&gt;Maziuk&lt;/Author&gt;&lt;Year&gt;2017&lt;/Year&gt;&lt;RecNum&gt;105&lt;/RecNum&gt;&lt;DisplayText&gt;(Maziuk et al., 2017)&lt;/DisplayText&gt;&lt;record&gt;&lt;rec-number&gt;105&lt;/rec-number&gt;&lt;foreign-keys&gt;&lt;key app="EN" db-id="2ptrtps0adr9vke22dn5tpwzrsfaxtxrfwet" timestamp="1755683032"&gt;105&lt;/key&gt;&lt;/foreign-keys&gt;&lt;ref-type name="Journal Article"&gt;17&lt;/ref-type&gt;&lt;contributors&gt;&lt;authors&gt;&lt;author&gt;Maziuk,Brandon&lt;/author&gt;&lt;author&gt;Ballance,Heather I.&lt;/author&gt;&lt;author&gt;Wolozin,Benjamin&lt;/author&gt;&lt;/authors&gt;&lt;/contributors&gt;&lt;auth-address&gt;Dr Benjamin Wolozin,Department of Pharmacology and Neurology, Boston University School of Medicine,Boston, MA, USA,bwolozin@bu.edu&lt;/auth-address&gt;&lt;titles&gt;&lt;title&gt;Dysregulation of RNA Binding Protein Aggregation in Neurodegenerative Disorders&lt;/title&gt;&lt;secondary-title&gt;Frontiers in Molecular Neuroscience&lt;/secondary-title&gt;&lt;short-title&gt;RNA binding protein aggregation&lt;/short-title&gt;&lt;/titles&gt;&lt;periodical&gt;&lt;full-title&gt;Frontiers in Molecular Neuroscience&lt;/full-title&gt;&lt;/periodical&gt;&lt;volume&gt;Volume 10 - 2017&lt;/volume&gt;&lt;keywords&gt;&lt;keyword&gt;RNA metabolism,RNA Translation,stress response,RNA binding proteins,tau aggreation&lt;/keyword&gt;&lt;/keywords&gt;&lt;dates&gt;&lt;year&gt;2017&lt;/year&gt;&lt;pub-dates&gt;&lt;date&gt;2017-April-04&lt;/date&gt;&lt;/pub-dates&gt;&lt;/dates&gt;&lt;isbn&gt;1662-5099&lt;/isbn&gt;&lt;work-type&gt;Review&lt;/work-type&gt;&lt;urls&gt;&lt;related-urls&gt;&lt;url&gt;https://www.frontiersin.org/journals/molecular-neuroscience/articles/10.3389/fnmol.2017.00089&lt;/url&gt;&lt;/related-urls&gt;&lt;/urls&gt;&lt;electronic-resource-num&gt;10.3389/fnmol.2017.00089&lt;/electronic-resource-num&gt;&lt;language&gt;English&lt;/language&gt;&lt;/record&gt;&lt;/Cite&gt;&lt;/EndNote&gt;</w:instrText>
      </w:r>
      <w:r w:rsidR="0058290E" w:rsidRPr="00F71F57">
        <w:rPr>
          <w:rFonts w:asciiTheme="majorBidi" w:hAnsiTheme="majorBidi" w:cstheme="majorBidi"/>
          <w:sz w:val="24"/>
          <w:szCs w:val="24"/>
          <w:lang w:val="en-GB" w:bidi="fa-IR"/>
        </w:rPr>
        <w:fldChar w:fldCharType="separate"/>
      </w:r>
      <w:r w:rsidR="0058290E" w:rsidRPr="00F71F57">
        <w:rPr>
          <w:rFonts w:asciiTheme="majorBidi" w:hAnsiTheme="majorBidi" w:cstheme="majorBidi"/>
          <w:sz w:val="24"/>
          <w:szCs w:val="24"/>
          <w:lang w:val="en-GB" w:bidi="fa-IR"/>
        </w:rPr>
        <w:t>(</w:t>
      </w:r>
      <w:hyperlink w:anchor="_ENREF_153" w:tooltip="Maziuk, 2017 #105" w:history="1">
        <w:r w:rsidR="00DE113E" w:rsidRPr="00F71F57">
          <w:rPr>
            <w:rFonts w:asciiTheme="majorBidi" w:hAnsiTheme="majorBidi" w:cstheme="majorBidi"/>
            <w:sz w:val="24"/>
            <w:szCs w:val="24"/>
            <w:lang w:val="en-GB" w:bidi="fa-IR"/>
          </w:rPr>
          <w:t>Maziuk et al., 2017</w:t>
        </w:r>
      </w:hyperlink>
      <w:r w:rsidR="0058290E" w:rsidRPr="00F71F57">
        <w:rPr>
          <w:rFonts w:asciiTheme="majorBidi" w:hAnsiTheme="majorBidi" w:cstheme="majorBidi"/>
          <w:sz w:val="24"/>
          <w:szCs w:val="24"/>
          <w:lang w:val="en-GB" w:bidi="fa-IR"/>
        </w:rPr>
        <w:t>)</w:t>
      </w:r>
      <w:r w:rsidR="0058290E" w:rsidRPr="00F71F57">
        <w:rPr>
          <w:rFonts w:asciiTheme="majorBidi" w:hAnsiTheme="majorBidi" w:cstheme="majorBidi"/>
          <w:sz w:val="24"/>
          <w:szCs w:val="24"/>
          <w:lang w:val="en-GB" w:bidi="fa-IR"/>
        </w:rPr>
        <w:fldChar w:fldCharType="end"/>
      </w:r>
      <w:r w:rsidR="0058290E"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Studies have shown that neuroinflammatory responses triggered by amyloid pathology, including the activation of microglia and the release of pro-inflammatory cytokines, contribute significantly to neurodegeneration </w:t>
      </w:r>
      <w:r w:rsidR="000B4D56" w:rsidRPr="00F71F57">
        <w:rPr>
          <w:rFonts w:asciiTheme="majorBidi" w:hAnsiTheme="majorBidi" w:cstheme="majorBidi"/>
          <w:sz w:val="24"/>
          <w:szCs w:val="24"/>
          <w:lang w:val="en-GB" w:bidi="fa-IR"/>
        </w:rPr>
        <w:fldChar w:fldCharType="begin">
          <w:fldData xml:space="preserve">PEVuZE5vdGU+PENpdGU+PEF1dGhvcj5UYXBpYXM8L0F1dGhvcj48WWVhcj4yMDE4PC9ZZWFyPjxS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</w:fldData>
        </w:fldChar>
      </w:r>
      <w:r w:rsidR="000B4D56" w:rsidRPr="00F71F57">
        <w:rPr>
          <w:rFonts w:asciiTheme="majorBidi" w:hAnsiTheme="majorBidi" w:cstheme="majorBidi"/>
          <w:sz w:val="24"/>
          <w:szCs w:val="24"/>
          <w:lang w:val="en-GB" w:bidi="fa-IR"/>
        </w:rPr>
        <w:instrText xml:space="preserve"> ADDIN EN.CITE </w:instrText>
      </w:r>
      <w:r w:rsidR="000B4D56" w:rsidRPr="00F71F57">
        <w:rPr>
          <w:rFonts w:asciiTheme="majorBidi" w:hAnsiTheme="majorBidi" w:cstheme="majorBidi"/>
          <w:sz w:val="24"/>
          <w:szCs w:val="24"/>
          <w:lang w:val="en-GB" w:bidi="fa-IR"/>
        </w:rPr>
        <w:fldChar w:fldCharType="begin">
          <w:fldData xml:space="preserve">PEVuZE5vdGU+PENpdGU+PEF1dGhvcj5UYXBpYXM8L0F1dGhvcj48WWVhcj4yMDE4PC9ZZWFyPjxS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</w:fldData>
        </w:fldChar>
      </w:r>
      <w:r w:rsidR="000B4D56" w:rsidRPr="00F71F57">
        <w:rPr>
          <w:rFonts w:asciiTheme="majorBidi" w:hAnsiTheme="majorBidi" w:cstheme="majorBidi"/>
          <w:sz w:val="24"/>
          <w:szCs w:val="24"/>
          <w:lang w:val="en-GB" w:bidi="fa-IR"/>
        </w:rPr>
        <w:instrText xml:space="preserve"> ADDIN EN.CITE.DATA </w:instrText>
      </w:r>
      <w:r w:rsidR="000B4D56" w:rsidRPr="00F71F57">
        <w:rPr>
          <w:rFonts w:asciiTheme="majorBidi" w:hAnsiTheme="majorBidi" w:cstheme="majorBidi"/>
          <w:sz w:val="24"/>
          <w:szCs w:val="24"/>
          <w:lang w:val="en-GB" w:bidi="fa-IR"/>
        </w:rPr>
      </w:r>
      <w:r w:rsidR="000B4D56" w:rsidRPr="00F71F57">
        <w:rPr>
          <w:rFonts w:asciiTheme="majorBidi" w:hAnsiTheme="majorBidi" w:cstheme="majorBidi"/>
          <w:sz w:val="24"/>
          <w:szCs w:val="24"/>
          <w:lang w:val="en-GB" w:bidi="fa-IR"/>
        </w:rPr>
        <w:fldChar w:fldCharType="end"/>
      </w:r>
      <w:r w:rsidR="000B4D56" w:rsidRPr="00F71F57">
        <w:rPr>
          <w:rFonts w:asciiTheme="majorBidi" w:hAnsiTheme="majorBidi" w:cstheme="majorBidi"/>
          <w:sz w:val="24"/>
          <w:szCs w:val="24"/>
          <w:lang w:val="en-GB" w:bidi="fa-IR"/>
        </w:rPr>
      </w:r>
      <w:r w:rsidR="000B4D56" w:rsidRPr="00F71F57">
        <w:rPr>
          <w:rFonts w:asciiTheme="majorBidi" w:hAnsiTheme="majorBidi" w:cstheme="majorBidi"/>
          <w:sz w:val="24"/>
          <w:szCs w:val="24"/>
          <w:lang w:val="en-GB" w:bidi="fa-IR"/>
        </w:rPr>
        <w:fldChar w:fldCharType="separate"/>
      </w:r>
      <w:r w:rsidR="000B4D56" w:rsidRPr="00F71F57">
        <w:rPr>
          <w:rFonts w:asciiTheme="majorBidi" w:hAnsiTheme="majorBidi" w:cstheme="majorBidi"/>
          <w:sz w:val="24"/>
          <w:szCs w:val="24"/>
          <w:lang w:val="en-GB" w:bidi="fa-IR"/>
        </w:rPr>
        <w:t>(</w:t>
      </w:r>
      <w:hyperlink w:anchor="_ENREF_245" w:tooltip="Tapias, 2018 #106" w:history="1">
        <w:r w:rsidR="00DE113E" w:rsidRPr="00F71F57">
          <w:rPr>
            <w:rFonts w:asciiTheme="majorBidi" w:hAnsiTheme="majorBidi" w:cstheme="majorBidi"/>
            <w:sz w:val="24"/>
            <w:szCs w:val="24"/>
            <w:lang w:val="en-GB" w:bidi="fa-IR"/>
          </w:rPr>
          <w:t>Tapias et al., 2018</w:t>
        </w:r>
      </w:hyperlink>
      <w:r w:rsidR="000B4D56" w:rsidRPr="00F71F57">
        <w:rPr>
          <w:rFonts w:asciiTheme="majorBidi" w:hAnsiTheme="majorBidi" w:cstheme="majorBidi"/>
          <w:sz w:val="24"/>
          <w:szCs w:val="24"/>
          <w:lang w:val="en-GB" w:bidi="fa-IR"/>
        </w:rPr>
        <w:t>)</w:t>
      </w:r>
      <w:r w:rsidR="000B4D56" w:rsidRPr="00F71F57">
        <w:rPr>
          <w:rFonts w:asciiTheme="majorBidi" w:hAnsiTheme="majorBidi" w:cstheme="majorBidi"/>
          <w:sz w:val="24"/>
          <w:szCs w:val="24"/>
          <w:lang w:val="en-GB" w:bidi="fa-IR"/>
        </w:rPr>
        <w:fldChar w:fldCharType="end"/>
      </w:r>
      <w:r w:rsidR="000B4D56"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Furthermore, persistent inflammation can facilitate tau pathology, creating a vicious cycle where each pathology accelerates the progression of the other </w:t>
      </w:r>
      <w:r w:rsidR="000B4D56" w:rsidRPr="00F71F57">
        <w:rPr>
          <w:rFonts w:asciiTheme="majorBidi" w:hAnsiTheme="majorBidi" w:cstheme="majorBidi"/>
          <w:sz w:val="24"/>
          <w:szCs w:val="24"/>
          <w:lang w:val="en-GB" w:bidi="fa-IR"/>
        </w:rPr>
        <w:fldChar w:fldCharType="begin"/>
      </w:r>
      <w:r w:rsidR="000B4D56" w:rsidRPr="00F71F57">
        <w:rPr>
          <w:rFonts w:asciiTheme="majorBidi" w:hAnsiTheme="majorBidi" w:cstheme="majorBidi"/>
          <w:sz w:val="24"/>
          <w:szCs w:val="24"/>
          <w:lang w:val="en-GB" w:bidi="fa-IR"/>
        </w:rPr>
        <w:instrText xml:space="preserve"> ADDIN EN.CITE &lt;EndNote&gt;&lt;Cite&gt;&lt;Author&gt;Zenaro&lt;/Author&gt;&lt;Year&gt;2015&lt;/Year&gt;&lt;RecNum&gt;107&lt;/RecNum&gt;&lt;DisplayText&gt;(Zenaro et al., 2015)&lt;/DisplayText&gt;&lt;record&gt;&lt;rec-number&gt;107&lt;/rec-number&gt;&lt;foreign-keys&gt;&lt;key app="EN" db-id="2ptrtps0adr9vke22dn5tpwzrsfaxtxrfwet" timestamp="1755683435"&gt;107&lt;/key&gt;&lt;/foreign-keys&gt;&lt;ref-type name="Journal Article"&gt;17&lt;/ref-type&gt;&lt;contributors&gt;&lt;authors&gt;&lt;author&gt;Zenaro, Elena&lt;/author&gt;&lt;author&gt;Pietronigro, Enrica&lt;/author&gt;&lt;author&gt;Bianca, Vittorina Della&lt;/author&gt;&lt;author&gt;Piacentino, Gennj&lt;/author&gt;&lt;author&gt;Marongiu, Laura&lt;/author&gt;&lt;author&gt;Budui, Simona&lt;/author&gt;&lt;author&gt;Turano, Ermanna&lt;/author&gt;&lt;author&gt;Rossi, Barbara&lt;/author&gt;&lt;author&gt;Angiari, Stefano&lt;/author&gt;&lt;author&gt;Dusi, Silvia&lt;/author&gt;&lt;author&gt;Montresor, Alessio&lt;/author&gt;&lt;author&gt;Carlucci, Tommaso&lt;/author&gt;&lt;author&gt;Nanì, Sara&lt;/author&gt;&lt;author&gt;Tosadori, Gabriele&lt;/author&gt;&lt;author&gt;Calciano, Lucia&lt;/author&gt;&lt;author&gt;Catalucci, Daniele&lt;/author&gt;&lt;author&gt;Berton, Giorgio&lt;/author&gt;&lt;author&gt;Bonetti, Bruno&lt;/author&gt;&lt;author&gt;Constantin, Gabriela&lt;/author&gt;&lt;/authors&gt;&lt;/contributors&gt;&lt;titles&gt;&lt;title&gt;Neutrophils Promote Alzheimer&amp;apos;s Disease–like Pathology and Cognitive Decline via LFA-1 Integrin&lt;/title&gt;&lt;secondary-title&gt;Nature Medicine&lt;/secondary-title&gt;&lt;/titles&gt;&lt;periodical&gt;&lt;full-title&gt;Nature Medicine&lt;/full-title&gt;&lt;/periodical&gt;&lt;pages&gt;880-886&lt;/pages&gt;&lt;volume&gt;21&lt;/volume&gt;&lt;number&gt;8&lt;/number&gt;&lt;dates&gt;&lt;year&gt;2015&lt;/year&gt;&lt;/dates&gt;&lt;urls&gt;&lt;/urls&gt;&lt;electronic-resource-num&gt;10.1038/nm.3913&lt;/electronic-resource-num&gt;&lt;/record&gt;&lt;/Cite&gt;&lt;/EndNote&gt;</w:instrText>
      </w:r>
      <w:r w:rsidR="000B4D56" w:rsidRPr="00F71F57">
        <w:rPr>
          <w:rFonts w:asciiTheme="majorBidi" w:hAnsiTheme="majorBidi" w:cstheme="majorBidi"/>
          <w:sz w:val="24"/>
          <w:szCs w:val="24"/>
          <w:lang w:val="en-GB" w:bidi="fa-IR"/>
        </w:rPr>
        <w:fldChar w:fldCharType="separate"/>
      </w:r>
      <w:r w:rsidR="000B4D56" w:rsidRPr="00F71F57">
        <w:rPr>
          <w:rFonts w:asciiTheme="majorBidi" w:hAnsiTheme="majorBidi" w:cstheme="majorBidi"/>
          <w:sz w:val="24"/>
          <w:szCs w:val="24"/>
          <w:lang w:val="en-GB" w:bidi="fa-IR"/>
        </w:rPr>
        <w:t>(</w:t>
      </w:r>
      <w:hyperlink w:anchor="_ENREF_268" w:tooltip="Zenaro, 2015 #107" w:history="1">
        <w:r w:rsidR="00DE113E" w:rsidRPr="00F71F57">
          <w:rPr>
            <w:rFonts w:asciiTheme="majorBidi" w:hAnsiTheme="majorBidi" w:cstheme="majorBidi"/>
            <w:sz w:val="24"/>
            <w:szCs w:val="24"/>
            <w:lang w:val="en-GB" w:bidi="fa-IR"/>
          </w:rPr>
          <w:t>Zenaro et al., 2015</w:t>
        </w:r>
      </w:hyperlink>
      <w:r w:rsidR="000B4D56" w:rsidRPr="00F71F57">
        <w:rPr>
          <w:rFonts w:asciiTheme="majorBidi" w:hAnsiTheme="majorBidi" w:cstheme="majorBidi"/>
          <w:sz w:val="24"/>
          <w:szCs w:val="24"/>
          <w:lang w:val="en-GB" w:bidi="fa-IR"/>
        </w:rPr>
        <w:t>)</w:t>
      </w:r>
      <w:r w:rsidR="000B4D56" w:rsidRPr="00F71F57">
        <w:rPr>
          <w:rFonts w:asciiTheme="majorBidi" w:hAnsiTheme="majorBidi" w:cstheme="majorBidi"/>
          <w:sz w:val="24"/>
          <w:szCs w:val="24"/>
          <w:lang w:val="en-GB" w:bidi="fa-IR"/>
        </w:rPr>
        <w:fldChar w:fldCharType="end"/>
      </w:r>
      <w:r w:rsidR="000B4D56" w:rsidRPr="00F71F57">
        <w:rPr>
          <w:rFonts w:asciiTheme="majorBidi" w:hAnsiTheme="majorBidi" w:cstheme="majorBidi"/>
          <w:sz w:val="24"/>
          <w:szCs w:val="24"/>
          <w:lang w:val="en-GB" w:bidi="fa-IR"/>
        </w:rPr>
        <w:t>.</w:t>
      </w:r>
      <w:r w:rsidR="00F85C41"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Recent investigations also highlight the genetic factors that influence the relationship between tau and amyloid pathology. Mutations in the MAPT gene, which encodes tau protein, have been implicated in familial forms of frontotemporal dementia and have further elucidated the pathways underlying tauopathies </w:t>
      </w:r>
      <w:r w:rsidR="000B4D56" w:rsidRPr="00F71F57">
        <w:rPr>
          <w:rFonts w:asciiTheme="majorBidi" w:hAnsiTheme="majorBidi" w:cstheme="majorBidi"/>
          <w:sz w:val="24"/>
          <w:szCs w:val="24"/>
          <w:lang w:val="en-GB" w:bidi="fa-IR"/>
        </w:rPr>
        <w:fldChar w:fldCharType="begin">
          <w:fldData xml:space="preserve">PEVuZE5vdGU+PENpdGU+PEF1dGhvcj5SYW1zZGVuPC9BdXRob3I+PFllYXI+MjAwNTwvWWVhcj48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=
</w:fldData>
        </w:fldChar>
      </w:r>
      <w:r w:rsidR="000B4D56" w:rsidRPr="00F71F57">
        <w:rPr>
          <w:rFonts w:asciiTheme="majorBidi" w:hAnsiTheme="majorBidi" w:cstheme="majorBidi"/>
          <w:sz w:val="24"/>
          <w:szCs w:val="24"/>
          <w:lang w:val="en-GB" w:bidi="fa-IR"/>
        </w:rPr>
        <w:instrText xml:space="preserve"> ADDIN EN.CITE </w:instrText>
      </w:r>
      <w:r w:rsidR="000B4D56" w:rsidRPr="00F71F57">
        <w:rPr>
          <w:rFonts w:asciiTheme="majorBidi" w:hAnsiTheme="majorBidi" w:cstheme="majorBidi"/>
          <w:sz w:val="24"/>
          <w:szCs w:val="24"/>
          <w:lang w:val="en-GB" w:bidi="fa-IR"/>
        </w:rPr>
        <w:fldChar w:fldCharType="begin">
          <w:fldData xml:space="preserve">PEVuZE5vdGU+PENpdGU+PEF1dGhvcj5SYW1zZGVuPC9BdXRob3I+PFllYXI+MjAwNTwvWWVhcj48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=
</w:fldData>
        </w:fldChar>
      </w:r>
      <w:r w:rsidR="000B4D56" w:rsidRPr="00F71F57">
        <w:rPr>
          <w:rFonts w:asciiTheme="majorBidi" w:hAnsiTheme="majorBidi" w:cstheme="majorBidi"/>
          <w:sz w:val="24"/>
          <w:szCs w:val="24"/>
          <w:lang w:val="en-GB" w:bidi="fa-IR"/>
        </w:rPr>
        <w:instrText xml:space="preserve"> ADDIN EN.CITE.DATA </w:instrText>
      </w:r>
      <w:r w:rsidR="000B4D56" w:rsidRPr="00F71F57">
        <w:rPr>
          <w:rFonts w:asciiTheme="majorBidi" w:hAnsiTheme="majorBidi" w:cstheme="majorBidi"/>
          <w:sz w:val="24"/>
          <w:szCs w:val="24"/>
          <w:lang w:val="en-GB" w:bidi="fa-IR"/>
        </w:rPr>
      </w:r>
      <w:r w:rsidR="000B4D56" w:rsidRPr="00F71F57">
        <w:rPr>
          <w:rFonts w:asciiTheme="majorBidi" w:hAnsiTheme="majorBidi" w:cstheme="majorBidi"/>
          <w:sz w:val="24"/>
          <w:szCs w:val="24"/>
          <w:lang w:val="en-GB" w:bidi="fa-IR"/>
        </w:rPr>
        <w:fldChar w:fldCharType="end"/>
      </w:r>
      <w:r w:rsidR="000B4D56" w:rsidRPr="00F71F57">
        <w:rPr>
          <w:rFonts w:asciiTheme="majorBidi" w:hAnsiTheme="majorBidi" w:cstheme="majorBidi"/>
          <w:sz w:val="24"/>
          <w:szCs w:val="24"/>
          <w:lang w:val="en-GB" w:bidi="fa-IR"/>
        </w:rPr>
      </w:r>
      <w:r w:rsidR="000B4D56" w:rsidRPr="00F71F57">
        <w:rPr>
          <w:rFonts w:asciiTheme="majorBidi" w:hAnsiTheme="majorBidi" w:cstheme="majorBidi"/>
          <w:sz w:val="24"/>
          <w:szCs w:val="24"/>
          <w:lang w:val="en-GB" w:bidi="fa-IR"/>
        </w:rPr>
        <w:fldChar w:fldCharType="separate"/>
      </w:r>
      <w:r w:rsidR="000B4D56" w:rsidRPr="00F71F57">
        <w:rPr>
          <w:rFonts w:asciiTheme="majorBidi" w:hAnsiTheme="majorBidi" w:cstheme="majorBidi"/>
          <w:sz w:val="24"/>
          <w:szCs w:val="24"/>
          <w:lang w:val="en-GB" w:bidi="fa-IR"/>
        </w:rPr>
        <w:t>(</w:t>
      </w:r>
      <w:hyperlink w:anchor="_ENREF_195" w:tooltip="Ramsden, 2005 #108" w:history="1">
        <w:r w:rsidR="00DE113E" w:rsidRPr="00F71F57">
          <w:rPr>
            <w:rFonts w:asciiTheme="majorBidi" w:hAnsiTheme="majorBidi" w:cstheme="majorBidi"/>
            <w:sz w:val="24"/>
            <w:szCs w:val="24"/>
            <w:lang w:val="en-GB" w:bidi="fa-IR"/>
          </w:rPr>
          <w:t>Ramsden et al., 2005</w:t>
        </w:r>
      </w:hyperlink>
      <w:r w:rsidR="000B4D56" w:rsidRPr="00F71F57">
        <w:rPr>
          <w:rFonts w:asciiTheme="majorBidi" w:hAnsiTheme="majorBidi" w:cstheme="majorBidi"/>
          <w:sz w:val="24"/>
          <w:szCs w:val="24"/>
          <w:lang w:val="en-GB" w:bidi="fa-IR"/>
        </w:rPr>
        <w:t>)</w:t>
      </w:r>
      <w:r w:rsidR="000B4D56" w:rsidRPr="00F71F57">
        <w:rPr>
          <w:rFonts w:asciiTheme="majorBidi" w:hAnsiTheme="majorBidi" w:cstheme="majorBidi"/>
          <w:sz w:val="24"/>
          <w:szCs w:val="24"/>
          <w:lang w:val="en-GB" w:bidi="fa-IR"/>
        </w:rPr>
        <w:fldChar w:fldCharType="end"/>
      </w:r>
      <w:r w:rsidR="00431D88" w:rsidRPr="00F71F57">
        <w:rPr>
          <w:rFonts w:asciiTheme="majorBidi" w:hAnsiTheme="majorBidi" w:cstheme="majorBidi"/>
          <w:sz w:val="24"/>
          <w:szCs w:val="24"/>
          <w:lang w:val="en-GB" w:bidi="fa-IR"/>
        </w:rPr>
        <w:t>. In addition,</w:t>
      </w:r>
      <w:r w:rsidRPr="00F71F57">
        <w:rPr>
          <w:rFonts w:asciiTheme="majorBidi" w:hAnsiTheme="majorBidi" w:cstheme="majorBidi"/>
          <w:sz w:val="24"/>
          <w:szCs w:val="24"/>
          <w:lang w:val="en-GB" w:bidi="fa-IR"/>
        </w:rPr>
        <w:t xml:space="preserve"> systemic immune responses involving T cells and </w:t>
      </w:r>
      <w:r w:rsidRPr="00F71F57">
        <w:rPr>
          <w:rFonts w:asciiTheme="majorBidi" w:hAnsiTheme="majorBidi" w:cstheme="majorBidi"/>
          <w:sz w:val="24"/>
          <w:szCs w:val="24"/>
          <w:lang w:val="en-GB" w:bidi="fa-IR"/>
        </w:rPr>
        <w:lastRenderedPageBreak/>
        <w:t xml:space="preserve">neutrophils have been shown to aggravate tau pathology, suggesting that immune modulation may serve as a therapeutic avenue to disrupt this cycle of neurodegeneration </w:t>
      </w:r>
      <w:r w:rsidR="000B4D56" w:rsidRPr="00F71F57">
        <w:rPr>
          <w:rFonts w:asciiTheme="majorBidi" w:hAnsiTheme="majorBidi" w:cstheme="majorBidi"/>
          <w:sz w:val="24"/>
          <w:szCs w:val="24"/>
          <w:lang w:val="en-GB" w:bidi="fa-IR"/>
        </w:rPr>
        <w:fldChar w:fldCharType="begin"/>
      </w:r>
      <w:r w:rsidR="000B4D56" w:rsidRPr="00F71F57">
        <w:rPr>
          <w:rFonts w:asciiTheme="majorBidi" w:hAnsiTheme="majorBidi" w:cstheme="majorBidi"/>
          <w:sz w:val="24"/>
          <w:szCs w:val="24"/>
          <w:lang w:val="en-GB" w:bidi="fa-IR"/>
        </w:rPr>
        <w:instrText xml:space="preserve"> ADDIN EN.CITE &lt;EndNote&gt;&lt;Cite&gt;&lt;Author&gt;Zenaro&lt;/Author&gt;&lt;Year&gt;2015&lt;/Year&gt;&lt;RecNum&gt;107&lt;/RecNum&gt;&lt;DisplayText&gt;(Zenaro et al., 2015)&lt;/DisplayText&gt;&lt;record&gt;&lt;rec-number&gt;107&lt;/rec-number&gt;&lt;foreign-keys&gt;&lt;key app="EN" db-id="2ptrtps0adr9vke22dn5tpwzrsfaxtxrfwet" timestamp="1755683435"&gt;107&lt;/key&gt;&lt;/foreign-keys&gt;&lt;ref-type name="Journal Article"&gt;17&lt;/ref-type&gt;&lt;contributors&gt;&lt;authors&gt;&lt;author&gt;Zenaro, Elena&lt;/author&gt;&lt;author&gt;Pietronigro, Enrica&lt;/author&gt;&lt;author&gt;Bianca, Vittorina Della&lt;/author&gt;&lt;author&gt;Piacentino, Gennj&lt;/author&gt;&lt;author&gt;Marongiu, Laura&lt;/author&gt;&lt;author&gt;Budui, Simona&lt;/author&gt;&lt;author&gt;Turano, Ermanna&lt;/author&gt;&lt;author&gt;Rossi, Barbara&lt;/author&gt;&lt;author&gt;Angiari, Stefano&lt;/author&gt;&lt;author&gt;Dusi, Silvia&lt;/author&gt;&lt;author&gt;Montresor, Alessio&lt;/author&gt;&lt;author&gt;Carlucci, Tommaso&lt;/author&gt;&lt;author&gt;Nanì, Sara&lt;/author&gt;&lt;author&gt;Tosadori, Gabriele&lt;/author&gt;&lt;author&gt;Calciano, Lucia&lt;/author&gt;&lt;author&gt;Catalucci, Daniele&lt;/author&gt;&lt;author&gt;Berton, Giorgio&lt;/author&gt;&lt;author&gt;Bonetti, Bruno&lt;/author&gt;&lt;author&gt;Constantin, Gabriela&lt;/author&gt;&lt;/authors&gt;&lt;/contributors&gt;&lt;titles&gt;&lt;title&gt;Neutrophils Promote Alzheimer&amp;apos;s Disease–like Pathology and Cognitive Decline via LFA-1 Integrin&lt;/title&gt;&lt;secondary-title&gt;Nature Medicine&lt;/secondary-title&gt;&lt;/titles&gt;&lt;periodical&gt;&lt;full-title&gt;Nature Medicine&lt;/full-title&gt;&lt;/periodical&gt;&lt;pages&gt;880-886&lt;/pages&gt;&lt;volume&gt;21&lt;/volume&gt;&lt;number&gt;8&lt;/number&gt;&lt;dates&gt;&lt;year&gt;2015&lt;/year&gt;&lt;/dates&gt;&lt;urls&gt;&lt;/urls&gt;&lt;electronic-resource-num&gt;10.1038/nm.3913&lt;/electronic-resource-num&gt;&lt;/record&gt;&lt;/Cite&gt;&lt;/EndNote&gt;</w:instrText>
      </w:r>
      <w:r w:rsidR="000B4D56" w:rsidRPr="00F71F57">
        <w:rPr>
          <w:rFonts w:asciiTheme="majorBidi" w:hAnsiTheme="majorBidi" w:cstheme="majorBidi"/>
          <w:sz w:val="24"/>
          <w:szCs w:val="24"/>
          <w:lang w:val="en-GB" w:bidi="fa-IR"/>
        </w:rPr>
        <w:fldChar w:fldCharType="separate"/>
      </w:r>
      <w:r w:rsidR="000B4D56" w:rsidRPr="00F71F57">
        <w:rPr>
          <w:rFonts w:asciiTheme="majorBidi" w:hAnsiTheme="majorBidi" w:cstheme="majorBidi"/>
          <w:sz w:val="24"/>
          <w:szCs w:val="24"/>
          <w:lang w:val="en-GB" w:bidi="fa-IR"/>
        </w:rPr>
        <w:t>(</w:t>
      </w:r>
      <w:hyperlink w:anchor="_ENREF_268" w:tooltip="Zenaro, 2015 #107" w:history="1">
        <w:r w:rsidR="00DE113E" w:rsidRPr="00F71F57">
          <w:rPr>
            <w:rFonts w:asciiTheme="majorBidi" w:hAnsiTheme="majorBidi" w:cstheme="majorBidi"/>
            <w:sz w:val="24"/>
            <w:szCs w:val="24"/>
            <w:lang w:val="en-GB" w:bidi="fa-IR"/>
          </w:rPr>
          <w:t>Zenaro et al., 2015</w:t>
        </w:r>
      </w:hyperlink>
      <w:r w:rsidR="000B4D56" w:rsidRPr="00F71F57">
        <w:rPr>
          <w:rFonts w:asciiTheme="majorBidi" w:hAnsiTheme="majorBidi" w:cstheme="majorBidi"/>
          <w:sz w:val="24"/>
          <w:szCs w:val="24"/>
          <w:lang w:val="en-GB" w:bidi="fa-IR"/>
        </w:rPr>
        <w:t>)</w:t>
      </w:r>
      <w:r w:rsidR="000B4D56" w:rsidRPr="00F71F57">
        <w:rPr>
          <w:rFonts w:asciiTheme="majorBidi" w:hAnsiTheme="majorBidi" w:cstheme="majorBidi"/>
          <w:sz w:val="24"/>
          <w:szCs w:val="24"/>
          <w:lang w:val="en-GB" w:bidi="fa-IR"/>
        </w:rPr>
        <w:fldChar w:fldCharType="end"/>
      </w:r>
      <w:r w:rsidR="000B4D56" w:rsidRPr="00F71F57">
        <w:rPr>
          <w:rFonts w:asciiTheme="majorBidi" w:hAnsiTheme="majorBidi" w:cstheme="majorBidi"/>
          <w:sz w:val="24"/>
          <w:szCs w:val="24"/>
          <w:lang w:val="en-GB" w:bidi="fa-IR"/>
        </w:rPr>
        <w:t>.</w:t>
      </w:r>
      <w:r w:rsidR="00F85C41"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Research on tau and amyloid pathologies not only focuses on understanding their roles in established neurodegenerative diseases but also explores their interactions with other pathological proteins, such as α-synuclein in Parkinson's disease </w:t>
      </w:r>
      <w:r w:rsidR="00F85C41" w:rsidRPr="00F71F57">
        <w:rPr>
          <w:rFonts w:asciiTheme="majorBidi" w:hAnsiTheme="majorBidi" w:cstheme="majorBidi"/>
          <w:sz w:val="24"/>
          <w:szCs w:val="24"/>
          <w:lang w:val="en-GB" w:bidi="fa-IR"/>
        </w:rPr>
        <w:fldChar w:fldCharType="begin"/>
      </w:r>
      <w:r w:rsidR="00F85C41" w:rsidRPr="00F71F57">
        <w:rPr>
          <w:rFonts w:asciiTheme="majorBidi" w:hAnsiTheme="majorBidi" w:cstheme="majorBidi"/>
          <w:sz w:val="24"/>
          <w:szCs w:val="24"/>
          <w:lang w:val="en-GB" w:bidi="fa-IR"/>
        </w:rPr>
        <w:instrText xml:space="preserve"> ADDIN EN.CITE &lt;EndNote&gt;&lt;Cite&gt;&lt;Author&gt;Yan&lt;/Author&gt;&lt;Year&gt;2020&lt;/Year&gt;&lt;RecNum&gt;109&lt;/RecNum&gt;&lt;DisplayText&gt;(Yan et al., 2020)&lt;/DisplayText&gt;&lt;record&gt;&lt;rec-number&gt;109&lt;/rec-number&gt;&lt;foreign-keys&gt;&lt;key app="EN" db-id="2ptrtps0adr9vke22dn5tpwzrsfaxtxrfwet" timestamp="1755683786"&gt;109&lt;/key&gt;&lt;/foreign-keys&gt;&lt;ref-type name="Journal Article"&gt;17&lt;/ref-type&gt;&lt;contributors&gt;&lt;authors&gt;&lt;author&gt;Yan, Xu&lt;/author&gt;&lt;author&gt;Uronen, Riikka-Liisa&lt;/author&gt;&lt;author&gt;Huttunen, Henri J.&lt;/author&gt;&lt;/authors&gt;&lt;/contributors&gt;&lt;titles&gt;&lt;title&gt;The interaction of α-synuclein and Tau: A molecular conspiracy in neurodegeneration?&lt;/title&gt;&lt;secondary-title&gt;Seminars in Cell &amp;amp; Developmental Biology&lt;/secondary-title&gt;&lt;/titles&gt;&lt;periodical&gt;&lt;full-title&gt;Seminars in Cell &amp;amp; Developmental Biology&lt;/full-title&gt;&lt;/periodical&gt;&lt;pages&gt;55-64&lt;/pages&gt;&lt;volume&gt;99&lt;/volume&gt;&lt;keywords&gt;&lt;keyword&gt;Neurodegeneration&lt;/keyword&gt;&lt;keyword&gt;Network biology&lt;/keyword&gt;&lt;keyword&gt;Protein-protein interaction&lt;/keyword&gt;&lt;keyword&gt;Pathobiology&lt;/keyword&gt;&lt;keyword&gt;Interactome&lt;/keyword&gt;&lt;/keywords&gt;&lt;dates&gt;&lt;year&gt;2020&lt;/year&gt;&lt;pub-dates&gt;&lt;date&gt;2020/03/01/&lt;/date&gt;&lt;/pub-dates&gt;&lt;/dates&gt;&lt;isbn&gt;1084-9521&lt;/isbn&gt;&lt;urls&gt;&lt;related-urls&gt;&lt;url&gt;https://www.sciencedirect.com/science/article/pii/S1084952117303890&lt;/url&gt;&lt;/related-urls&gt;&lt;/urls&gt;&lt;electronic-resource-num&gt;https://doi.org/10.1016/j.semcdb.2018.05.005&lt;/electronic-resource-num&gt;&lt;/record&gt;&lt;/Cite&gt;&lt;/EndNote&gt;</w:instrText>
      </w:r>
      <w:r w:rsidR="00F85C41" w:rsidRPr="00F71F57">
        <w:rPr>
          <w:rFonts w:asciiTheme="majorBidi" w:hAnsiTheme="majorBidi" w:cstheme="majorBidi"/>
          <w:sz w:val="24"/>
          <w:szCs w:val="24"/>
          <w:lang w:val="en-GB" w:bidi="fa-IR"/>
        </w:rPr>
        <w:fldChar w:fldCharType="separate"/>
      </w:r>
      <w:r w:rsidR="00F85C41" w:rsidRPr="00F71F57">
        <w:rPr>
          <w:rFonts w:asciiTheme="majorBidi" w:hAnsiTheme="majorBidi" w:cstheme="majorBidi"/>
          <w:sz w:val="24"/>
          <w:szCs w:val="24"/>
          <w:lang w:val="en-GB" w:bidi="fa-IR"/>
        </w:rPr>
        <w:t>(</w:t>
      </w:r>
      <w:hyperlink w:anchor="_ENREF_266" w:tooltip="Yan, 2020 #109" w:history="1">
        <w:r w:rsidR="00DE113E" w:rsidRPr="00F71F57">
          <w:rPr>
            <w:rFonts w:asciiTheme="majorBidi" w:hAnsiTheme="majorBidi" w:cstheme="majorBidi"/>
            <w:sz w:val="24"/>
            <w:szCs w:val="24"/>
            <w:lang w:val="en-GB" w:bidi="fa-IR"/>
          </w:rPr>
          <w:t>Yan et al., 2020</w:t>
        </w:r>
      </w:hyperlink>
      <w:r w:rsidR="00F85C41" w:rsidRPr="00F71F57">
        <w:rPr>
          <w:rFonts w:asciiTheme="majorBidi" w:hAnsiTheme="majorBidi" w:cstheme="majorBidi"/>
          <w:sz w:val="24"/>
          <w:szCs w:val="24"/>
          <w:lang w:val="en-GB" w:bidi="fa-IR"/>
        </w:rPr>
        <w:t>)</w:t>
      </w:r>
      <w:r w:rsidR="00F85C41" w:rsidRPr="00F71F57">
        <w:rPr>
          <w:rFonts w:asciiTheme="majorBidi" w:hAnsiTheme="majorBidi" w:cstheme="majorBidi"/>
          <w:sz w:val="24"/>
          <w:szCs w:val="24"/>
          <w:lang w:val="en-GB" w:bidi="fa-IR"/>
        </w:rPr>
        <w:fldChar w:fldCharType="end"/>
      </w:r>
      <w:r w:rsidR="00F85C41"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The co-occurrence of these proteins in various forms of dementia poses challenges and opportunities for therapeutic interventions aimed at targeting multiple pathways simultaneously.</w:t>
      </w:r>
      <w:r w:rsidR="00F85C41"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In conclusion, tau and amyloid pathologies represent critical mechanisms underlying cognitive decline in neurodegenerative diseases. Their interplay is marked by a complex relationship characterized by mutual exacerbation and involvement of inflammatory processes. Ongoing research into these pathological features will continue to unravel the intricate molecular and cellular mechanisms that govern neurodegeneration, fostering the potential to identify innovative therapeutic strategies aimed at mitigating cognitive decline.</w:t>
      </w:r>
    </w:p>
    <w:p w14:paraId="56094EB7" w14:textId="77777777" w:rsidR="00244365" w:rsidRPr="00F71F57" w:rsidRDefault="00244365" w:rsidP="00C80A17">
      <w:pPr>
        <w:ind w:left="1080"/>
        <w:jc w:val="both"/>
        <w:rPr>
          <w:rFonts w:asciiTheme="majorBidi" w:hAnsiTheme="majorBidi" w:cstheme="majorBidi"/>
          <w:sz w:val="24"/>
          <w:szCs w:val="24"/>
          <w:lang w:val="en-GB" w:bidi="fa-IR"/>
        </w:rPr>
      </w:pPr>
    </w:p>
    <w:p w14:paraId="66A64EE7" w14:textId="746447EE" w:rsidR="00091099" w:rsidRPr="00F71F57" w:rsidRDefault="00091099" w:rsidP="00984E32">
      <w:pPr>
        <w:pStyle w:val="Heading4"/>
        <w:rPr>
          <w:lang w:bidi="fa-IR"/>
        </w:rPr>
      </w:pPr>
      <w:bookmarkStart w:id="20" w:name="_Toc214875828"/>
      <w:r w:rsidRPr="00F71F57">
        <w:rPr>
          <w:lang w:bidi="fa-IR"/>
        </w:rPr>
        <w:t>1.2.2.2 - Neuroinflammation and Glial Activation</w:t>
      </w:r>
      <w:bookmarkEnd w:id="20"/>
    </w:p>
    <w:p w14:paraId="37CCD5AF" w14:textId="44A0DF9E" w:rsidR="005D4934" w:rsidRPr="00F71F57" w:rsidRDefault="005D4934"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Neuroinflammation represents a critical pathological feature in various neurodegenerative diseases, acting as both a response to neuronal injury and a contributing factor to disease progression. This complex inflammatory process primarily involves glial cells, such as microglia and astrocytes, which are essential for maintaining homeostasis within the central nervous system (CNS).</w:t>
      </w:r>
      <w:r w:rsidR="00244365"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In neurodegenerative contexts, reactive glial cells can adopt pro-inflammatory states in response to various triggers, including neurotoxic proteins such as amyloid-beta and tau </w:t>
      </w:r>
      <w:r w:rsidRPr="00F71F57">
        <w:rPr>
          <w:rFonts w:asciiTheme="majorBidi" w:hAnsiTheme="majorBidi" w:cstheme="majorBidi"/>
          <w:sz w:val="24"/>
          <w:szCs w:val="24"/>
          <w:lang w:val="en-GB" w:bidi="fa-IR"/>
        </w:rPr>
        <w:fldChar w:fldCharType="begin">
          <w:fldData xml:space="preserve">PEVuZE5vdGU+PENpdGU+PEF1dGhvcj5KaWFuZzwvQXV0aG9yPjxZZWFyPjIwMjI8L1llYXI+PFJl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</w:fldData>
        </w:fldChar>
      </w:r>
      <w:r w:rsidRPr="00F71F57">
        <w:rPr>
          <w:rFonts w:asciiTheme="majorBidi" w:hAnsiTheme="majorBidi" w:cstheme="majorBidi"/>
          <w:sz w:val="24"/>
          <w:szCs w:val="24"/>
          <w:lang w:val="en-GB" w:bidi="fa-IR"/>
        </w:rPr>
        <w:instrText xml:space="preserve"> ADDIN EN.CITE </w:instrText>
      </w:r>
      <w:r w:rsidRPr="00F71F57">
        <w:rPr>
          <w:rFonts w:asciiTheme="majorBidi" w:hAnsiTheme="majorBidi" w:cstheme="majorBidi"/>
          <w:sz w:val="24"/>
          <w:szCs w:val="24"/>
          <w:lang w:val="en-GB" w:bidi="fa-IR"/>
        </w:rPr>
        <w:fldChar w:fldCharType="begin">
          <w:fldData xml:space="preserve">PEVuZE5vdGU+PENpdGU+PEF1dGhvcj5KaWFuZzwvQXV0aG9yPjxZZWFyPjIwMjI8L1llYXI+PFJl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</w:fldData>
        </w:fldChar>
      </w:r>
      <w:r w:rsidRPr="00F71F57">
        <w:rPr>
          <w:rFonts w:asciiTheme="majorBidi" w:hAnsiTheme="majorBidi" w:cstheme="majorBidi"/>
          <w:sz w:val="24"/>
          <w:szCs w:val="24"/>
          <w:lang w:val="en-GB" w:bidi="fa-IR"/>
        </w:rPr>
        <w:instrText xml:space="preserve"> ADDIN EN.CITE.DATA </w:instrText>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16" w:tooltip="Batista, 2019 #110" w:history="1">
        <w:r w:rsidR="00DE113E" w:rsidRPr="00F71F57">
          <w:rPr>
            <w:rFonts w:asciiTheme="majorBidi" w:hAnsiTheme="majorBidi" w:cstheme="majorBidi"/>
            <w:sz w:val="24"/>
            <w:szCs w:val="24"/>
            <w:lang w:val="en-GB" w:bidi="fa-IR"/>
          </w:rPr>
          <w:t>Batista et al., 2019</w:t>
        </w:r>
      </w:hyperlink>
      <w:r w:rsidRPr="00F71F57">
        <w:rPr>
          <w:rFonts w:asciiTheme="majorBidi" w:hAnsiTheme="majorBidi" w:cstheme="majorBidi"/>
          <w:sz w:val="24"/>
          <w:szCs w:val="24"/>
          <w:lang w:val="en-GB" w:bidi="fa-IR"/>
        </w:rPr>
        <w:t xml:space="preserve">; </w:t>
      </w:r>
      <w:hyperlink w:anchor="_ENREF_115" w:tooltip="Jiang, 2022 #111" w:history="1">
        <w:r w:rsidR="00DE113E" w:rsidRPr="00F71F57">
          <w:rPr>
            <w:rFonts w:asciiTheme="majorBidi" w:hAnsiTheme="majorBidi" w:cstheme="majorBidi"/>
            <w:sz w:val="24"/>
            <w:szCs w:val="24"/>
            <w:lang w:val="en-GB" w:bidi="fa-IR"/>
          </w:rPr>
          <w:t>Jiang et al., 2022</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The imbalance between pro-inflammatory and anti-inflammatory </w:t>
      </w:r>
      <w:r w:rsidR="00F23897" w:rsidRPr="00F71F57">
        <w:rPr>
          <w:rFonts w:asciiTheme="majorBidi" w:hAnsiTheme="majorBidi" w:cstheme="majorBidi"/>
          <w:sz w:val="24"/>
          <w:szCs w:val="24"/>
          <w:lang w:val="en-GB" w:bidi="fa-IR"/>
        </w:rPr>
        <w:t>signalling</w:t>
      </w:r>
      <w:r w:rsidRPr="00F71F57">
        <w:rPr>
          <w:rFonts w:asciiTheme="majorBidi" w:hAnsiTheme="majorBidi" w:cstheme="majorBidi"/>
          <w:sz w:val="24"/>
          <w:szCs w:val="24"/>
          <w:lang w:val="en-GB" w:bidi="fa-IR"/>
        </w:rPr>
        <w:t xml:space="preserve"> pathways can lead to chronic neuroinflammation, characterized by the excessive production of cytokines, chemokines, and reactive oxygen species. This </w:t>
      </w:r>
      <w:r w:rsidRPr="00F71F57">
        <w:rPr>
          <w:rFonts w:asciiTheme="majorBidi" w:hAnsiTheme="majorBidi" w:cstheme="majorBidi"/>
          <w:sz w:val="24"/>
          <w:szCs w:val="24"/>
          <w:lang w:val="en-GB" w:bidi="fa-IR"/>
        </w:rPr>
        <w:lastRenderedPageBreak/>
        <w:t xml:space="preserve">neuroinflammatory milieu exacerbates neuronal dysfunction, contributing to cognitive decline and neurodegeneration </w:t>
      </w:r>
      <w:r w:rsidR="000373DA" w:rsidRPr="00F71F57">
        <w:rPr>
          <w:rFonts w:asciiTheme="majorBidi" w:hAnsiTheme="majorBidi" w:cstheme="majorBidi"/>
          <w:sz w:val="24"/>
          <w:szCs w:val="24"/>
          <w:lang w:val="en-GB" w:bidi="fa-IR"/>
        </w:rPr>
        <w:fldChar w:fldCharType="begin"/>
      </w:r>
      <w:r w:rsidR="000373DA" w:rsidRPr="00F71F57">
        <w:rPr>
          <w:rFonts w:asciiTheme="majorBidi" w:hAnsiTheme="majorBidi" w:cstheme="majorBidi"/>
          <w:sz w:val="24"/>
          <w:szCs w:val="24"/>
          <w:lang w:val="en-GB" w:bidi="fa-IR"/>
        </w:rPr>
        <w:instrText xml:space="preserve"> ADDIN EN.CITE &lt;EndNote&gt;&lt;Cite&gt;&lt;Author&gt;Cheataini&lt;/Author&gt;&lt;Year&gt;2023&lt;/Year&gt;&lt;RecNum&gt;112&lt;/RecNum&gt;&lt;DisplayText&gt;(Cheataini et al., 2023; Vicente-Acosta et al., 2024)&lt;/DisplayText&gt;&lt;record&gt;&lt;rec-number&gt;112&lt;/rec-number&gt;&lt;foreign-keys&gt;&lt;key app="EN" db-id="2ptrtps0adr9vke22dn5tpwzrsfaxtxrfwet" timestamp="1755685351"&gt;112&lt;/key&gt;&lt;/foreign-keys&gt;&lt;ref-type name="Journal Article"&gt;17&lt;/ref-type&gt;&lt;contributors&gt;&lt;authors&gt;&lt;author&gt;Cheataini, Fatima&lt;/author&gt;&lt;author&gt;Ballout, Nissrine&lt;/author&gt;&lt;author&gt;Sagheer, Tareq Al&lt;/author&gt;&lt;/authors&gt;&lt;/contributors&gt;&lt;titles&gt;&lt;title&gt;The Effect of Neuroinflammation on the Cerebral Metabolism at Baseline and After Neural Stimulation in Neurodegenerative Diseases&lt;/title&gt;&lt;secondary-title&gt;Journal of Neuroscience Research&lt;/secondary-title&gt;&lt;/titles&gt;&lt;periodical&gt;&lt;full-title&gt;Journal of Neuroscience Research&lt;/full-title&gt;&lt;/periodical&gt;&lt;pages&gt;1360-1379&lt;/pages&gt;&lt;volume&gt;101&lt;/volume&gt;&lt;number&gt;8&lt;/number&gt;&lt;dates&gt;&lt;year&gt;2023&lt;/year&gt;&lt;/dates&gt;&lt;urls&gt;&lt;/urls&gt;&lt;electronic-resource-num&gt;10.1002/jnr.25198&lt;/electronic-resource-num&gt;&lt;/record&gt;&lt;/Cite&gt;&lt;Cite&gt;&lt;Author&gt;Vicente-Acosta&lt;/Author&gt;&lt;Year&gt;2024&lt;/Year&gt;&lt;RecNum&gt;113&lt;/RecNum&gt;&lt;record&gt;&lt;rec-number&gt;113&lt;/rec-number&gt;&lt;foreign-keys&gt;&lt;key app="EN" db-id="2ptrtps0adr9vke22dn5tpwzrsfaxtxrfwet" timestamp="1755685373"&gt;113&lt;/key&gt;&lt;/foreign-keys&gt;&lt;ref-type name="Journal Article"&gt;17&lt;/ref-type&gt;&lt;contributors&gt;&lt;authors&gt;&lt;author&gt;Vicente-Acosta, Andrés&lt;/author&gt;&lt;author&gt;Herranz-Martín, Saúl&lt;/author&gt;&lt;author&gt;Pazos, M. Ruth&lt;/author&gt;&lt;author&gt;Galán-Cruz, Jorge&lt;/author&gt;&lt;author&gt;Amores, Mario&lt;/author&gt;&lt;author&gt;Loría, Frida&lt;/author&gt;&lt;author&gt;Díaz‐Nido, Javier&lt;/author&gt;&lt;/authors&gt;&lt;/contributors&gt;&lt;titles&gt;&lt;title&gt;Glial Cell Activation Precedes Neurodegeneration in the Cerebellar Cortex of the YG8-800 Murine Model of Friedreich’s Ataxia&lt;/title&gt;&lt;/titles&gt;&lt;dates&gt;&lt;year&gt;2024&lt;/year&gt;&lt;/dates&gt;&lt;urls&gt;&lt;/urls&gt;&lt;electronic-resource-num&gt;10.1101/2024.05.17.594658&lt;/electronic-resource-num&gt;&lt;/record&gt;&lt;/Cite&gt;&lt;/EndNote&gt;</w:instrText>
      </w:r>
      <w:r w:rsidR="000373DA" w:rsidRPr="00F71F57">
        <w:rPr>
          <w:rFonts w:asciiTheme="majorBidi" w:hAnsiTheme="majorBidi" w:cstheme="majorBidi"/>
          <w:sz w:val="24"/>
          <w:szCs w:val="24"/>
          <w:lang w:val="en-GB" w:bidi="fa-IR"/>
        </w:rPr>
        <w:fldChar w:fldCharType="separate"/>
      </w:r>
      <w:r w:rsidR="000373DA" w:rsidRPr="00F71F57">
        <w:rPr>
          <w:rFonts w:asciiTheme="majorBidi" w:hAnsiTheme="majorBidi" w:cstheme="majorBidi"/>
          <w:sz w:val="24"/>
          <w:szCs w:val="24"/>
          <w:lang w:val="en-GB" w:bidi="fa-IR"/>
        </w:rPr>
        <w:t>(</w:t>
      </w:r>
      <w:hyperlink w:anchor="_ENREF_42" w:tooltip="Cheataini, 2023 #112" w:history="1">
        <w:r w:rsidR="00DE113E" w:rsidRPr="00F71F57">
          <w:rPr>
            <w:rFonts w:asciiTheme="majorBidi" w:hAnsiTheme="majorBidi" w:cstheme="majorBidi"/>
            <w:sz w:val="24"/>
            <w:szCs w:val="24"/>
            <w:lang w:val="en-GB" w:bidi="fa-IR"/>
          </w:rPr>
          <w:t>Cheataini et al., 2023</w:t>
        </w:r>
      </w:hyperlink>
      <w:r w:rsidR="000373DA" w:rsidRPr="00F71F57">
        <w:rPr>
          <w:rFonts w:asciiTheme="majorBidi" w:hAnsiTheme="majorBidi" w:cstheme="majorBidi"/>
          <w:sz w:val="24"/>
          <w:szCs w:val="24"/>
          <w:lang w:val="en-GB" w:bidi="fa-IR"/>
        </w:rPr>
        <w:t xml:space="preserve">; </w:t>
      </w:r>
      <w:hyperlink w:anchor="_ENREF_253" w:tooltip="Vicente-Acosta, 2024 #113" w:history="1">
        <w:r w:rsidR="00DE113E" w:rsidRPr="00F71F57">
          <w:rPr>
            <w:rFonts w:asciiTheme="majorBidi" w:hAnsiTheme="majorBidi" w:cstheme="majorBidi"/>
            <w:sz w:val="24"/>
            <w:szCs w:val="24"/>
            <w:lang w:val="en-GB" w:bidi="fa-IR"/>
          </w:rPr>
          <w:t>Vicente-Acosta et al., 2024</w:t>
        </w:r>
      </w:hyperlink>
      <w:r w:rsidR="000373DA" w:rsidRPr="00F71F57">
        <w:rPr>
          <w:rFonts w:asciiTheme="majorBidi" w:hAnsiTheme="majorBidi" w:cstheme="majorBidi"/>
          <w:sz w:val="24"/>
          <w:szCs w:val="24"/>
          <w:lang w:val="en-GB" w:bidi="fa-IR"/>
        </w:rPr>
        <w:t>)</w:t>
      </w:r>
      <w:r w:rsidR="000373D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 For instance, in the context of Alzheimer's disease (AD), the presence of amyloid plaques has been shown to activate microglia, leading to a sustained inflammatory response that ultimately worsens neuronal health </w:t>
      </w:r>
      <w:r w:rsidR="000373DA" w:rsidRPr="00F71F57">
        <w:rPr>
          <w:rFonts w:asciiTheme="majorBidi" w:hAnsiTheme="majorBidi" w:cstheme="majorBidi"/>
          <w:sz w:val="24"/>
          <w:szCs w:val="24"/>
          <w:lang w:val="en-GB" w:bidi="fa-IR"/>
        </w:rPr>
        <w:fldChar w:fldCharType="begin"/>
      </w:r>
      <w:r w:rsidR="000373DA" w:rsidRPr="00F71F57">
        <w:rPr>
          <w:rFonts w:asciiTheme="majorBidi" w:hAnsiTheme="majorBidi" w:cstheme="majorBidi"/>
          <w:sz w:val="24"/>
          <w:szCs w:val="24"/>
          <w:lang w:val="en-GB" w:bidi="fa-IR"/>
        </w:rPr>
        <w:instrText xml:space="preserve"> ADDIN EN.CITE &lt;EndNote&gt;&lt;Cite&gt;&lt;Author&gt;Keren-Shaul&lt;/Author&gt;&lt;Year&gt;2017&lt;/Year&gt;&lt;RecNum&gt;114&lt;/RecNum&gt;&lt;DisplayText&gt;(Keren-Shaul et al., 2017)&lt;/DisplayText&gt;&lt;record&gt;&lt;rec-number&gt;114&lt;/rec-number&gt;&lt;foreign-keys&gt;&lt;key app="EN" db-id="2ptrtps0adr9vke22dn5tpwzrsfaxtxrfwet" timestamp="1755685741"&gt;114&lt;/key&gt;&lt;/foreign-keys&gt;&lt;ref-type name="Journal Article"&gt;17&lt;/ref-type&gt;&lt;contributors&gt;&lt;authors&gt;&lt;author&gt;Keren-Shaul, Hadas&lt;/author&gt;&lt;author&gt;Spinrad, Amit&lt;/author&gt;&lt;author&gt;Weiner, Assaf&lt;/author&gt;&lt;author&gt;Matcovitch-Natan, Orit&lt;/author&gt;&lt;author&gt;Dvir-Szternfeld, Raz&lt;/author&gt;&lt;author&gt;Ulland, Tyler K.&lt;/author&gt;&lt;author&gt;David, Eyal&lt;/author&gt;&lt;author&gt;Baruch, Kuti&lt;/author&gt;&lt;author&gt;Lara-Astaiso, David&lt;/author&gt;&lt;author&gt;Toth, Beata&lt;/author&gt;&lt;author&gt;Itzkovitz, Shalev&lt;/author&gt;&lt;author&gt;Colonna, Marco&lt;/author&gt;&lt;author&gt;Schwartz, Michal&lt;/author&gt;&lt;author&gt;Amit, Ido&lt;/author&gt;&lt;/authors&gt;&lt;/contributors&gt;&lt;titles&gt;&lt;title&gt;A Unique Microglia Type Associated with Restricting Development of Alzheimer’s Disease&lt;/title&gt;&lt;secondary-title&gt;Cell&lt;/secondary-title&gt;&lt;/titles&gt;&lt;periodical&gt;&lt;full-title&gt;Cell&lt;/full-title&gt;&lt;/periodical&gt;&lt;pages&gt;1276-1290.e17&lt;/pages&gt;&lt;volume&gt;169&lt;/volume&gt;&lt;number&gt;7&lt;/number&gt;&lt;keywords&gt;&lt;keyword&gt;Alzheimer’s disease&lt;/keyword&gt;&lt;keyword&gt;single cell RNA-seq&lt;/keyword&gt;&lt;keyword&gt;immunology&lt;/keyword&gt;&lt;keyword&gt;systems biology&lt;/keyword&gt;&lt;keyword&gt;microglia&lt;/keyword&gt;&lt;/keywords&gt;&lt;dates&gt;&lt;year&gt;2017&lt;/year&gt;&lt;pub-dates&gt;&lt;date&gt;2017/06/15/&lt;/date&gt;&lt;/pub-dates&gt;&lt;/dates&gt;&lt;isbn&gt;0092-8674&lt;/isbn&gt;&lt;urls&gt;&lt;related-urls&gt;&lt;url&gt;https://www.sciencedirect.com/science/article/pii/S0092867417305780&lt;/url&gt;&lt;/related-urls&gt;&lt;/urls&gt;&lt;electronic-resource-num&gt;https://doi.org/10.1016/j.cell.2017.05.018&lt;/electronic-resource-num&gt;&lt;/record&gt;&lt;/Cite&gt;&lt;/EndNote&gt;</w:instrText>
      </w:r>
      <w:r w:rsidR="000373DA" w:rsidRPr="00F71F57">
        <w:rPr>
          <w:rFonts w:asciiTheme="majorBidi" w:hAnsiTheme="majorBidi" w:cstheme="majorBidi"/>
          <w:sz w:val="24"/>
          <w:szCs w:val="24"/>
          <w:lang w:val="en-GB" w:bidi="fa-IR"/>
        </w:rPr>
        <w:fldChar w:fldCharType="separate"/>
      </w:r>
      <w:r w:rsidR="000373DA" w:rsidRPr="00F71F57">
        <w:rPr>
          <w:rFonts w:asciiTheme="majorBidi" w:hAnsiTheme="majorBidi" w:cstheme="majorBidi"/>
          <w:sz w:val="24"/>
          <w:szCs w:val="24"/>
          <w:lang w:val="en-GB" w:bidi="fa-IR"/>
        </w:rPr>
        <w:t>(</w:t>
      </w:r>
      <w:hyperlink w:anchor="_ENREF_124" w:tooltip="Keren-Shaul, 2017 #114" w:history="1">
        <w:r w:rsidR="00DE113E" w:rsidRPr="00F71F57">
          <w:rPr>
            <w:rFonts w:asciiTheme="majorBidi" w:hAnsiTheme="majorBidi" w:cstheme="majorBidi"/>
            <w:sz w:val="24"/>
            <w:szCs w:val="24"/>
            <w:lang w:val="en-GB" w:bidi="fa-IR"/>
          </w:rPr>
          <w:t>Keren-Shaul et al., 2017</w:t>
        </w:r>
      </w:hyperlink>
      <w:r w:rsidR="000373DA" w:rsidRPr="00F71F57">
        <w:rPr>
          <w:rFonts w:asciiTheme="majorBidi" w:hAnsiTheme="majorBidi" w:cstheme="majorBidi"/>
          <w:sz w:val="24"/>
          <w:szCs w:val="24"/>
          <w:lang w:val="en-GB" w:bidi="fa-IR"/>
        </w:rPr>
        <w:t>)</w:t>
      </w:r>
      <w:r w:rsidR="000373DA" w:rsidRPr="00F71F57">
        <w:rPr>
          <w:rFonts w:asciiTheme="majorBidi" w:hAnsiTheme="majorBidi" w:cstheme="majorBidi"/>
          <w:sz w:val="24"/>
          <w:szCs w:val="24"/>
          <w:lang w:val="en-GB" w:bidi="fa-IR"/>
        </w:rPr>
        <w:fldChar w:fldCharType="end"/>
      </w:r>
      <w:r w:rsidR="000373D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Such findings point to neuroinflammation as a fundamental mechanism that can either facilitate recovery or promote disease progression.</w:t>
      </w:r>
      <w:r w:rsidR="00244365"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Astrocytes also play a pivotal role in neuroinflammation. In response to neuronal damage, astrocytes can become reactive, altering their physiological functions and cytoskeletal dynamics. This so-called "astrogliosis," though initially protective, can become detrimental if the reactive state is prolonged, leading to synaptic dysfunction and neuronal </w:t>
      </w:r>
      <w:r w:rsidR="000373DA" w:rsidRPr="00F71F57">
        <w:rPr>
          <w:rFonts w:asciiTheme="majorBidi" w:hAnsiTheme="majorBidi" w:cstheme="majorBidi"/>
          <w:sz w:val="24"/>
          <w:szCs w:val="24"/>
          <w:lang w:val="en-GB" w:bidi="fa-IR"/>
        </w:rPr>
        <w:t xml:space="preserve">loss. </w:t>
      </w:r>
      <w:r w:rsidRPr="00F71F57">
        <w:rPr>
          <w:rFonts w:asciiTheme="majorBidi" w:hAnsiTheme="majorBidi" w:cstheme="majorBidi"/>
          <w:sz w:val="24"/>
          <w:szCs w:val="24"/>
          <w:lang w:val="en-GB" w:bidi="fa-IR"/>
        </w:rPr>
        <w:t>For example, mutant forms of proteins associated with Huntington's disease have been shown to impair astrocytic function, disrupting glutamate transport and exacerbating excitotoxicity</w:t>
      </w:r>
      <w:r w:rsidR="000373DA" w:rsidRPr="00F71F57">
        <w:rPr>
          <w:rFonts w:asciiTheme="majorBidi" w:hAnsiTheme="majorBidi" w:cstheme="majorBidi"/>
          <w:sz w:val="24"/>
          <w:szCs w:val="24"/>
          <w:lang w:val="en-GB" w:bidi="fa-IR"/>
        </w:rPr>
        <w:t xml:space="preserve"> </w:t>
      </w:r>
      <w:r w:rsidR="000373DA" w:rsidRPr="00F71F57">
        <w:rPr>
          <w:rFonts w:asciiTheme="majorBidi" w:hAnsiTheme="majorBidi" w:cstheme="majorBidi"/>
          <w:sz w:val="24"/>
          <w:szCs w:val="24"/>
          <w:lang w:val="en-GB" w:bidi="fa-IR"/>
        </w:rPr>
        <w:fldChar w:fldCharType="begin">
          <w:fldData xml:space="preserve">PEVuZE5vdGU+PENpdGU+PEF1dGhvcj5LYXRhZnVjaGk8L0F1dGhvcj48WWVhcj4yMDE2PC9ZZWFy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==
</w:fldData>
        </w:fldChar>
      </w:r>
      <w:r w:rsidR="00D92645" w:rsidRPr="00F71F57">
        <w:rPr>
          <w:rFonts w:asciiTheme="majorBidi" w:hAnsiTheme="majorBidi" w:cstheme="majorBidi"/>
          <w:sz w:val="24"/>
          <w:szCs w:val="24"/>
          <w:lang w:val="en-GB" w:bidi="fa-IR"/>
        </w:rPr>
        <w:instrText xml:space="preserve"> ADDIN EN.CITE </w:instrText>
      </w:r>
      <w:r w:rsidR="00D92645" w:rsidRPr="00F71F57">
        <w:rPr>
          <w:rFonts w:asciiTheme="majorBidi" w:hAnsiTheme="majorBidi" w:cstheme="majorBidi"/>
          <w:sz w:val="24"/>
          <w:szCs w:val="24"/>
          <w:lang w:val="en-GB" w:bidi="fa-IR"/>
        </w:rPr>
        <w:fldChar w:fldCharType="begin">
          <w:fldData xml:space="preserve">PEVuZE5vdGU+PENpdGU+PEF1dGhvcj5LYXRhZnVjaGk8L0F1dGhvcj48WWVhcj4yMDE2PC9ZZWFy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==
</w:fldData>
        </w:fldChar>
      </w:r>
      <w:r w:rsidR="00D92645" w:rsidRPr="00F71F57">
        <w:rPr>
          <w:rFonts w:asciiTheme="majorBidi" w:hAnsiTheme="majorBidi" w:cstheme="majorBidi"/>
          <w:sz w:val="24"/>
          <w:szCs w:val="24"/>
          <w:lang w:val="en-GB" w:bidi="fa-IR"/>
        </w:rPr>
        <w:instrText xml:space="preserve"> ADDIN EN.CITE.DATA </w:instrText>
      </w:r>
      <w:r w:rsidR="00D92645" w:rsidRPr="00F71F57">
        <w:rPr>
          <w:rFonts w:asciiTheme="majorBidi" w:hAnsiTheme="majorBidi" w:cstheme="majorBidi"/>
          <w:sz w:val="24"/>
          <w:szCs w:val="24"/>
          <w:lang w:val="en-GB" w:bidi="fa-IR"/>
        </w:rPr>
      </w:r>
      <w:r w:rsidR="00D92645" w:rsidRPr="00F71F57">
        <w:rPr>
          <w:rFonts w:asciiTheme="majorBidi" w:hAnsiTheme="majorBidi" w:cstheme="majorBidi"/>
          <w:sz w:val="24"/>
          <w:szCs w:val="24"/>
          <w:lang w:val="en-GB" w:bidi="fa-IR"/>
        </w:rPr>
        <w:fldChar w:fldCharType="end"/>
      </w:r>
      <w:r w:rsidR="000373DA" w:rsidRPr="00F71F57">
        <w:rPr>
          <w:rFonts w:asciiTheme="majorBidi" w:hAnsiTheme="majorBidi" w:cstheme="majorBidi"/>
          <w:sz w:val="24"/>
          <w:szCs w:val="24"/>
          <w:lang w:val="en-GB" w:bidi="fa-IR"/>
        </w:rPr>
      </w:r>
      <w:r w:rsidR="000373DA" w:rsidRPr="00F71F57">
        <w:rPr>
          <w:rFonts w:asciiTheme="majorBidi" w:hAnsiTheme="majorBidi" w:cstheme="majorBidi"/>
          <w:sz w:val="24"/>
          <w:szCs w:val="24"/>
          <w:lang w:val="en-GB" w:bidi="fa-IR"/>
        </w:rPr>
        <w:fldChar w:fldCharType="separate"/>
      </w:r>
      <w:r w:rsidR="00D92645" w:rsidRPr="00F71F57">
        <w:rPr>
          <w:rFonts w:asciiTheme="majorBidi" w:hAnsiTheme="majorBidi" w:cstheme="majorBidi"/>
          <w:sz w:val="24"/>
          <w:szCs w:val="24"/>
          <w:lang w:val="en-GB" w:bidi="fa-IR"/>
        </w:rPr>
        <w:t>(</w:t>
      </w:r>
      <w:hyperlink w:anchor="_ENREF_75" w:tooltip="Faideau, 2010 #116" w:history="1">
        <w:r w:rsidR="00DE113E" w:rsidRPr="00F71F57">
          <w:rPr>
            <w:rFonts w:asciiTheme="majorBidi" w:hAnsiTheme="majorBidi" w:cstheme="majorBidi"/>
            <w:sz w:val="24"/>
            <w:szCs w:val="24"/>
            <w:lang w:val="en-GB" w:bidi="fa-IR"/>
          </w:rPr>
          <w:t>Faideau et al., 2010</w:t>
        </w:r>
      </w:hyperlink>
      <w:r w:rsidR="00D92645" w:rsidRPr="00F71F57">
        <w:rPr>
          <w:rFonts w:asciiTheme="majorBidi" w:hAnsiTheme="majorBidi" w:cstheme="majorBidi"/>
          <w:sz w:val="24"/>
          <w:szCs w:val="24"/>
          <w:lang w:val="en-GB" w:bidi="fa-IR"/>
        </w:rPr>
        <w:t xml:space="preserve">; </w:t>
      </w:r>
      <w:hyperlink w:anchor="_ENREF_119" w:tooltip="Katafuchi, 2016 #115" w:history="1">
        <w:r w:rsidR="00DE113E" w:rsidRPr="00F71F57">
          <w:rPr>
            <w:rFonts w:asciiTheme="majorBidi" w:hAnsiTheme="majorBidi" w:cstheme="majorBidi"/>
            <w:sz w:val="24"/>
            <w:szCs w:val="24"/>
            <w:lang w:val="en-GB" w:bidi="fa-IR"/>
          </w:rPr>
          <w:t>Katafuchi &amp; Noda, 2016</w:t>
        </w:r>
      </w:hyperlink>
      <w:r w:rsidR="00D92645" w:rsidRPr="00F71F57">
        <w:rPr>
          <w:rFonts w:asciiTheme="majorBidi" w:hAnsiTheme="majorBidi" w:cstheme="majorBidi"/>
          <w:sz w:val="24"/>
          <w:szCs w:val="24"/>
          <w:lang w:val="en-GB" w:bidi="fa-IR"/>
        </w:rPr>
        <w:t>)</w:t>
      </w:r>
      <w:r w:rsidR="000373DA" w:rsidRPr="00F71F57">
        <w:rPr>
          <w:rFonts w:asciiTheme="majorBidi" w:hAnsiTheme="majorBidi" w:cstheme="majorBidi"/>
          <w:sz w:val="24"/>
          <w:szCs w:val="24"/>
          <w:lang w:val="en-GB" w:bidi="fa-IR"/>
        </w:rPr>
        <w:fldChar w:fldCharType="end"/>
      </w:r>
      <w:r w:rsidR="000373DA" w:rsidRPr="00F71F57">
        <w:rPr>
          <w:rFonts w:asciiTheme="majorBidi" w:hAnsiTheme="majorBidi" w:cstheme="majorBidi"/>
          <w:sz w:val="24"/>
          <w:szCs w:val="24"/>
          <w:lang w:val="en-GB" w:bidi="fa-IR"/>
        </w:rPr>
        <w:t>.</w:t>
      </w:r>
      <w:r w:rsidR="00244365"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Research has shown that neuroinflammation is not merely a consequence of neurodegeneration but can actively influence disease trajectory. Specifically, astrocytes and microglia secrete inflammatory mediators that further propagate neuroinflammatory responses, creating a feedback loop that amplifies cellular damage. In conditions such as Parkinson's disease (PD), neuroinflammatory markers in cerebrospinal fluid and blood have been correlated with cognitive decline and motor symptoms</w:t>
      </w:r>
      <w:r w:rsidR="005C648D" w:rsidRPr="00F71F57">
        <w:rPr>
          <w:lang w:val="en-GB"/>
        </w:rPr>
        <w:t xml:space="preserve"> </w:t>
      </w:r>
      <w:r w:rsidR="005C648D" w:rsidRPr="00F71F57">
        <w:rPr>
          <w:rFonts w:asciiTheme="majorBidi" w:hAnsiTheme="majorBidi" w:cstheme="majorBidi"/>
          <w:sz w:val="24"/>
          <w:szCs w:val="24"/>
          <w:lang w:val="en-GB" w:bidi="fa-IR"/>
        </w:rPr>
        <w:fldChar w:fldCharType="begin"/>
      </w:r>
      <w:r w:rsidR="00D92645" w:rsidRPr="00F71F57">
        <w:rPr>
          <w:rFonts w:asciiTheme="majorBidi" w:hAnsiTheme="majorBidi" w:cstheme="majorBidi"/>
          <w:sz w:val="24"/>
          <w:szCs w:val="24"/>
          <w:lang w:val="en-GB" w:bidi="fa-IR"/>
        </w:rPr>
        <w:instrText xml:space="preserve"> ADDIN EN.CITE &lt;EndNote&gt;&lt;Cite&gt;&lt;Author&gt;Tansey&lt;/Author&gt;&lt;Year&gt;2022&lt;/Year&gt;&lt;RecNum&gt;118&lt;/RecNum&gt;&lt;DisplayText&gt;(Suk, 2010; Tansey et al., 2022)&lt;/DisplayText&gt;&lt;record&gt;&lt;rec-number&gt;118&lt;/rec-number&gt;&lt;foreign-keys&gt;&lt;key app="EN" db-id="2ptrtps0adr9vke22dn5tpwzrsfaxtxrfwet" timestamp="1755686079"&gt;118&lt;/key&gt;&lt;/foreign-keys&gt;&lt;ref-type name="Journal Article"&gt;17&lt;/ref-type&gt;&lt;contributors&gt;&lt;authors&gt;&lt;author&gt;Tansey, Malú G.&lt;/author&gt;&lt;author&gt;Wallings, Rebecca L.&lt;/author&gt;&lt;author&gt;Houser, Madelyn C.&lt;/author&gt;&lt;author&gt;Herrick, Mary K.&lt;/author&gt;&lt;author&gt;Keating, Cody E.&lt;/author&gt;&lt;author&gt;Joers, Valerie&lt;/author&gt;&lt;/authors&gt;&lt;/contributors&gt;&lt;titles&gt;&lt;title&gt;Inflammation and Immune Dysfunction in Parkinson Disease&lt;/title&gt;&lt;secondary-title&gt;Nature Reviews Immunology&lt;/secondary-title&gt;&lt;/titles&gt;&lt;periodical&gt;&lt;full-title&gt;Nature Reviews Immunology&lt;/full-title&gt;&lt;/periodical&gt;&lt;pages&gt;657-673&lt;/pages&gt;&lt;volume&gt;22&lt;/volume&gt;&lt;number&gt;11&lt;/number&gt;&lt;dates&gt;&lt;year&gt;2022&lt;/year&gt;&lt;/dates&gt;&lt;urls&gt;&lt;/urls&gt;&lt;electronic-resource-num&gt;10.1038/s41577-022-00684-6&lt;/electronic-resource-num&gt;&lt;/record&gt;&lt;/Cite&gt;&lt;Cite&gt;&lt;Author&gt;Suk&lt;/Author&gt;&lt;Year&gt;2010&lt;/Year&gt;&lt;RecNum&gt;117&lt;/RecNum&gt;&lt;record&gt;&lt;rec-number&gt;117&lt;/rec-number&gt;&lt;foreign-keys&gt;&lt;key app="EN" db-id="2ptrtps0adr9vke22dn5tpwzrsfaxtxrfwet" timestamp="1755686053"&gt;117&lt;/key&gt;&lt;/foreign-keys&gt;&lt;ref-type name="Journal Article"&gt;17&lt;/ref-type&gt;&lt;contributors&gt;&lt;authors&gt;&lt;author&gt;Suk, Kyoungho&lt;/author&gt;&lt;/authors&gt;&lt;/contributors&gt;&lt;titles&gt;&lt;title&gt;Combined Analysis of the Glia Secretome and the CSF Proteome: Neuroinflammation and Novel Biomarkers&lt;/title&gt;&lt;secondary-title&gt;Expert Review of Proteomics&lt;/secondary-title&gt;&lt;/titles&gt;&lt;periodical&gt;&lt;full-title&gt;Expert Review of Proteomics&lt;/full-title&gt;&lt;/periodical&gt;&lt;pages&gt;263-274&lt;/pages&gt;&lt;volume&gt;7&lt;/volume&gt;&lt;number&gt;2&lt;/number&gt;&lt;dates&gt;&lt;year&gt;2010&lt;/year&gt;&lt;/dates&gt;&lt;urls&gt;&lt;/urls&gt;&lt;electronic-resource-num&gt;10.1586/epr.10.6&lt;/electronic-resource-num&gt;&lt;/record&gt;&lt;/Cite&gt;&lt;/EndNote&gt;</w:instrText>
      </w:r>
      <w:r w:rsidR="005C648D" w:rsidRPr="00F71F57">
        <w:rPr>
          <w:rFonts w:asciiTheme="majorBidi" w:hAnsiTheme="majorBidi" w:cstheme="majorBidi"/>
          <w:sz w:val="24"/>
          <w:szCs w:val="24"/>
          <w:lang w:val="en-GB" w:bidi="fa-IR"/>
        </w:rPr>
        <w:fldChar w:fldCharType="separate"/>
      </w:r>
      <w:r w:rsidR="00D92645" w:rsidRPr="00F71F57">
        <w:rPr>
          <w:rFonts w:asciiTheme="majorBidi" w:hAnsiTheme="majorBidi" w:cstheme="majorBidi"/>
          <w:sz w:val="24"/>
          <w:szCs w:val="24"/>
          <w:lang w:val="en-GB" w:bidi="fa-IR"/>
        </w:rPr>
        <w:t>(</w:t>
      </w:r>
      <w:hyperlink w:anchor="_ENREF_232" w:tooltip="Suk, 2010 #117" w:history="1">
        <w:r w:rsidR="00DE113E" w:rsidRPr="00F71F57">
          <w:rPr>
            <w:rFonts w:asciiTheme="majorBidi" w:hAnsiTheme="majorBidi" w:cstheme="majorBidi"/>
            <w:sz w:val="24"/>
            <w:szCs w:val="24"/>
            <w:lang w:val="en-GB" w:bidi="fa-IR"/>
          </w:rPr>
          <w:t>Suk, 2010</w:t>
        </w:r>
      </w:hyperlink>
      <w:r w:rsidR="00D92645" w:rsidRPr="00F71F57">
        <w:rPr>
          <w:rFonts w:asciiTheme="majorBidi" w:hAnsiTheme="majorBidi" w:cstheme="majorBidi"/>
          <w:sz w:val="24"/>
          <w:szCs w:val="24"/>
          <w:lang w:val="en-GB" w:bidi="fa-IR"/>
        </w:rPr>
        <w:t xml:space="preserve">; </w:t>
      </w:r>
      <w:hyperlink w:anchor="_ENREF_244" w:tooltip="Tansey, 2022 #118" w:history="1">
        <w:r w:rsidR="00DE113E" w:rsidRPr="00F71F57">
          <w:rPr>
            <w:rFonts w:asciiTheme="majorBidi" w:hAnsiTheme="majorBidi" w:cstheme="majorBidi"/>
            <w:sz w:val="24"/>
            <w:szCs w:val="24"/>
            <w:lang w:val="en-GB" w:bidi="fa-IR"/>
          </w:rPr>
          <w:t>Tansey et al., 2022</w:t>
        </w:r>
      </w:hyperlink>
      <w:r w:rsidR="00D92645" w:rsidRPr="00F71F57">
        <w:rPr>
          <w:rFonts w:asciiTheme="majorBidi" w:hAnsiTheme="majorBidi" w:cstheme="majorBidi"/>
          <w:sz w:val="24"/>
          <w:szCs w:val="24"/>
          <w:lang w:val="en-GB" w:bidi="fa-IR"/>
        </w:rPr>
        <w:t>)</w:t>
      </w:r>
      <w:r w:rsidR="005C648D" w:rsidRPr="00F71F57">
        <w:rPr>
          <w:rFonts w:asciiTheme="majorBidi" w:hAnsiTheme="majorBidi" w:cstheme="majorBidi"/>
          <w:sz w:val="24"/>
          <w:szCs w:val="24"/>
          <w:lang w:val="en-GB" w:bidi="fa-IR"/>
        </w:rPr>
        <w:fldChar w:fldCharType="end"/>
      </w:r>
      <w:r w:rsidR="005C648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Moreover, therapeutic approaches aimed at modulating glial activation show promise in preclinical and clinical settings, indicating that targeting neuroinflammation may represent a viable strategy to mitigate the effects of neurodegenerative diseases </w:t>
      </w:r>
      <w:r w:rsidR="00D92645" w:rsidRPr="00F71F57">
        <w:rPr>
          <w:rFonts w:asciiTheme="majorBidi" w:hAnsiTheme="majorBidi" w:cstheme="majorBidi"/>
          <w:sz w:val="24"/>
          <w:szCs w:val="24"/>
          <w:lang w:val="en-GB" w:bidi="fa-IR"/>
        </w:rPr>
        <w:fldChar w:fldCharType="begin"/>
      </w:r>
      <w:r w:rsidR="00D92645" w:rsidRPr="00F71F57">
        <w:rPr>
          <w:rFonts w:asciiTheme="majorBidi" w:hAnsiTheme="majorBidi" w:cstheme="majorBidi"/>
          <w:sz w:val="24"/>
          <w:szCs w:val="24"/>
          <w:lang w:val="en-GB" w:bidi="fa-IR"/>
        </w:rPr>
        <w:instrText xml:space="preserve"> ADDIN EN.CITE &lt;EndNote&gt;&lt;Cite&gt;&lt;Author&gt;Cheataini&lt;/Author&gt;&lt;Year&gt;2023&lt;/Year&gt;&lt;RecNum&gt;112&lt;/RecNum&gt;&lt;DisplayText&gt;(Cheataini et al., 2023; Tamura et al., 2009)&lt;/DisplayText&gt;&lt;record&gt;&lt;rec-number&gt;112&lt;/rec-number&gt;&lt;foreign-keys&gt;&lt;key app="EN" db-id="2ptrtps0adr9vke22dn5tpwzrsfaxtxrfwet" timestamp="1755685351"&gt;112&lt;/key&gt;&lt;/foreign-keys&gt;&lt;ref-type name="Journal Article"&gt;17&lt;/ref-type&gt;&lt;contributors&gt;&lt;authors&gt;&lt;author&gt;Cheataini, Fatima&lt;/author&gt;&lt;author&gt;Ballout, Nissrine&lt;/author&gt;&lt;author&gt;Sagheer, Tareq Al&lt;/author&gt;&lt;/authors&gt;&lt;/contributors&gt;&lt;titles&gt;&lt;title&gt;The Effect of Neuroinflammation on the Cerebral Metabolism at Baseline and After Neural Stimulation in Neurodegenerative Diseases&lt;/title&gt;&lt;secondary-title&gt;Journal of Neuroscience Research&lt;/secondary-title&gt;&lt;/titles&gt;&lt;periodical&gt;&lt;full-title&gt;Journal of Neuroscience Research&lt;/full-title&gt;&lt;/periodical&gt;&lt;pages&gt;1360-1379&lt;/pages&gt;&lt;volume&gt;101&lt;/volume&gt;&lt;number&gt;8&lt;/number&gt;&lt;dates&gt;&lt;year&gt;2023&lt;/year&gt;&lt;/dates&gt;&lt;urls&gt;&lt;/urls&gt;&lt;electronic-resource-num&gt;10.1002/jnr.25198&lt;/electronic-resource-num&gt;&lt;/record&gt;&lt;/Cite&gt;&lt;Cite&gt;&lt;Author&gt;Tamura&lt;/Author&gt;&lt;Year&gt;2009&lt;/Year&gt;&lt;RecNum&gt;119&lt;/RecNum&gt;&lt;record&gt;&lt;rec-number&gt;119&lt;/rec-number&gt;&lt;foreign-keys&gt;&lt;key app="EN" db-id="2ptrtps0adr9vke22dn5tpwzrsfaxtxrfwet" timestamp="1755686132"&gt;119&lt;/key&gt;&lt;/foreign-keys&gt;&lt;ref-type name="Journal Article"&gt;17&lt;/ref-type&gt;&lt;contributors&gt;&lt;authors&gt;&lt;author&gt;Tamura, Takuya&lt;/author&gt;&lt;author&gt;Yamashita, Mayumi&lt;/author&gt;&lt;author&gt;Sone, Masaki&lt;/author&gt;&lt;author&gt;Okazawa, Hitoshi&lt;/author&gt;&lt;/authors&gt;&lt;/contributors&gt;&lt;titles&gt;&lt;title&gt;Glial Cell Lineage Expression of Mutant Ataxin-1 and Huntingtin Induces Developmental and Late-Onset Neuronal Pathologies in Drosophila Models&lt;/title&gt;&lt;secondary-title&gt;Neuroscience Research&lt;/secondary-title&gt;&lt;/titles&gt;&lt;periodical&gt;&lt;full-title&gt;Neuroscience Research&lt;/full-title&gt;&lt;/periodical&gt;&lt;pages&gt;S247&lt;/pages&gt;&lt;volume&gt;65&lt;/volume&gt;&lt;dates&gt;&lt;year&gt;2009&lt;/year&gt;&lt;/dates&gt;&lt;urls&gt;&lt;/urls&gt;&lt;electronic-resource-num&gt;10.1016/j.neures.2009.09.1399&lt;/electronic-resource-num&gt;&lt;/record&gt;&lt;/Cite&gt;&lt;/EndNote&gt;</w:instrText>
      </w:r>
      <w:r w:rsidR="00D92645" w:rsidRPr="00F71F57">
        <w:rPr>
          <w:rFonts w:asciiTheme="majorBidi" w:hAnsiTheme="majorBidi" w:cstheme="majorBidi"/>
          <w:sz w:val="24"/>
          <w:szCs w:val="24"/>
          <w:lang w:val="en-GB" w:bidi="fa-IR"/>
        </w:rPr>
        <w:fldChar w:fldCharType="separate"/>
      </w:r>
      <w:r w:rsidR="00D92645" w:rsidRPr="00F71F57">
        <w:rPr>
          <w:rFonts w:asciiTheme="majorBidi" w:hAnsiTheme="majorBidi" w:cstheme="majorBidi"/>
          <w:sz w:val="24"/>
          <w:szCs w:val="24"/>
          <w:lang w:val="en-GB" w:bidi="fa-IR"/>
        </w:rPr>
        <w:t>(</w:t>
      </w:r>
      <w:hyperlink w:anchor="_ENREF_42" w:tooltip="Cheataini, 2023 #112" w:history="1">
        <w:r w:rsidR="00DE113E" w:rsidRPr="00F71F57">
          <w:rPr>
            <w:rFonts w:asciiTheme="majorBidi" w:hAnsiTheme="majorBidi" w:cstheme="majorBidi"/>
            <w:sz w:val="24"/>
            <w:szCs w:val="24"/>
            <w:lang w:val="en-GB" w:bidi="fa-IR"/>
          </w:rPr>
          <w:t>Cheataini et al., 2023</w:t>
        </w:r>
      </w:hyperlink>
      <w:r w:rsidR="00D92645" w:rsidRPr="00F71F57">
        <w:rPr>
          <w:rFonts w:asciiTheme="majorBidi" w:hAnsiTheme="majorBidi" w:cstheme="majorBidi"/>
          <w:sz w:val="24"/>
          <w:szCs w:val="24"/>
          <w:lang w:val="en-GB" w:bidi="fa-IR"/>
        </w:rPr>
        <w:t xml:space="preserve">; </w:t>
      </w:r>
      <w:hyperlink w:anchor="_ENREF_241" w:tooltip="Tamura, 2009 #119" w:history="1">
        <w:r w:rsidR="00DE113E" w:rsidRPr="00F71F57">
          <w:rPr>
            <w:rFonts w:asciiTheme="majorBidi" w:hAnsiTheme="majorBidi" w:cstheme="majorBidi"/>
            <w:sz w:val="24"/>
            <w:szCs w:val="24"/>
            <w:lang w:val="en-GB" w:bidi="fa-IR"/>
          </w:rPr>
          <w:t>Tamura et al., 2009</w:t>
        </w:r>
      </w:hyperlink>
      <w:r w:rsidR="00D92645" w:rsidRPr="00F71F57">
        <w:rPr>
          <w:rFonts w:asciiTheme="majorBidi" w:hAnsiTheme="majorBidi" w:cstheme="majorBidi"/>
          <w:sz w:val="24"/>
          <w:szCs w:val="24"/>
          <w:lang w:val="en-GB" w:bidi="fa-IR"/>
        </w:rPr>
        <w:t>)</w:t>
      </w:r>
      <w:r w:rsidR="00D92645"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244365"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In summary, neuroinflammation, primarily involving glial activation, is a hallmark of neurodegenerative diseases, contributing to neuronal loss and cognitive decline. Understanding the dual role of glial </w:t>
      </w:r>
      <w:r w:rsidRPr="00F71F57">
        <w:rPr>
          <w:rFonts w:asciiTheme="majorBidi" w:hAnsiTheme="majorBidi" w:cstheme="majorBidi"/>
          <w:sz w:val="24"/>
          <w:szCs w:val="24"/>
          <w:lang w:val="en-GB" w:bidi="fa-IR"/>
        </w:rPr>
        <w:lastRenderedPageBreak/>
        <w:t>cells—acting as both protectors and detractors—is critical for developing effective therapies that address not only the inflammatory responses but also the underlying neurodegenerative processes.</w:t>
      </w:r>
    </w:p>
    <w:p w14:paraId="67EE2E4A" w14:textId="77777777" w:rsidR="000F24F9" w:rsidRPr="00F71F57" w:rsidRDefault="000F24F9" w:rsidP="00C80A17">
      <w:pPr>
        <w:jc w:val="both"/>
        <w:rPr>
          <w:rFonts w:asciiTheme="majorBidi" w:hAnsiTheme="majorBidi" w:cstheme="majorBidi"/>
          <w:sz w:val="24"/>
          <w:szCs w:val="24"/>
          <w:lang w:val="en-GB" w:bidi="fa-IR"/>
        </w:rPr>
      </w:pPr>
    </w:p>
    <w:p w14:paraId="1AB62834" w14:textId="124DF1B0" w:rsidR="00A853A0" w:rsidRPr="00F71F57" w:rsidRDefault="00A853A0" w:rsidP="00984E32">
      <w:pPr>
        <w:pStyle w:val="Heading4"/>
        <w:rPr>
          <w:lang w:bidi="fa-IR"/>
        </w:rPr>
      </w:pPr>
      <w:bookmarkStart w:id="21" w:name="_Toc214875829"/>
      <w:r w:rsidRPr="00F71F57">
        <w:rPr>
          <w:lang w:bidi="fa-IR"/>
        </w:rPr>
        <w:t>1.2.2.</w:t>
      </w:r>
      <w:r w:rsidR="00AD660C" w:rsidRPr="00F71F57">
        <w:rPr>
          <w:lang w:bidi="fa-IR"/>
        </w:rPr>
        <w:t>3</w:t>
      </w:r>
      <w:r w:rsidRPr="00F71F57">
        <w:rPr>
          <w:lang w:bidi="fa-IR"/>
        </w:rPr>
        <w:t xml:space="preserve"> Synaptic Dysfunction and Neurotransmitter Imbalance</w:t>
      </w:r>
      <w:bookmarkEnd w:id="21"/>
    </w:p>
    <w:p w14:paraId="7D28757C" w14:textId="2A7BD228" w:rsidR="00AD660C" w:rsidRPr="00F71F57" w:rsidRDefault="00AD660C"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Synaptic dysfunction and neurotransmitter imbalance are pivotal features characterizing a range of neurodegenerative diseases, including Alzheimer’s disease (AD), Parkinson’s disease (PD), Huntington’s disease (HD), and more. These alterations contribute significantly to cognitive decline, affecting learning and memory, and represent some of the earliest pathological signs in the trajectory of these diseases.</w:t>
      </w:r>
      <w:r w:rsidR="007F1E7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At the synaptic level, the presence of amyloid-beta (Aβ) plaques and tau hyperphosphorylation has been shown to disrupt synaptic integrity and </w:t>
      </w:r>
      <w:r w:rsidR="00183815" w:rsidRPr="00F71F57">
        <w:rPr>
          <w:rFonts w:asciiTheme="majorBidi" w:hAnsiTheme="majorBidi" w:cstheme="majorBidi"/>
          <w:sz w:val="24"/>
          <w:szCs w:val="24"/>
          <w:lang w:val="en-GB" w:bidi="fa-IR"/>
        </w:rPr>
        <w:t>specifically</w:t>
      </w:r>
      <w:r w:rsidRPr="00F71F57">
        <w:rPr>
          <w:rFonts w:asciiTheme="majorBidi" w:hAnsiTheme="majorBidi" w:cstheme="majorBidi"/>
          <w:sz w:val="24"/>
          <w:szCs w:val="24"/>
          <w:lang w:val="en-GB" w:bidi="fa-IR"/>
        </w:rPr>
        <w:t xml:space="preserve">, Aβ is recognized as a detrimental factor that initiates synaptic loss, leading to cognitive deficits associated with memory and learning. Additionally, tau aggregation interferes with synaptic function, promoting excitotoxicity and further exacerbating synaptic dysfunction. This pathophysiological process is indicative of AD, where synaptic dysfunction occurs prior to significant neuronal loss, </w:t>
      </w:r>
      <w:r w:rsidR="00C42316" w:rsidRPr="00F71F57">
        <w:rPr>
          <w:rFonts w:asciiTheme="majorBidi" w:hAnsiTheme="majorBidi" w:cstheme="majorBidi"/>
          <w:sz w:val="24"/>
          <w:szCs w:val="24"/>
          <w:lang w:val="en-GB" w:bidi="fa-IR"/>
        </w:rPr>
        <w:t>underscoring its classification as a synaptopathy, with reductions in synaptophysin expression serving as an early biomarker of synaptic loss</w:t>
      </w:r>
      <w:r w:rsidR="00C42316" w:rsidRPr="00F71F57">
        <w:rPr>
          <w:rFonts w:asciiTheme="majorBidi" w:hAnsiTheme="majorBidi" w:cstheme="majorBidi"/>
          <w:sz w:val="24"/>
          <w:szCs w:val="24"/>
          <w:rtl/>
          <w:lang w:val="en-GB" w:bidi="fa-IR"/>
        </w:rPr>
        <w:t xml:space="preserve"> </w:t>
      </w:r>
      <w:r w:rsidR="00183815" w:rsidRPr="00F71F57">
        <w:rPr>
          <w:rFonts w:asciiTheme="majorBidi" w:hAnsiTheme="majorBidi" w:cstheme="majorBidi"/>
          <w:sz w:val="24"/>
          <w:szCs w:val="24"/>
          <w:lang w:val="en-GB" w:bidi="fa-IR"/>
        </w:rPr>
        <w:fldChar w:fldCharType="begin"/>
      </w:r>
      <w:r w:rsidR="00183815" w:rsidRPr="00F71F57">
        <w:rPr>
          <w:rFonts w:asciiTheme="majorBidi" w:hAnsiTheme="majorBidi" w:cstheme="majorBidi"/>
          <w:sz w:val="24"/>
          <w:szCs w:val="24"/>
          <w:lang w:val="en-GB" w:bidi="fa-IR"/>
        </w:rPr>
        <w:instrText xml:space="preserve"> ADDIN EN.CITE &lt;EndNote&gt;&lt;Cite&gt;&lt;Author&gt;Purro&lt;/Author&gt;&lt;Year&gt;2012&lt;/Year&gt;&lt;RecNum&gt;120&lt;/RecNum&gt;&lt;DisplayText&gt;(Meftah &amp;amp; Gan, 2023; Purro et al., 2012)&lt;/DisplayText&gt;&lt;record&gt;&lt;rec-number&gt;120&lt;/rec-number&gt;&lt;foreign-keys&gt;&lt;key app="EN" db-id="2ptrtps0adr9vke22dn5tpwzrsfaxtxrfwet" timestamp="1755687511"&gt;120&lt;/key&gt;&lt;/foreign-keys&gt;&lt;ref-type name="Journal Article"&gt;17&lt;/ref-type&gt;&lt;contributors&gt;&lt;authors&gt;&lt;author&gt;Purro, Silvia A.&lt;/author&gt;&lt;author&gt;Dickins, Ellen M.&lt;/author&gt;&lt;author&gt;Salinas, Patricia C.&lt;/author&gt;&lt;/authors&gt;&lt;/contributors&gt;&lt;titles&gt;&lt;title&gt;The Secreted WNT Antagonist Dickkopf-1 Is Required for Amyloid Β-Mediated Synaptic Loss&lt;/title&gt;&lt;secondary-title&gt;Journal of Neuroscience&lt;/secondary-title&gt;&lt;/titles&gt;&lt;periodical&gt;&lt;full-title&gt;Journal of Neuroscience&lt;/full-title&gt;&lt;/periodical&gt;&lt;pages&gt;3492-3498&lt;/pages&gt;&lt;volume&gt;32&lt;/volume&gt;&lt;number&gt;10&lt;/number&gt;&lt;dates&gt;&lt;year&gt;2012&lt;/year&gt;&lt;/dates&gt;&lt;urls&gt;&lt;/urls&gt;&lt;electronic-resource-num&gt;10.1523/jneurosci.4562-11.2012&lt;/electronic-resource-num&gt;&lt;/record&gt;&lt;/Cite&gt;&lt;Cite&gt;&lt;Author&gt;Meftah&lt;/Author&gt;&lt;Year&gt;2023&lt;/Year&gt;&lt;RecNum&gt;121&lt;/RecNum&gt;&lt;record&gt;&lt;rec-number&gt;121&lt;/rec-number&gt;&lt;foreign-keys&gt;&lt;key app="EN" db-id="2ptrtps0adr9vke22dn5tpwzrsfaxtxrfwet" timestamp="1755687547"&gt;121&lt;/key&gt;&lt;/foreign-keys&gt;&lt;ref-type name="Journal Article"&gt;17&lt;/ref-type&gt;&lt;contributors&gt;&lt;authors&gt;&lt;author&gt;Meftah, S.&lt;/author&gt;&lt;author&gt;Gan, Jian&lt;/author&gt;&lt;/authors&gt;&lt;/contributors&gt;&lt;titles&gt;&lt;title&gt;Alzheimer’s Disease as a Synaptopathy: Evidence for Dysfunction of Synapses During Disease Progression&lt;/title&gt;&lt;secondary-title&gt;Frontiers in Synaptic Neuroscience&lt;/secondary-title&gt;&lt;/titles&gt;&lt;periodical&gt;&lt;full-title&gt;Frontiers in Synaptic Neuroscience&lt;/full-title&gt;&lt;/periodical&gt;&lt;volume&gt;15&lt;/volume&gt;&lt;dates&gt;&lt;year&gt;2023&lt;/year&gt;&lt;/dates&gt;&lt;urls&gt;&lt;/urls&gt;&lt;electronic-resource-num&gt;10.3389/fnsyn.2023.1129036&lt;/electronic-resource-num&gt;&lt;/record&gt;&lt;/Cite&gt;&lt;/EndNote&gt;</w:instrText>
      </w:r>
      <w:r w:rsidR="00183815" w:rsidRPr="00F71F57">
        <w:rPr>
          <w:rFonts w:asciiTheme="majorBidi" w:hAnsiTheme="majorBidi" w:cstheme="majorBidi"/>
          <w:sz w:val="24"/>
          <w:szCs w:val="24"/>
          <w:lang w:val="en-GB" w:bidi="fa-IR"/>
        </w:rPr>
        <w:fldChar w:fldCharType="separate"/>
      </w:r>
      <w:r w:rsidR="00183815" w:rsidRPr="00F71F57">
        <w:rPr>
          <w:rFonts w:asciiTheme="majorBidi" w:hAnsiTheme="majorBidi" w:cstheme="majorBidi"/>
          <w:sz w:val="24"/>
          <w:szCs w:val="24"/>
          <w:lang w:val="en-GB" w:bidi="fa-IR"/>
        </w:rPr>
        <w:t>(</w:t>
      </w:r>
      <w:hyperlink w:anchor="_ENREF_156" w:tooltip="Meftah, 2023 #121" w:history="1">
        <w:r w:rsidR="00DE113E" w:rsidRPr="00F71F57">
          <w:rPr>
            <w:rFonts w:asciiTheme="majorBidi" w:hAnsiTheme="majorBidi" w:cstheme="majorBidi"/>
            <w:sz w:val="24"/>
            <w:szCs w:val="24"/>
            <w:lang w:val="en-GB" w:bidi="fa-IR"/>
          </w:rPr>
          <w:t>Meftah &amp; Gan, 2023</w:t>
        </w:r>
      </w:hyperlink>
      <w:r w:rsidR="00183815" w:rsidRPr="00F71F57">
        <w:rPr>
          <w:rFonts w:asciiTheme="majorBidi" w:hAnsiTheme="majorBidi" w:cstheme="majorBidi"/>
          <w:sz w:val="24"/>
          <w:szCs w:val="24"/>
          <w:lang w:val="en-GB" w:bidi="fa-IR"/>
        </w:rPr>
        <w:t xml:space="preserve">; </w:t>
      </w:r>
      <w:hyperlink w:anchor="_ENREF_192" w:tooltip="Purro, 2012 #120" w:history="1">
        <w:r w:rsidR="00DE113E" w:rsidRPr="00F71F57">
          <w:rPr>
            <w:rFonts w:asciiTheme="majorBidi" w:hAnsiTheme="majorBidi" w:cstheme="majorBidi"/>
            <w:sz w:val="24"/>
            <w:szCs w:val="24"/>
            <w:lang w:val="en-GB" w:bidi="fa-IR"/>
          </w:rPr>
          <w:t>Purro et al., 2012</w:t>
        </w:r>
      </w:hyperlink>
      <w:r w:rsidR="00183815" w:rsidRPr="00F71F57">
        <w:rPr>
          <w:rFonts w:asciiTheme="majorBidi" w:hAnsiTheme="majorBidi" w:cstheme="majorBidi"/>
          <w:sz w:val="24"/>
          <w:szCs w:val="24"/>
          <w:lang w:val="en-GB" w:bidi="fa-IR"/>
        </w:rPr>
        <w:t>)</w:t>
      </w:r>
      <w:r w:rsidR="00183815" w:rsidRPr="00F71F57">
        <w:rPr>
          <w:rFonts w:asciiTheme="majorBidi" w:hAnsiTheme="majorBidi" w:cstheme="majorBidi"/>
          <w:sz w:val="24"/>
          <w:szCs w:val="24"/>
          <w:lang w:val="en-GB" w:bidi="fa-IR"/>
        </w:rPr>
        <w:fldChar w:fldCharType="end"/>
      </w:r>
      <w:r w:rsidR="00C42316" w:rsidRPr="00F71F57">
        <w:rPr>
          <w:rFonts w:asciiTheme="majorBidi" w:hAnsiTheme="majorBidi" w:cstheme="majorBidi"/>
          <w:sz w:val="24"/>
          <w:szCs w:val="24"/>
          <w:rtl/>
          <w:lang w:val="en-GB" w:bidi="fa-IR"/>
        </w:rPr>
        <w:t>.</w:t>
      </w:r>
      <w:r w:rsidR="007F1E7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Neurotransmitter imbalances also play a critical role in these synaptic dysfunctions. For example, deficiencies in acetylcholine, often seen in AD, impact cholinergic </w:t>
      </w:r>
      <w:r w:rsidR="00AA6B4B" w:rsidRPr="00F71F57">
        <w:rPr>
          <w:rFonts w:asciiTheme="majorBidi" w:hAnsiTheme="majorBidi" w:cstheme="majorBidi"/>
          <w:sz w:val="24"/>
          <w:szCs w:val="24"/>
          <w:lang w:val="en-GB" w:bidi="fa-IR"/>
        </w:rPr>
        <w:t>signalling</w:t>
      </w:r>
      <w:r w:rsidRPr="00F71F57">
        <w:rPr>
          <w:rFonts w:asciiTheme="majorBidi" w:hAnsiTheme="majorBidi" w:cstheme="majorBidi"/>
          <w:sz w:val="24"/>
          <w:szCs w:val="24"/>
          <w:lang w:val="en-GB" w:bidi="fa-IR"/>
        </w:rPr>
        <w:t xml:space="preserve"> crucial for memory and learning processes </w:t>
      </w:r>
      <w:r w:rsidR="00183815" w:rsidRPr="00F71F57">
        <w:rPr>
          <w:rFonts w:asciiTheme="majorBidi" w:hAnsiTheme="majorBidi" w:cstheme="majorBidi"/>
          <w:sz w:val="24"/>
          <w:szCs w:val="24"/>
          <w:lang w:val="en-GB" w:bidi="fa-IR"/>
        </w:rPr>
        <w:fldChar w:fldCharType="begin"/>
      </w:r>
      <w:r w:rsidR="00183815" w:rsidRPr="00F71F57">
        <w:rPr>
          <w:rFonts w:asciiTheme="majorBidi" w:hAnsiTheme="majorBidi" w:cstheme="majorBidi"/>
          <w:sz w:val="24"/>
          <w:szCs w:val="24"/>
          <w:lang w:val="en-GB" w:bidi="fa-IR"/>
        </w:rPr>
        <w:instrText xml:space="preserve"> ADDIN EN.CITE &lt;EndNote&gt;&lt;Cite&gt;&lt;Author&gt;Du&lt;/Author&gt;&lt;Year&gt;2012&lt;/Year&gt;&lt;RecNum&gt;123&lt;/RecNum&gt;&lt;DisplayText&gt;(Du et al., 2012)&lt;/DisplayText&gt;&lt;record&gt;&lt;rec-number&gt;123&lt;/rec-number&gt;&lt;foreign-keys&gt;&lt;key app="EN" db-id="2ptrtps0adr9vke22dn5tpwzrsfaxtxrfwet" timestamp="1755687733"&gt;123&lt;/key&gt;&lt;/foreign-keys&gt;&lt;ref-type name="Journal Article"&gt;17&lt;/ref-type&gt;&lt;contributors&gt;&lt;authors&gt;&lt;author&gt;Du, Heng&lt;/author&gt;&lt;author&gt;Guo, Lan&lt;/author&gt;&lt;author&gt;Yan, Shirley ShiDu&lt;/author&gt;&lt;/authors&gt;&lt;/contributors&gt;&lt;titles&gt;&lt;title&gt;Synaptic Mitochondrial Pathology in Alzheimer&amp;apos;s Disease&lt;/title&gt;&lt;secondary-title&gt;Antioxidants &amp;amp; Redox Signaling&lt;/secondary-title&gt;&lt;/titles&gt;&lt;periodical&gt;&lt;full-title&gt;Antioxidants &amp;amp; Redox Signaling&lt;/full-title&gt;&lt;/periodical&gt;&lt;pages&gt;1467-1475&lt;/pages&gt;&lt;volume&gt;16&lt;/volume&gt;&lt;number&gt;12&lt;/number&gt;&lt;dates&gt;&lt;year&gt;2012&lt;/year&gt;&lt;/dates&gt;&lt;urls&gt;&lt;/urls&gt;&lt;electronic-resource-num&gt;10.1089/ars.2011.4277&lt;/electronic-resource-num&gt;&lt;/record&gt;&lt;/Cite&gt;&lt;/EndNote&gt;</w:instrText>
      </w:r>
      <w:r w:rsidR="00183815" w:rsidRPr="00F71F57">
        <w:rPr>
          <w:rFonts w:asciiTheme="majorBidi" w:hAnsiTheme="majorBidi" w:cstheme="majorBidi"/>
          <w:sz w:val="24"/>
          <w:szCs w:val="24"/>
          <w:lang w:val="en-GB" w:bidi="fa-IR"/>
        </w:rPr>
        <w:fldChar w:fldCharType="separate"/>
      </w:r>
      <w:r w:rsidR="00183815" w:rsidRPr="00F71F57">
        <w:rPr>
          <w:rFonts w:asciiTheme="majorBidi" w:hAnsiTheme="majorBidi" w:cstheme="majorBidi"/>
          <w:sz w:val="24"/>
          <w:szCs w:val="24"/>
          <w:lang w:val="en-GB" w:bidi="fa-IR"/>
        </w:rPr>
        <w:t>(</w:t>
      </w:r>
      <w:hyperlink w:anchor="_ENREF_66" w:tooltip="Du, 2012 #123" w:history="1">
        <w:r w:rsidR="00DE113E" w:rsidRPr="00F71F57">
          <w:rPr>
            <w:rFonts w:asciiTheme="majorBidi" w:hAnsiTheme="majorBidi" w:cstheme="majorBidi"/>
            <w:sz w:val="24"/>
            <w:szCs w:val="24"/>
            <w:lang w:val="en-GB" w:bidi="fa-IR"/>
          </w:rPr>
          <w:t>Du et al., 2012</w:t>
        </w:r>
      </w:hyperlink>
      <w:r w:rsidR="00183815" w:rsidRPr="00F71F57">
        <w:rPr>
          <w:rFonts w:asciiTheme="majorBidi" w:hAnsiTheme="majorBidi" w:cstheme="majorBidi"/>
          <w:sz w:val="24"/>
          <w:szCs w:val="24"/>
          <w:lang w:val="en-GB" w:bidi="fa-IR"/>
        </w:rPr>
        <w:t>)</w:t>
      </w:r>
      <w:r w:rsidR="00183815"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Similarly, in PD, the loss of dopaminergic neurons leads to impaired dopaminergic </w:t>
      </w:r>
      <w:r w:rsidR="00F23897" w:rsidRPr="00F71F57">
        <w:rPr>
          <w:rFonts w:asciiTheme="majorBidi" w:hAnsiTheme="majorBidi" w:cstheme="majorBidi"/>
          <w:sz w:val="24"/>
          <w:szCs w:val="24"/>
          <w:lang w:val="en-GB" w:bidi="fa-IR"/>
        </w:rPr>
        <w:t>signalling</w:t>
      </w:r>
      <w:r w:rsidRPr="00F71F57">
        <w:rPr>
          <w:rFonts w:asciiTheme="majorBidi" w:hAnsiTheme="majorBidi" w:cstheme="majorBidi"/>
          <w:sz w:val="24"/>
          <w:szCs w:val="24"/>
          <w:lang w:val="en-GB" w:bidi="fa-IR"/>
        </w:rPr>
        <w:t xml:space="preserve">, disrupting synaptic transmission in the basal ganglia and contributing to motor and cognitive deficits </w:t>
      </w:r>
      <w:r w:rsidR="00183815" w:rsidRPr="00F71F57">
        <w:rPr>
          <w:rFonts w:asciiTheme="majorBidi" w:hAnsiTheme="majorBidi" w:cstheme="majorBidi"/>
          <w:sz w:val="24"/>
          <w:szCs w:val="24"/>
          <w:lang w:val="en-GB" w:bidi="fa-IR"/>
        </w:rPr>
        <w:fldChar w:fldCharType="begin"/>
      </w:r>
      <w:r w:rsidR="00183815" w:rsidRPr="00F71F57">
        <w:rPr>
          <w:rFonts w:asciiTheme="majorBidi" w:hAnsiTheme="majorBidi" w:cstheme="majorBidi"/>
          <w:sz w:val="24"/>
          <w:szCs w:val="24"/>
          <w:lang w:val="en-GB" w:bidi="fa-IR"/>
        </w:rPr>
        <w:instrText xml:space="preserve"> ADDIN EN.CITE &lt;EndNote&gt;&lt;Cite&gt;&lt;Author&gt;Schroll&lt;/Author&gt;&lt;Year&gt;2013&lt;/Year&gt;&lt;RecNum&gt;124&lt;/RecNum&gt;&lt;DisplayText&gt;(Schroll et al., 2013)&lt;/DisplayText&gt;&lt;record&gt;&lt;rec-number&gt;124&lt;/rec-number&gt;&lt;foreign-keys&gt;&lt;key app="EN" db-id="2ptrtps0adr9vke22dn5tpwzrsfaxtxrfwet" timestamp="1755687766"&gt;124&lt;/key&gt;&lt;/foreign-keys&gt;&lt;ref-type name="Journal Article"&gt;17&lt;/ref-type&gt;&lt;contributors&gt;&lt;authors&gt;&lt;author&gt;Schroll, Henning&lt;/author&gt;&lt;author&gt;Vitay, Julien&lt;/author&gt;&lt;author&gt;Hamker, Fred H.&lt;/author&gt;&lt;/authors&gt;&lt;/contributors&gt;&lt;titles&gt;&lt;title&gt;Dysfunctional and Compensatory Synaptic Plasticity in &amp;lt;scp&amp;gt;P&amp;lt;/Scp&amp;gt;arkinson&amp;apos;s Disease&lt;/title&gt;&lt;secondary-title&gt;European Journal of Neuroscience&lt;/secondary-title&gt;&lt;/titles&gt;&lt;periodical&gt;&lt;full-title&gt;European Journal of Neuroscience&lt;/full-title&gt;&lt;/periodical&gt;&lt;pages&gt;688-702&lt;/pages&gt;&lt;volume&gt;39&lt;/volume&gt;&lt;number&gt;4&lt;/number&gt;&lt;dates&gt;&lt;year&gt;2013&lt;/year&gt;&lt;/dates&gt;&lt;urls&gt;&lt;/urls&gt;&lt;electronic-resource-num&gt;10.1111/ejn.12434&lt;/electronic-resource-num&gt;&lt;/record&gt;&lt;/Cite&gt;&lt;/EndNote&gt;</w:instrText>
      </w:r>
      <w:r w:rsidR="00183815" w:rsidRPr="00F71F57">
        <w:rPr>
          <w:rFonts w:asciiTheme="majorBidi" w:hAnsiTheme="majorBidi" w:cstheme="majorBidi"/>
          <w:sz w:val="24"/>
          <w:szCs w:val="24"/>
          <w:lang w:val="en-GB" w:bidi="fa-IR"/>
        </w:rPr>
        <w:fldChar w:fldCharType="separate"/>
      </w:r>
      <w:r w:rsidR="00183815" w:rsidRPr="00F71F57">
        <w:rPr>
          <w:rFonts w:asciiTheme="majorBidi" w:hAnsiTheme="majorBidi" w:cstheme="majorBidi"/>
          <w:sz w:val="24"/>
          <w:szCs w:val="24"/>
          <w:lang w:val="en-GB" w:bidi="fa-IR"/>
        </w:rPr>
        <w:t>(</w:t>
      </w:r>
      <w:hyperlink w:anchor="_ENREF_216" w:tooltip="Schroll, 2013 #124" w:history="1">
        <w:r w:rsidR="00DE113E" w:rsidRPr="00F71F57">
          <w:rPr>
            <w:rFonts w:asciiTheme="majorBidi" w:hAnsiTheme="majorBidi" w:cstheme="majorBidi"/>
            <w:sz w:val="24"/>
            <w:szCs w:val="24"/>
            <w:lang w:val="en-GB" w:bidi="fa-IR"/>
          </w:rPr>
          <w:t>Schroll et al., 2013</w:t>
        </w:r>
      </w:hyperlink>
      <w:r w:rsidR="00183815" w:rsidRPr="00F71F57">
        <w:rPr>
          <w:rFonts w:asciiTheme="majorBidi" w:hAnsiTheme="majorBidi" w:cstheme="majorBidi"/>
          <w:sz w:val="24"/>
          <w:szCs w:val="24"/>
          <w:lang w:val="en-GB" w:bidi="fa-IR"/>
        </w:rPr>
        <w:t>)</w:t>
      </w:r>
      <w:r w:rsidR="00183815" w:rsidRPr="00F71F57">
        <w:rPr>
          <w:rFonts w:asciiTheme="majorBidi" w:hAnsiTheme="majorBidi" w:cstheme="majorBidi"/>
          <w:sz w:val="24"/>
          <w:szCs w:val="24"/>
          <w:lang w:val="en-GB" w:bidi="fa-IR"/>
        </w:rPr>
        <w:fldChar w:fldCharType="end"/>
      </w:r>
      <w:r w:rsidR="00183815"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 dysregulation of glutamate, the primary excitatory neurotransmitter, further points to a common pathway among neurodegenerative disorders, as excessive glutamate </w:t>
      </w:r>
      <w:r w:rsidR="00F23897" w:rsidRPr="00F71F57">
        <w:rPr>
          <w:rFonts w:asciiTheme="majorBidi" w:hAnsiTheme="majorBidi" w:cstheme="majorBidi"/>
          <w:sz w:val="24"/>
          <w:szCs w:val="24"/>
          <w:lang w:val="en-GB" w:bidi="fa-IR"/>
        </w:rPr>
        <w:t>signalling</w:t>
      </w:r>
      <w:r w:rsidRPr="00F71F57">
        <w:rPr>
          <w:rFonts w:asciiTheme="majorBidi" w:hAnsiTheme="majorBidi" w:cstheme="majorBidi"/>
          <w:sz w:val="24"/>
          <w:szCs w:val="24"/>
          <w:lang w:val="en-GB" w:bidi="fa-IR"/>
        </w:rPr>
        <w:t xml:space="preserve"> can lead to excitotoxicity and neuronal death, a notable feature in multiple neurodegenerative </w:t>
      </w:r>
      <w:r w:rsidRPr="00F71F57">
        <w:rPr>
          <w:rFonts w:asciiTheme="majorBidi" w:hAnsiTheme="majorBidi" w:cstheme="majorBidi"/>
          <w:sz w:val="24"/>
          <w:szCs w:val="24"/>
          <w:lang w:val="en-GB" w:bidi="fa-IR"/>
        </w:rPr>
        <w:lastRenderedPageBreak/>
        <w:t xml:space="preserve">conditions </w:t>
      </w:r>
      <w:r w:rsidR="007F1E7A" w:rsidRPr="00F71F57">
        <w:rPr>
          <w:rFonts w:asciiTheme="majorBidi" w:hAnsiTheme="majorBidi" w:cstheme="majorBidi"/>
          <w:sz w:val="24"/>
          <w:szCs w:val="24"/>
          <w:lang w:val="en-GB" w:bidi="fa-IR"/>
        </w:rPr>
        <w:fldChar w:fldCharType="begin"/>
      </w:r>
      <w:r w:rsidR="007F1E7A" w:rsidRPr="00F71F57">
        <w:rPr>
          <w:rFonts w:asciiTheme="majorBidi" w:hAnsiTheme="majorBidi" w:cstheme="majorBidi"/>
          <w:sz w:val="24"/>
          <w:szCs w:val="24"/>
          <w:lang w:val="en-GB" w:bidi="fa-IR"/>
        </w:rPr>
        <w:instrText xml:space="preserve"> ADDIN EN.CITE &lt;EndNote&gt;&lt;Cite&gt;&lt;Author&gt;Ziehn&lt;/Author&gt;&lt;Year&gt;2010&lt;/Year&gt;&lt;RecNum&gt;126&lt;/RecNum&gt;&lt;DisplayText&gt;(Bairamian et al., 2022; Ziehn et al., 2010)&lt;/DisplayText&gt;&lt;record&gt;&lt;rec-number&gt;126&lt;/rec-number&gt;&lt;foreign-keys&gt;&lt;key app="EN" db-id="2ptrtps0adr9vke22dn5tpwzrsfaxtxrfwet" timestamp="1755687816"&gt;126&lt;/key&gt;&lt;/foreign-keys&gt;&lt;ref-type name="Journal Article"&gt;17&lt;/ref-type&gt;&lt;contributors&gt;&lt;authors&gt;&lt;author&gt;Ziehn, Marina&lt;/author&gt;&lt;author&gt;Avedisian, Andrea A.&lt;/author&gt;&lt;author&gt;Tiwari‐Woodruff, Seema K.&lt;/author&gt;&lt;author&gt;Voskuhl, Rhonda R.&lt;/author&gt;&lt;/authors&gt;&lt;/contributors&gt;&lt;titles&gt;&lt;title&gt;Hippocampal CA1 Atrophy and Synaptic Loss During Experimental Autoimmune Encephalomyelitis, EAE&lt;/title&gt;&lt;secondary-title&gt;Laboratory Investigation&lt;/secondary-title&gt;&lt;/titles&gt;&lt;periodical&gt;&lt;full-title&gt;Laboratory Investigation&lt;/full-title&gt;&lt;/periodical&gt;&lt;pages&gt;774-786&lt;/pages&gt;&lt;volume&gt;90&lt;/volume&gt;&lt;number&gt;5&lt;/number&gt;&lt;dates&gt;&lt;year&gt;2010&lt;/year&gt;&lt;/dates&gt;&lt;urls&gt;&lt;/urls&gt;&lt;electronic-resource-num&gt;10.1038/labinvest.2010.6&lt;/electronic-resource-num&gt;&lt;/record&gt;&lt;/Cite&gt;&lt;Cite&gt;&lt;Author&gt;Bairamian&lt;/Author&gt;&lt;Year&gt;2022&lt;/Year&gt;&lt;RecNum&gt;125&lt;/RecNum&gt;&lt;record&gt;&lt;rec-number&gt;125&lt;/rec-number&gt;&lt;foreign-keys&gt;&lt;key app="EN" db-id="2ptrtps0adr9vke22dn5tpwzrsfaxtxrfwet" timestamp="1755687805"&gt;125&lt;/key&gt;&lt;/foreign-keys&gt;&lt;ref-type name="Journal Article"&gt;17&lt;/ref-type&gt;&lt;contributors&gt;&lt;authors&gt;&lt;author&gt;Bairamian, Diane&lt;/author&gt;&lt;author&gt;Sha, Sha&lt;/author&gt;&lt;author&gt;Rolhion, Nathalie&lt;/author&gt;&lt;author&gt;Sokol, Harry&lt;/author&gt;&lt;author&gt;Dorothée, Guillaume&lt;/author&gt;&lt;author&gt;Lemere, Cynthia A.&lt;/author&gt;&lt;author&gt;Krantic, Slavica&lt;/author&gt;&lt;/authors&gt;&lt;/contributors&gt;&lt;titles&gt;&lt;title&gt;Microbiota In neuroinflammation and synaptic Dysfunction: A Focus on Alzheimer’s Disease&lt;/title&gt;&lt;secondary-title&gt;Molecular Neurodegeneration&lt;/secondary-title&gt;&lt;/titles&gt;&lt;periodical&gt;&lt;full-title&gt;Molecular Neurodegeneration&lt;/full-title&gt;&lt;/periodical&gt;&lt;volume&gt;17&lt;/volume&gt;&lt;number&gt;1&lt;/number&gt;&lt;dates&gt;&lt;year&gt;2022&lt;/year&gt;&lt;/dates&gt;&lt;urls&gt;&lt;/urls&gt;&lt;electronic-resource-num&gt;10.1186/s13024-022-00522-2&lt;/electronic-resource-num&gt;&lt;/record&gt;&lt;/Cite&gt;&lt;/EndNote&gt;</w:instrText>
      </w:r>
      <w:r w:rsidR="007F1E7A" w:rsidRPr="00F71F57">
        <w:rPr>
          <w:rFonts w:asciiTheme="majorBidi" w:hAnsiTheme="majorBidi" w:cstheme="majorBidi"/>
          <w:sz w:val="24"/>
          <w:szCs w:val="24"/>
          <w:lang w:val="en-GB" w:bidi="fa-IR"/>
        </w:rPr>
        <w:fldChar w:fldCharType="separate"/>
      </w:r>
      <w:r w:rsidR="007F1E7A" w:rsidRPr="00F71F57">
        <w:rPr>
          <w:rFonts w:asciiTheme="majorBidi" w:hAnsiTheme="majorBidi" w:cstheme="majorBidi"/>
          <w:sz w:val="24"/>
          <w:szCs w:val="24"/>
          <w:lang w:val="en-GB" w:bidi="fa-IR"/>
        </w:rPr>
        <w:t>(</w:t>
      </w:r>
      <w:hyperlink w:anchor="_ENREF_12" w:tooltip="Bairamian, 2022 #125" w:history="1">
        <w:r w:rsidR="00DE113E" w:rsidRPr="00F71F57">
          <w:rPr>
            <w:rFonts w:asciiTheme="majorBidi" w:hAnsiTheme="majorBidi" w:cstheme="majorBidi"/>
            <w:sz w:val="24"/>
            <w:szCs w:val="24"/>
            <w:lang w:val="en-GB" w:bidi="fa-IR"/>
          </w:rPr>
          <w:t>Bairamian et al., 2022</w:t>
        </w:r>
      </w:hyperlink>
      <w:r w:rsidR="007F1E7A" w:rsidRPr="00F71F57">
        <w:rPr>
          <w:rFonts w:asciiTheme="majorBidi" w:hAnsiTheme="majorBidi" w:cstheme="majorBidi"/>
          <w:sz w:val="24"/>
          <w:szCs w:val="24"/>
          <w:lang w:val="en-GB" w:bidi="fa-IR"/>
        </w:rPr>
        <w:t xml:space="preserve">; </w:t>
      </w:r>
      <w:hyperlink w:anchor="_ENREF_273" w:tooltip="Ziehn, 2010 #126" w:history="1">
        <w:r w:rsidR="00DE113E" w:rsidRPr="00F71F57">
          <w:rPr>
            <w:rFonts w:asciiTheme="majorBidi" w:hAnsiTheme="majorBidi" w:cstheme="majorBidi"/>
            <w:sz w:val="24"/>
            <w:szCs w:val="24"/>
            <w:lang w:val="en-GB" w:bidi="fa-IR"/>
          </w:rPr>
          <w:t>Ziehn et al., 2010</w:t>
        </w:r>
      </w:hyperlink>
      <w:r w:rsidR="007F1E7A" w:rsidRPr="00F71F57">
        <w:rPr>
          <w:rFonts w:asciiTheme="majorBidi" w:hAnsiTheme="majorBidi" w:cstheme="majorBidi"/>
          <w:sz w:val="24"/>
          <w:szCs w:val="24"/>
          <w:lang w:val="en-GB" w:bidi="fa-IR"/>
        </w:rPr>
        <w:t>)</w:t>
      </w:r>
      <w:r w:rsidR="007F1E7A" w:rsidRPr="00F71F57">
        <w:rPr>
          <w:rFonts w:asciiTheme="majorBidi" w:hAnsiTheme="majorBidi" w:cstheme="majorBidi"/>
          <w:sz w:val="24"/>
          <w:szCs w:val="24"/>
          <w:lang w:val="en-GB" w:bidi="fa-IR"/>
        </w:rPr>
        <w:fldChar w:fldCharType="end"/>
      </w:r>
      <w:r w:rsidR="007F1E7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Recent findings suggest that alterations in synaptic protein profiles in the cerebrospinal fluid could serve as biomarkers for disease progression in neurodegenerative disorders. Elevations in synaptic proteins such as neurogranin have shown associations with cognitive decline, reflecting the extent of synaptic dysfunction present during the early stages of AD. This supports the potential for therapeutic strategies targeting synaptic health and neurotransmitter stability to mitigate cognitive decline.</w:t>
      </w:r>
      <w:r w:rsidR="007F1E7A" w:rsidRPr="00F71F57">
        <w:rPr>
          <w:rFonts w:asciiTheme="majorBidi" w:hAnsiTheme="majorBidi" w:cstheme="majorBidi"/>
          <w:sz w:val="24"/>
          <w:szCs w:val="24"/>
          <w:lang w:val="en-GB" w:bidi="fa-IR"/>
        </w:rPr>
        <w:t xml:space="preserve"> </w:t>
      </w:r>
      <w:r w:rsidR="007F1E7A" w:rsidRPr="00F71F57">
        <w:rPr>
          <w:rFonts w:asciiTheme="majorBidi" w:hAnsiTheme="majorBidi" w:cstheme="majorBidi"/>
          <w:sz w:val="24"/>
          <w:szCs w:val="24"/>
          <w:lang w:val="en-GB" w:bidi="fa-IR"/>
        </w:rPr>
        <w:fldChar w:fldCharType="begin">
          <w:fldData xml:space="preserve">PEVuZE5vdGU+PENpdGU+PEF1dGhvcj5Qb3J0ZWxpdXM8L0F1dGhvcj48WWVhcj4yMDE4PC9ZZWFy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==
</w:fldData>
        </w:fldChar>
      </w:r>
      <w:r w:rsidR="007F1E7A" w:rsidRPr="00F71F57">
        <w:rPr>
          <w:rFonts w:asciiTheme="majorBidi" w:hAnsiTheme="majorBidi" w:cstheme="majorBidi"/>
          <w:sz w:val="24"/>
          <w:szCs w:val="24"/>
          <w:lang w:val="en-GB" w:bidi="fa-IR"/>
        </w:rPr>
        <w:instrText xml:space="preserve"> ADDIN EN.CITE </w:instrText>
      </w:r>
      <w:r w:rsidR="007F1E7A" w:rsidRPr="00F71F57">
        <w:rPr>
          <w:rFonts w:asciiTheme="majorBidi" w:hAnsiTheme="majorBidi" w:cstheme="majorBidi"/>
          <w:sz w:val="24"/>
          <w:szCs w:val="24"/>
          <w:lang w:val="en-GB" w:bidi="fa-IR"/>
        </w:rPr>
        <w:fldChar w:fldCharType="begin">
          <w:fldData xml:space="preserve">PEVuZE5vdGU+PENpdGU+PEF1dGhvcj5Qb3J0ZWxpdXM8L0F1dGhvcj48WWVhcj4yMDE4PC9ZZWFy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==
</w:fldData>
        </w:fldChar>
      </w:r>
      <w:r w:rsidR="007F1E7A" w:rsidRPr="00F71F57">
        <w:rPr>
          <w:rFonts w:asciiTheme="majorBidi" w:hAnsiTheme="majorBidi" w:cstheme="majorBidi"/>
          <w:sz w:val="24"/>
          <w:szCs w:val="24"/>
          <w:lang w:val="en-GB" w:bidi="fa-IR"/>
        </w:rPr>
        <w:instrText xml:space="preserve"> ADDIN EN.CITE.DATA </w:instrText>
      </w:r>
      <w:r w:rsidR="007F1E7A" w:rsidRPr="00F71F57">
        <w:rPr>
          <w:rFonts w:asciiTheme="majorBidi" w:hAnsiTheme="majorBidi" w:cstheme="majorBidi"/>
          <w:sz w:val="24"/>
          <w:szCs w:val="24"/>
          <w:lang w:val="en-GB" w:bidi="fa-IR"/>
        </w:rPr>
      </w:r>
      <w:r w:rsidR="007F1E7A" w:rsidRPr="00F71F57">
        <w:rPr>
          <w:rFonts w:asciiTheme="majorBidi" w:hAnsiTheme="majorBidi" w:cstheme="majorBidi"/>
          <w:sz w:val="24"/>
          <w:szCs w:val="24"/>
          <w:lang w:val="en-GB" w:bidi="fa-IR"/>
        </w:rPr>
        <w:fldChar w:fldCharType="end"/>
      </w:r>
      <w:r w:rsidR="007F1E7A" w:rsidRPr="00F71F57">
        <w:rPr>
          <w:rFonts w:asciiTheme="majorBidi" w:hAnsiTheme="majorBidi" w:cstheme="majorBidi"/>
          <w:sz w:val="24"/>
          <w:szCs w:val="24"/>
          <w:lang w:val="en-GB" w:bidi="fa-IR"/>
        </w:rPr>
      </w:r>
      <w:r w:rsidR="007F1E7A" w:rsidRPr="00F71F57">
        <w:rPr>
          <w:rFonts w:asciiTheme="majorBidi" w:hAnsiTheme="majorBidi" w:cstheme="majorBidi"/>
          <w:sz w:val="24"/>
          <w:szCs w:val="24"/>
          <w:lang w:val="en-GB" w:bidi="fa-IR"/>
        </w:rPr>
        <w:fldChar w:fldCharType="separate"/>
      </w:r>
      <w:r w:rsidR="007F1E7A" w:rsidRPr="00F71F57">
        <w:rPr>
          <w:rFonts w:asciiTheme="majorBidi" w:hAnsiTheme="majorBidi" w:cstheme="majorBidi"/>
          <w:sz w:val="24"/>
          <w:szCs w:val="24"/>
          <w:lang w:val="en-GB" w:bidi="fa-IR"/>
        </w:rPr>
        <w:t>(</w:t>
      </w:r>
      <w:hyperlink w:anchor="_ENREF_151" w:tooltip="Marttinen, 2015 #128" w:history="1">
        <w:r w:rsidR="00DE113E" w:rsidRPr="00F71F57">
          <w:rPr>
            <w:rFonts w:asciiTheme="majorBidi" w:hAnsiTheme="majorBidi" w:cstheme="majorBidi"/>
            <w:sz w:val="24"/>
            <w:szCs w:val="24"/>
            <w:lang w:val="en-GB" w:bidi="fa-IR"/>
          </w:rPr>
          <w:t>Marttinen et al., 2015</w:t>
        </w:r>
      </w:hyperlink>
      <w:r w:rsidR="007F1E7A" w:rsidRPr="00F71F57">
        <w:rPr>
          <w:rFonts w:asciiTheme="majorBidi" w:hAnsiTheme="majorBidi" w:cstheme="majorBidi"/>
          <w:sz w:val="24"/>
          <w:szCs w:val="24"/>
          <w:lang w:val="en-GB" w:bidi="fa-IR"/>
        </w:rPr>
        <w:t xml:space="preserve">; </w:t>
      </w:r>
      <w:hyperlink w:anchor="_ENREF_184" w:tooltip="Portelius, 2018 #127" w:history="1">
        <w:r w:rsidR="00DE113E" w:rsidRPr="00F71F57">
          <w:rPr>
            <w:rFonts w:asciiTheme="majorBidi" w:hAnsiTheme="majorBidi" w:cstheme="majorBidi"/>
            <w:sz w:val="24"/>
            <w:szCs w:val="24"/>
            <w:lang w:val="en-GB" w:bidi="fa-IR"/>
          </w:rPr>
          <w:t>Portelius et al., 2018</w:t>
        </w:r>
      </w:hyperlink>
      <w:r w:rsidR="007F1E7A" w:rsidRPr="00F71F57">
        <w:rPr>
          <w:rFonts w:asciiTheme="majorBidi" w:hAnsiTheme="majorBidi" w:cstheme="majorBidi"/>
          <w:sz w:val="24"/>
          <w:szCs w:val="24"/>
          <w:lang w:val="en-GB" w:bidi="fa-IR"/>
        </w:rPr>
        <w:t>)</w:t>
      </w:r>
      <w:r w:rsidR="007F1E7A" w:rsidRPr="00F71F57">
        <w:rPr>
          <w:rFonts w:asciiTheme="majorBidi" w:hAnsiTheme="majorBidi" w:cstheme="majorBidi"/>
          <w:sz w:val="24"/>
          <w:szCs w:val="24"/>
          <w:lang w:val="en-GB" w:bidi="fa-IR"/>
        </w:rPr>
        <w:fldChar w:fldCharType="end"/>
      </w:r>
      <w:r w:rsidR="007F1E7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Moreover, emerging evidence highlights the relevance of glial cells in modulating synaptic function and dysfunction. Activated microglia and astrocytes can profoundly influence synaptic viability by secreting inflammatory mediators that exacerbate synaptic disruptions </w:t>
      </w:r>
      <w:r w:rsidR="007F1E7A" w:rsidRPr="00F71F57">
        <w:rPr>
          <w:rFonts w:asciiTheme="majorBidi" w:hAnsiTheme="majorBidi" w:cstheme="majorBidi"/>
          <w:sz w:val="24"/>
          <w:szCs w:val="24"/>
          <w:lang w:val="en-GB" w:bidi="fa-IR"/>
        </w:rPr>
        <w:fldChar w:fldCharType="begin"/>
      </w:r>
      <w:r w:rsidR="007F1E7A" w:rsidRPr="00F71F57">
        <w:rPr>
          <w:rFonts w:asciiTheme="majorBidi" w:hAnsiTheme="majorBidi" w:cstheme="majorBidi"/>
          <w:sz w:val="24"/>
          <w:szCs w:val="24"/>
          <w:lang w:val="en-GB" w:bidi="fa-IR"/>
        </w:rPr>
        <w:instrText xml:space="preserve"> ADDIN EN.CITE &lt;EndNote&gt;&lt;Cite&gt;&lt;Author&gt;Chung&lt;/Author&gt;&lt;Year&gt;2015&lt;/Year&gt;&lt;RecNum&gt;129&lt;/RecNum&gt;&lt;DisplayText&gt;(Chung et al., 2015)&lt;/DisplayText&gt;&lt;record&gt;&lt;rec-number&gt;129&lt;/rec-number&gt;&lt;foreign-keys&gt;&lt;key app="EN" db-id="2ptrtps0adr9vke22dn5tpwzrsfaxtxrfwet" timestamp="1755687991"&gt;129&lt;/key&gt;&lt;/foreign-keys&gt;&lt;ref-type name="Journal Article"&gt;17&lt;/ref-type&gt;&lt;contributors&gt;&lt;authors&gt;&lt;author&gt;Chung, Won‐Suk&lt;/author&gt;&lt;author&gt;Welsh, Christina A.&lt;/author&gt;&lt;author&gt;Barres, Ben A.&lt;/author&gt;&lt;author&gt;Stevens, Beth&lt;/author&gt;&lt;/authors&gt;&lt;/contributors&gt;&lt;titles&gt;&lt;title&gt;Do Glia Drive Synaptic and Cognitive Impairment in Disease?&lt;/title&gt;&lt;secondary-title&gt;Nature Neuroscience&lt;/secondary-title&gt;&lt;/titles&gt;&lt;periodical&gt;&lt;full-title&gt;Nature Neuroscience&lt;/full-title&gt;&lt;/periodical&gt;&lt;pages&gt;1539-1545&lt;/pages&gt;&lt;volume&gt;18&lt;/volume&gt;&lt;number&gt;11&lt;/number&gt;&lt;dates&gt;&lt;year&gt;2015&lt;/year&gt;&lt;/dates&gt;&lt;urls&gt;&lt;/urls&gt;&lt;electronic-resource-num&gt;10.1038/nn.4142&lt;/electronic-resource-num&gt;&lt;/record&gt;&lt;/Cite&gt;&lt;/EndNote&gt;</w:instrText>
      </w:r>
      <w:r w:rsidR="007F1E7A" w:rsidRPr="00F71F57">
        <w:rPr>
          <w:rFonts w:asciiTheme="majorBidi" w:hAnsiTheme="majorBidi" w:cstheme="majorBidi"/>
          <w:sz w:val="24"/>
          <w:szCs w:val="24"/>
          <w:lang w:val="en-GB" w:bidi="fa-IR"/>
        </w:rPr>
        <w:fldChar w:fldCharType="separate"/>
      </w:r>
      <w:r w:rsidR="007F1E7A" w:rsidRPr="00F71F57">
        <w:rPr>
          <w:rFonts w:asciiTheme="majorBidi" w:hAnsiTheme="majorBidi" w:cstheme="majorBidi"/>
          <w:sz w:val="24"/>
          <w:szCs w:val="24"/>
          <w:lang w:val="en-GB" w:bidi="fa-IR"/>
        </w:rPr>
        <w:t>(</w:t>
      </w:r>
      <w:hyperlink w:anchor="_ENREF_48" w:tooltip="Chung, 2015 #129" w:history="1">
        <w:r w:rsidR="00DE113E" w:rsidRPr="00F71F57">
          <w:rPr>
            <w:rFonts w:asciiTheme="majorBidi" w:hAnsiTheme="majorBidi" w:cstheme="majorBidi"/>
            <w:sz w:val="24"/>
            <w:szCs w:val="24"/>
            <w:lang w:val="en-GB" w:bidi="fa-IR"/>
          </w:rPr>
          <w:t>Chung et al., 2015</w:t>
        </w:r>
      </w:hyperlink>
      <w:r w:rsidR="007F1E7A" w:rsidRPr="00F71F57">
        <w:rPr>
          <w:rFonts w:asciiTheme="majorBidi" w:hAnsiTheme="majorBidi" w:cstheme="majorBidi"/>
          <w:sz w:val="24"/>
          <w:szCs w:val="24"/>
          <w:lang w:val="en-GB" w:bidi="fa-IR"/>
        </w:rPr>
        <w:t>)</w:t>
      </w:r>
      <w:r w:rsidR="007F1E7A" w:rsidRPr="00F71F57">
        <w:rPr>
          <w:rFonts w:asciiTheme="majorBidi" w:hAnsiTheme="majorBidi" w:cstheme="majorBidi"/>
          <w:sz w:val="24"/>
          <w:szCs w:val="24"/>
          <w:lang w:val="en-GB" w:bidi="fa-IR"/>
        </w:rPr>
        <w:fldChar w:fldCharType="end"/>
      </w:r>
      <w:r w:rsidR="007F1E7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Neuroinflammation, often observed alongside synaptic impairment, inflicts additional stress on the neuronal environment, potentially leading to further synaptic dysfunction through mechanisms of excitotoxicity and oxidative stress </w:t>
      </w:r>
      <w:r w:rsidR="007F1E7A" w:rsidRPr="00F71F57">
        <w:rPr>
          <w:rFonts w:asciiTheme="majorBidi" w:hAnsiTheme="majorBidi" w:cstheme="majorBidi"/>
          <w:sz w:val="24"/>
          <w:szCs w:val="24"/>
          <w:lang w:val="en-GB" w:bidi="fa-IR"/>
        </w:rPr>
        <w:fldChar w:fldCharType="begin"/>
      </w:r>
      <w:r w:rsidR="007F1E7A" w:rsidRPr="00F71F57">
        <w:rPr>
          <w:rFonts w:asciiTheme="majorBidi" w:hAnsiTheme="majorBidi" w:cstheme="majorBidi"/>
          <w:sz w:val="24"/>
          <w:szCs w:val="24"/>
          <w:lang w:val="en-GB" w:bidi="fa-IR"/>
        </w:rPr>
        <w:instrText xml:space="preserve"> ADDIN EN.CITE &lt;EndNote&gt;&lt;Cite&gt;&lt;Author&gt;Bairamian&lt;/Author&gt;&lt;Year&gt;2022&lt;/Year&gt;&lt;RecNum&gt;125&lt;/RecNum&gt;&lt;DisplayText&gt;(Bairamian et al., 2022)&lt;/DisplayText&gt;&lt;record&gt;&lt;rec-number&gt;125&lt;/rec-number&gt;&lt;foreign-keys&gt;&lt;key app="EN" db-id="2ptrtps0adr9vke22dn5tpwzrsfaxtxrfwet" timestamp="1755687805"&gt;125&lt;/key&gt;&lt;/foreign-keys&gt;&lt;ref-type name="Journal Article"&gt;17&lt;/ref-type&gt;&lt;contributors&gt;&lt;authors&gt;&lt;author&gt;Bairamian, Diane&lt;/author&gt;&lt;author&gt;Sha, Sha&lt;/author&gt;&lt;author&gt;Rolhion, Nathalie&lt;/author&gt;&lt;author&gt;Sokol, Harry&lt;/author&gt;&lt;author&gt;Dorothée, Guillaume&lt;/author&gt;&lt;author&gt;Lemere, Cynthia A.&lt;/author&gt;&lt;author&gt;Krantic, Slavica&lt;/author&gt;&lt;/authors&gt;&lt;/contributors&gt;&lt;titles&gt;&lt;title&gt;Microbiota In neuroinflammation and synaptic Dysfunction: A Focus on Alzheimer’s Disease&lt;/title&gt;&lt;secondary-title&gt;Molecular Neurodegeneration&lt;/secondary-title&gt;&lt;/titles&gt;&lt;periodical&gt;&lt;full-title&gt;Molecular Neurodegeneration&lt;/full-title&gt;&lt;/periodical&gt;&lt;volume&gt;17&lt;/volume&gt;&lt;number&gt;1&lt;/number&gt;&lt;dates&gt;&lt;year&gt;2022&lt;/year&gt;&lt;/dates&gt;&lt;urls&gt;&lt;/urls&gt;&lt;electronic-resource-num&gt;10.1186/s13024-022-00522-2&lt;/electronic-resource-num&gt;&lt;/record&gt;&lt;/Cite&gt;&lt;/EndNote&gt;</w:instrText>
      </w:r>
      <w:r w:rsidR="007F1E7A" w:rsidRPr="00F71F57">
        <w:rPr>
          <w:rFonts w:asciiTheme="majorBidi" w:hAnsiTheme="majorBidi" w:cstheme="majorBidi"/>
          <w:sz w:val="24"/>
          <w:szCs w:val="24"/>
          <w:lang w:val="en-GB" w:bidi="fa-IR"/>
        </w:rPr>
        <w:fldChar w:fldCharType="separate"/>
      </w:r>
      <w:r w:rsidR="007F1E7A" w:rsidRPr="00F71F57">
        <w:rPr>
          <w:rFonts w:asciiTheme="majorBidi" w:hAnsiTheme="majorBidi" w:cstheme="majorBidi"/>
          <w:sz w:val="24"/>
          <w:szCs w:val="24"/>
          <w:lang w:val="en-GB" w:bidi="fa-IR"/>
        </w:rPr>
        <w:t>(</w:t>
      </w:r>
      <w:hyperlink w:anchor="_ENREF_12" w:tooltip="Bairamian, 2022 #125" w:history="1">
        <w:r w:rsidR="00DE113E" w:rsidRPr="00F71F57">
          <w:rPr>
            <w:rFonts w:asciiTheme="majorBidi" w:hAnsiTheme="majorBidi" w:cstheme="majorBidi"/>
            <w:sz w:val="24"/>
            <w:szCs w:val="24"/>
            <w:lang w:val="en-GB" w:bidi="fa-IR"/>
          </w:rPr>
          <w:t>Bairamian et al., 2022</w:t>
        </w:r>
      </w:hyperlink>
      <w:r w:rsidR="007F1E7A" w:rsidRPr="00F71F57">
        <w:rPr>
          <w:rFonts w:asciiTheme="majorBidi" w:hAnsiTheme="majorBidi" w:cstheme="majorBidi"/>
          <w:sz w:val="24"/>
          <w:szCs w:val="24"/>
          <w:lang w:val="en-GB" w:bidi="fa-IR"/>
        </w:rPr>
        <w:t>)</w:t>
      </w:r>
      <w:r w:rsidR="007F1E7A" w:rsidRPr="00F71F57">
        <w:rPr>
          <w:rFonts w:asciiTheme="majorBidi" w:hAnsiTheme="majorBidi" w:cstheme="majorBidi"/>
          <w:sz w:val="24"/>
          <w:szCs w:val="24"/>
          <w:lang w:val="en-GB" w:bidi="fa-IR"/>
        </w:rPr>
        <w:fldChar w:fldCharType="end"/>
      </w:r>
      <w:r w:rsidR="007F1E7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Synaptic dysfunction and neurotransmitter imbalance are interconnected mechanisms that are critical to the pathophysiology of neurodegenerative diseases. These processes serve as early indicators of neuronal decline </w:t>
      </w:r>
      <w:r w:rsidR="007F1E7A" w:rsidRPr="00F71F57">
        <w:rPr>
          <w:rFonts w:asciiTheme="majorBidi" w:hAnsiTheme="majorBidi" w:cstheme="majorBidi"/>
          <w:sz w:val="24"/>
          <w:szCs w:val="24"/>
          <w:lang w:val="en-GB" w:bidi="fa-IR"/>
        </w:rPr>
        <w:t>and</w:t>
      </w:r>
      <w:r w:rsidRPr="00F71F57">
        <w:rPr>
          <w:rFonts w:asciiTheme="majorBidi" w:hAnsiTheme="majorBidi" w:cstheme="majorBidi"/>
          <w:sz w:val="24"/>
          <w:szCs w:val="24"/>
          <w:lang w:val="en-GB" w:bidi="fa-IR"/>
        </w:rPr>
        <w:t xml:space="preserve"> provide avenues for therapeutic interventions aimed at preserving synaptic health and improving cognitive outcomes in affected individuals.</w:t>
      </w:r>
    </w:p>
    <w:bookmarkEnd w:id="2"/>
    <w:p w14:paraId="787C0178" w14:textId="77777777" w:rsidR="00E842A8" w:rsidRPr="00F71F57" w:rsidRDefault="00E842A8" w:rsidP="00C80A17">
      <w:pPr>
        <w:jc w:val="both"/>
        <w:rPr>
          <w:rFonts w:asciiTheme="majorBidi" w:hAnsiTheme="majorBidi" w:cstheme="majorBidi"/>
          <w:sz w:val="24"/>
          <w:szCs w:val="24"/>
          <w:lang w:val="en-GB" w:bidi="fa-IR"/>
        </w:rPr>
      </w:pPr>
    </w:p>
    <w:p w14:paraId="171EA3B9" w14:textId="6FD5AE5E" w:rsidR="007F1E7A" w:rsidRPr="00F71F57" w:rsidRDefault="002D4242" w:rsidP="00984E32">
      <w:pPr>
        <w:pStyle w:val="Heading4"/>
        <w:rPr>
          <w:lang w:bidi="fa-IR"/>
        </w:rPr>
      </w:pPr>
      <w:bookmarkStart w:id="22" w:name="_Toc214875830"/>
      <w:r w:rsidRPr="00F71F57">
        <w:rPr>
          <w:lang w:bidi="fa-IR"/>
        </w:rPr>
        <w:t>1.2.2.4 Mitochondrial Dysfunction and Energy Deficits</w:t>
      </w:r>
      <w:bookmarkEnd w:id="22"/>
    </w:p>
    <w:p w14:paraId="75FB726F" w14:textId="695B5426" w:rsidR="007F1E7A" w:rsidRDefault="007F1E7A"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Mitochondrial dysfunction and energy deficits are integral features underlying the pathophysiology of various neurodegenerative diseases, including Alzheimer's disease (AD), Parkinson's disease (PD), and Huntington's disease (HD). These conditions are characterized by a progressive loss of neuronal function and viability, with mitochondrial impairment recognized as a critical factor contributing to cognitive decline and neurodegeneration.</w:t>
      </w:r>
      <w:r w:rsidR="003B4C48"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Mitochondria play a central role in </w:t>
      </w:r>
      <w:r w:rsidRPr="00F71F57">
        <w:rPr>
          <w:rFonts w:asciiTheme="majorBidi" w:hAnsiTheme="majorBidi" w:cstheme="majorBidi"/>
          <w:sz w:val="24"/>
          <w:szCs w:val="24"/>
          <w:lang w:val="en-GB" w:bidi="fa-IR"/>
        </w:rPr>
        <w:lastRenderedPageBreak/>
        <w:t xml:space="preserve">cellular metabolism by producing adenosine triphosphate (ATP), the primary energy carrier in cells. In neurodegenerative diseases, mitochondrial dysfunction disrupts ATP production and energy metabolism, leading to a cascade of detrimental cellular effects. Specifically, energy deficits compromise neuronal activities that are critically dependent on high energy demands, such as neurotransmission, synaptic plasticity, and overall brain function </w:t>
      </w:r>
      <w:r w:rsidR="003B4C48" w:rsidRPr="00F71F57">
        <w:rPr>
          <w:rFonts w:asciiTheme="majorBidi" w:hAnsiTheme="majorBidi" w:cstheme="majorBidi"/>
          <w:sz w:val="24"/>
          <w:szCs w:val="24"/>
          <w:lang w:val="en-GB" w:bidi="fa-IR"/>
        </w:rPr>
        <w:fldChar w:fldCharType="begin">
          <w:fldData xml:space="preserve">PEVuZE5vdGU+PENpdGU+PEF1dGhvcj5LaGFjaG88L0F1dGhvcj48WWVhcj4yMDE3PC9ZZWFyPjxS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</w:fldData>
        </w:fldChar>
      </w:r>
      <w:r w:rsidR="003B4C48" w:rsidRPr="00F71F57">
        <w:rPr>
          <w:rFonts w:asciiTheme="majorBidi" w:hAnsiTheme="majorBidi" w:cstheme="majorBidi"/>
          <w:sz w:val="24"/>
          <w:szCs w:val="24"/>
          <w:lang w:val="en-GB" w:bidi="fa-IR"/>
        </w:rPr>
        <w:instrText xml:space="preserve"> ADDIN EN.CITE </w:instrText>
      </w:r>
      <w:r w:rsidR="003B4C48" w:rsidRPr="00F71F57">
        <w:rPr>
          <w:rFonts w:asciiTheme="majorBidi" w:hAnsiTheme="majorBidi" w:cstheme="majorBidi"/>
          <w:sz w:val="24"/>
          <w:szCs w:val="24"/>
          <w:lang w:val="en-GB" w:bidi="fa-IR"/>
        </w:rPr>
        <w:fldChar w:fldCharType="begin">
          <w:fldData xml:space="preserve">PEVuZE5vdGU+PENpdGU+PEF1dGhvcj5LaGFjaG88L0F1dGhvcj48WWVhcj4yMDE3PC9ZZWFyPjxS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</w:fldData>
        </w:fldChar>
      </w:r>
      <w:r w:rsidR="003B4C48" w:rsidRPr="00F71F57">
        <w:rPr>
          <w:rFonts w:asciiTheme="majorBidi" w:hAnsiTheme="majorBidi" w:cstheme="majorBidi"/>
          <w:sz w:val="24"/>
          <w:szCs w:val="24"/>
          <w:lang w:val="en-GB" w:bidi="fa-IR"/>
        </w:rPr>
        <w:instrText xml:space="preserve"> ADDIN EN.CITE.DATA </w:instrText>
      </w:r>
      <w:r w:rsidR="003B4C48" w:rsidRPr="00F71F57">
        <w:rPr>
          <w:rFonts w:asciiTheme="majorBidi" w:hAnsiTheme="majorBidi" w:cstheme="majorBidi"/>
          <w:sz w:val="24"/>
          <w:szCs w:val="24"/>
          <w:lang w:val="en-GB" w:bidi="fa-IR"/>
        </w:rPr>
      </w:r>
      <w:r w:rsidR="003B4C48" w:rsidRPr="00F71F57">
        <w:rPr>
          <w:rFonts w:asciiTheme="majorBidi" w:hAnsiTheme="majorBidi" w:cstheme="majorBidi"/>
          <w:sz w:val="24"/>
          <w:szCs w:val="24"/>
          <w:lang w:val="en-GB" w:bidi="fa-IR"/>
        </w:rPr>
        <w:fldChar w:fldCharType="end"/>
      </w:r>
      <w:r w:rsidR="003B4C48" w:rsidRPr="00F71F57">
        <w:rPr>
          <w:rFonts w:asciiTheme="majorBidi" w:hAnsiTheme="majorBidi" w:cstheme="majorBidi"/>
          <w:sz w:val="24"/>
          <w:szCs w:val="24"/>
          <w:lang w:val="en-GB" w:bidi="fa-IR"/>
        </w:rPr>
      </w:r>
      <w:r w:rsidR="003B4C48" w:rsidRPr="00F71F57">
        <w:rPr>
          <w:rFonts w:asciiTheme="majorBidi" w:hAnsiTheme="majorBidi" w:cstheme="majorBidi"/>
          <w:sz w:val="24"/>
          <w:szCs w:val="24"/>
          <w:lang w:val="en-GB" w:bidi="fa-IR"/>
        </w:rPr>
        <w:fldChar w:fldCharType="separate"/>
      </w:r>
      <w:r w:rsidR="003B4C48" w:rsidRPr="00F71F57">
        <w:rPr>
          <w:rFonts w:asciiTheme="majorBidi" w:hAnsiTheme="majorBidi" w:cstheme="majorBidi"/>
          <w:sz w:val="24"/>
          <w:szCs w:val="24"/>
          <w:lang w:val="en-GB" w:bidi="fa-IR"/>
        </w:rPr>
        <w:t>(</w:t>
      </w:r>
      <w:hyperlink w:anchor="_ENREF_127" w:tooltip="Khacho, 2017 #130" w:history="1">
        <w:r w:rsidR="00DE113E" w:rsidRPr="00F71F57">
          <w:rPr>
            <w:rFonts w:asciiTheme="majorBidi" w:hAnsiTheme="majorBidi" w:cstheme="majorBidi"/>
            <w:sz w:val="24"/>
            <w:szCs w:val="24"/>
            <w:lang w:val="en-GB" w:bidi="fa-IR"/>
          </w:rPr>
          <w:t>Khacho et al., 2017</w:t>
        </w:r>
      </w:hyperlink>
      <w:r w:rsidR="003B4C48" w:rsidRPr="00F71F57">
        <w:rPr>
          <w:rFonts w:asciiTheme="majorBidi" w:hAnsiTheme="majorBidi" w:cstheme="majorBidi"/>
          <w:sz w:val="24"/>
          <w:szCs w:val="24"/>
          <w:lang w:val="en-GB" w:bidi="fa-IR"/>
        </w:rPr>
        <w:t xml:space="preserve">; </w:t>
      </w:r>
      <w:hyperlink w:anchor="_ENREF_220" w:tooltip="Sharma, 2021 #131" w:history="1">
        <w:r w:rsidR="00DE113E" w:rsidRPr="00F71F57">
          <w:rPr>
            <w:rFonts w:asciiTheme="majorBidi" w:hAnsiTheme="majorBidi" w:cstheme="majorBidi"/>
            <w:sz w:val="24"/>
            <w:szCs w:val="24"/>
            <w:lang w:val="en-GB" w:bidi="fa-IR"/>
          </w:rPr>
          <w:t>Sharma et al., 2021</w:t>
        </w:r>
      </w:hyperlink>
      <w:r w:rsidR="003B4C48" w:rsidRPr="00F71F57">
        <w:rPr>
          <w:rFonts w:asciiTheme="majorBidi" w:hAnsiTheme="majorBidi" w:cstheme="majorBidi"/>
          <w:sz w:val="24"/>
          <w:szCs w:val="24"/>
          <w:lang w:val="en-GB" w:bidi="fa-IR"/>
        </w:rPr>
        <w:t>)</w:t>
      </w:r>
      <w:r w:rsidR="003B4C48"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For example, in AD, studies have indicated a direct correlation between mitochondrial dysfunction and cognitive impairment. Compromised energy metabolism due to dysfunctional mitochondria has been suggested as a precursor to synaptic degradation and cognitive decline </w:t>
      </w:r>
      <w:r w:rsidR="003B4C48" w:rsidRPr="00F71F57">
        <w:rPr>
          <w:rFonts w:asciiTheme="majorBidi" w:hAnsiTheme="majorBidi" w:cstheme="majorBidi"/>
          <w:sz w:val="24"/>
          <w:szCs w:val="24"/>
          <w:lang w:val="en-GB" w:bidi="fa-IR"/>
        </w:rPr>
        <w:fldChar w:fldCharType="begin"/>
      </w:r>
      <w:r w:rsidR="003B4C48" w:rsidRPr="00F71F57">
        <w:rPr>
          <w:rFonts w:asciiTheme="majorBidi" w:hAnsiTheme="majorBidi" w:cstheme="majorBidi"/>
          <w:sz w:val="24"/>
          <w:szCs w:val="24"/>
          <w:lang w:val="en-GB" w:bidi="fa-IR"/>
        </w:rPr>
        <w:instrText xml:space="preserve"> ADDIN EN.CITE &lt;EndNote&gt;&lt;Cite&gt;&lt;Author&gt;Sharma&lt;/Author&gt;&lt;Year&gt;2021&lt;/Year&gt;&lt;RecNum&gt;131&lt;/RecNum&gt;&lt;DisplayText&gt;(Reddy &amp;amp; Oliver, 2019; Sharma et al., 2021)&lt;/DisplayText&gt;&lt;record&gt;&lt;rec-number&gt;131&lt;/rec-number&gt;&lt;foreign-keys&gt;&lt;key app="EN" db-id="2ptrtps0adr9vke22dn5tpwzrsfaxtxrfwet" timestamp="1755689155"&gt;131&lt;/key&gt;&lt;/foreign-keys&gt;&lt;ref-type name="Journal Article"&gt;17&lt;/ref-type&gt;&lt;contributors&gt;&lt;authors&gt;&lt;author&gt;Sharma, Chanchal&lt;/author&gt;&lt;author&gt;Kim, Sehwan&lt;/author&gt;&lt;author&gt;Nam, Youngpyo&lt;/author&gt;&lt;author&gt;Jung, Un Ju&lt;/author&gt;&lt;author&gt;Kim, Sang Ryong&lt;/author&gt;&lt;/authors&gt;&lt;/contributors&gt;&lt;titles&gt;&lt;title&gt;Mitochondrial Dysfunction as a Driver of Cognitive Impairment in Alzheimer’s Disease&lt;/title&gt;&lt;secondary-title&gt;International Journal of Molecular Sciences&lt;/secondary-title&gt;&lt;/titles&gt;&lt;periodical&gt;&lt;full-title&gt;International Journal of Molecular Sciences&lt;/full-title&gt;&lt;/periodical&gt;&lt;pages&gt;4850&lt;/pages&gt;&lt;volume&gt;22&lt;/volume&gt;&lt;number&gt;9&lt;/number&gt;&lt;dates&gt;&lt;year&gt;2021&lt;/year&gt;&lt;/dates&gt;&lt;urls&gt;&lt;/urls&gt;&lt;electronic-resource-num&gt;10.3390/ijms22094850&lt;/electronic-resource-num&gt;&lt;/record&gt;&lt;/Cite&gt;&lt;Cite&gt;&lt;Author&gt;Reddy&lt;/Author&gt;&lt;Year&gt;2019&lt;/Year&gt;&lt;RecNum&gt;132&lt;/RecNum&gt;&lt;record&gt;&lt;rec-number&gt;132&lt;/rec-number&gt;&lt;foreign-keys&gt;&lt;key app="EN" db-id="2ptrtps0adr9vke22dn5tpwzrsfaxtxrfwet" timestamp="1755689214"&gt;132&lt;/key&gt;&lt;/foreign-keys&gt;&lt;ref-type name="Journal Article"&gt;17&lt;/ref-type&gt;&lt;contributors&gt;&lt;authors&gt;&lt;author&gt;Reddy, P. Hemachandra&lt;/author&gt;&lt;author&gt;Oliver, Darryll&lt;/author&gt;&lt;/authors&gt;&lt;/contributors&gt;&lt;titles&gt;&lt;title&gt;Amyloid Beta and Phosphorylated Tau-Induced Defective Autophagy and Mitophagy in Alzheimer’s Disease&lt;/title&gt;&lt;secondary-title&gt;Cells&lt;/secondary-title&gt;&lt;/titles&gt;&lt;periodical&gt;&lt;full-title&gt;Cells&lt;/full-title&gt;&lt;/periodical&gt;&lt;pages&gt;488&lt;/pages&gt;&lt;volume&gt;8&lt;/volume&gt;&lt;number&gt;5&lt;/number&gt;&lt;dates&gt;&lt;year&gt;2019&lt;/year&gt;&lt;/dates&gt;&lt;urls&gt;&lt;/urls&gt;&lt;electronic-resource-num&gt;10.3390/cells8050488&lt;/electronic-resource-num&gt;&lt;/record&gt;&lt;/Cite&gt;&lt;/EndNote&gt;</w:instrText>
      </w:r>
      <w:r w:rsidR="003B4C48" w:rsidRPr="00F71F57">
        <w:rPr>
          <w:rFonts w:asciiTheme="majorBidi" w:hAnsiTheme="majorBidi" w:cstheme="majorBidi"/>
          <w:sz w:val="24"/>
          <w:szCs w:val="24"/>
          <w:lang w:val="en-GB" w:bidi="fa-IR"/>
        </w:rPr>
        <w:fldChar w:fldCharType="separate"/>
      </w:r>
      <w:r w:rsidR="003B4C48" w:rsidRPr="00F71F57">
        <w:rPr>
          <w:rFonts w:asciiTheme="majorBidi" w:hAnsiTheme="majorBidi" w:cstheme="majorBidi"/>
          <w:sz w:val="24"/>
          <w:szCs w:val="24"/>
          <w:lang w:val="en-GB" w:bidi="fa-IR"/>
        </w:rPr>
        <w:t>(</w:t>
      </w:r>
      <w:hyperlink w:anchor="_ENREF_196" w:tooltip="Reddy, 2019 #132" w:history="1">
        <w:r w:rsidR="00DE113E" w:rsidRPr="00F71F57">
          <w:rPr>
            <w:rFonts w:asciiTheme="majorBidi" w:hAnsiTheme="majorBidi" w:cstheme="majorBidi"/>
            <w:sz w:val="24"/>
            <w:szCs w:val="24"/>
            <w:lang w:val="en-GB" w:bidi="fa-IR"/>
          </w:rPr>
          <w:t>Reddy &amp; Oliver, 2019</w:t>
        </w:r>
      </w:hyperlink>
      <w:r w:rsidR="003B4C48" w:rsidRPr="00F71F57">
        <w:rPr>
          <w:rFonts w:asciiTheme="majorBidi" w:hAnsiTheme="majorBidi" w:cstheme="majorBidi"/>
          <w:sz w:val="24"/>
          <w:szCs w:val="24"/>
          <w:lang w:val="en-GB" w:bidi="fa-IR"/>
        </w:rPr>
        <w:t xml:space="preserve">; </w:t>
      </w:r>
      <w:hyperlink w:anchor="_ENREF_220" w:tooltip="Sharma, 2021 #131" w:history="1">
        <w:r w:rsidR="00DE113E" w:rsidRPr="00F71F57">
          <w:rPr>
            <w:rFonts w:asciiTheme="majorBidi" w:hAnsiTheme="majorBidi" w:cstheme="majorBidi"/>
            <w:sz w:val="24"/>
            <w:szCs w:val="24"/>
            <w:lang w:val="en-GB" w:bidi="fa-IR"/>
          </w:rPr>
          <w:t>Sharma et al., 2021</w:t>
        </w:r>
      </w:hyperlink>
      <w:r w:rsidR="003B4C48" w:rsidRPr="00F71F57">
        <w:rPr>
          <w:rFonts w:asciiTheme="majorBidi" w:hAnsiTheme="majorBidi" w:cstheme="majorBidi"/>
          <w:sz w:val="24"/>
          <w:szCs w:val="24"/>
          <w:lang w:val="en-GB" w:bidi="fa-IR"/>
        </w:rPr>
        <w:t>)</w:t>
      </w:r>
      <w:r w:rsidR="003B4C48"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786AA5"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 mechanisms through which mitochondrial dysfunction influences neurodegeneration are multifaceted. Firstly, oxidative stress, arising from the excessive production of reactive oxygen species (ROS), causes cellular damage and apoptosis. Mitochondrial defects often exacerbate oxidative stress, leading to further mitochondrial impairment and neuronal damage </w:t>
      </w:r>
      <w:r w:rsidR="003B4C48" w:rsidRPr="00F71F57">
        <w:rPr>
          <w:rFonts w:asciiTheme="majorBidi" w:hAnsiTheme="majorBidi" w:cstheme="majorBidi"/>
          <w:sz w:val="24"/>
          <w:szCs w:val="24"/>
          <w:lang w:val="en-GB" w:bidi="fa-IR"/>
        </w:rPr>
        <w:fldChar w:fldCharType="begin"/>
      </w:r>
      <w:r w:rsidR="003B4C48" w:rsidRPr="00F71F57">
        <w:rPr>
          <w:rFonts w:asciiTheme="majorBidi" w:hAnsiTheme="majorBidi" w:cstheme="majorBidi"/>
          <w:sz w:val="24"/>
          <w:szCs w:val="24"/>
          <w:lang w:val="en-GB" w:bidi="fa-IR"/>
        </w:rPr>
        <w:instrText xml:space="preserve"> ADDIN EN.CITE &lt;EndNote&gt;&lt;Cite&gt;&lt;Author&gt;Franco-Iborra&lt;/Author&gt;&lt;Year&gt;2018&lt;/Year&gt;&lt;RecNum&gt;133&lt;/RecNum&gt;&lt;DisplayText&gt;(Franco-Iborra et al., 2018; Golpich et al., 2016)&lt;/DisplayText&gt;&lt;record&gt;&lt;rec-number&gt;133&lt;/rec-number&gt;&lt;foreign-keys&gt;&lt;key app="EN" db-id="2ptrtps0adr9vke22dn5tpwzrsfaxtxrfwet" timestamp="1755689288"&gt;133&lt;/key&gt;&lt;/foreign-keys&gt;&lt;ref-type name="Journal Article"&gt;17&lt;/ref-type&gt;&lt;contributors&gt;&lt;authors&gt;&lt;author&gt;Franco-Iborra, Sandra&lt;/author&gt;&lt;author&gt;Vila, Miquel&lt;/author&gt;&lt;author&gt;Perier, Céline&lt;/author&gt;&lt;/authors&gt;&lt;/contributors&gt;&lt;titles&gt;&lt;title&gt;Mitochondrial Quality Control in Neurodegenerative Diseases: Focus on Parkinson&amp;apos;s Disease and Huntington&amp;apos;s Disease&lt;/title&gt;&lt;secondary-title&gt;Frontiers in Neuroscience&lt;/secondary-title&gt;&lt;/titles&gt;&lt;periodical&gt;&lt;full-title&gt;Frontiers in Neuroscience&lt;/full-title&gt;&lt;/periodical&gt;&lt;volume&gt;12&lt;/volume&gt;&lt;dates&gt;&lt;year&gt;2018&lt;/year&gt;&lt;/dates&gt;&lt;urls&gt;&lt;/urls&gt;&lt;electronic-resource-num&gt;10.3389/fnins.2018.00342&lt;/electronic-resource-num&gt;&lt;/record&gt;&lt;/Cite&gt;&lt;Cite&gt;&lt;Author&gt;Golpich&lt;/Author&gt;&lt;Year&gt;2016&lt;/Year&gt;&lt;RecNum&gt;134&lt;/RecNum&gt;&lt;record&gt;&lt;rec-number&gt;134&lt;/rec-number&gt;&lt;foreign-keys&gt;&lt;key app="EN" db-id="2ptrtps0adr9vke22dn5tpwzrsfaxtxrfwet" timestamp="1755689305"&gt;134&lt;/key&gt;&lt;/foreign-keys&gt;&lt;ref-type name="Journal Article"&gt;17&lt;/ref-type&gt;&lt;contributors&gt;&lt;authors&gt;&lt;author&gt;Golpich, Mojtaba&lt;/author&gt;&lt;author&gt;Amini, Elham&lt;/author&gt;&lt;author&gt;Mohamed, Zahurin&lt;/author&gt;&lt;author&gt;Raymond, Azman Ali&lt;/author&gt;&lt;author&gt;Ibrahim, Norlinah Mohamed&lt;/author&gt;&lt;author&gt;Ahmadiani, Abolhassan&lt;/author&gt;&lt;/authors&gt;&lt;/contributors&gt;&lt;titles&gt;&lt;title&gt;Mitochondrial Dysfunction and Biogenesis in Neurodegenerative Diseases: Pathogenesis and Treatment&lt;/title&gt;&lt;secondary-title&gt;CNS Neuroscience &amp;amp; Therapeutics&lt;/secondary-title&gt;&lt;/titles&gt;&lt;periodical&gt;&lt;full-title&gt;CNS Neuroscience &amp;amp; Therapeutics&lt;/full-title&gt;&lt;/periodical&gt;&lt;pages&gt;5-22&lt;/pages&gt;&lt;volume&gt;23&lt;/volume&gt;&lt;number&gt;1&lt;/number&gt;&lt;dates&gt;&lt;year&gt;2016&lt;/year&gt;&lt;/dates&gt;&lt;urls&gt;&lt;/urls&gt;&lt;electronic-resource-num&gt;10.1111/cns.12655&lt;/electronic-resource-num&gt;&lt;/record&gt;&lt;/Cite&gt;&lt;/EndNote&gt;</w:instrText>
      </w:r>
      <w:r w:rsidR="003B4C48" w:rsidRPr="00F71F57">
        <w:rPr>
          <w:rFonts w:asciiTheme="majorBidi" w:hAnsiTheme="majorBidi" w:cstheme="majorBidi"/>
          <w:sz w:val="24"/>
          <w:szCs w:val="24"/>
          <w:lang w:val="en-GB" w:bidi="fa-IR"/>
        </w:rPr>
        <w:fldChar w:fldCharType="separate"/>
      </w:r>
      <w:r w:rsidR="003B4C48" w:rsidRPr="00F71F57">
        <w:rPr>
          <w:rFonts w:asciiTheme="majorBidi" w:hAnsiTheme="majorBidi" w:cstheme="majorBidi"/>
          <w:sz w:val="24"/>
          <w:szCs w:val="24"/>
          <w:lang w:val="en-GB" w:bidi="fa-IR"/>
        </w:rPr>
        <w:t>(</w:t>
      </w:r>
      <w:hyperlink w:anchor="_ENREF_79" w:tooltip="Franco-Iborra, 2018 #133" w:history="1">
        <w:r w:rsidR="00DE113E" w:rsidRPr="00F71F57">
          <w:rPr>
            <w:rFonts w:asciiTheme="majorBidi" w:hAnsiTheme="majorBidi" w:cstheme="majorBidi"/>
            <w:sz w:val="24"/>
            <w:szCs w:val="24"/>
            <w:lang w:val="en-GB" w:bidi="fa-IR"/>
          </w:rPr>
          <w:t>Franco-Iborra et al., 2018</w:t>
        </w:r>
      </w:hyperlink>
      <w:r w:rsidR="003B4C48" w:rsidRPr="00F71F57">
        <w:rPr>
          <w:rFonts w:asciiTheme="majorBidi" w:hAnsiTheme="majorBidi" w:cstheme="majorBidi"/>
          <w:sz w:val="24"/>
          <w:szCs w:val="24"/>
          <w:lang w:val="en-GB" w:bidi="fa-IR"/>
        </w:rPr>
        <w:t xml:space="preserve">; </w:t>
      </w:r>
      <w:hyperlink w:anchor="_ENREF_90" w:tooltip="Golpich, 2016 #138" w:history="1">
        <w:r w:rsidR="00DE113E" w:rsidRPr="00F71F57">
          <w:rPr>
            <w:rFonts w:asciiTheme="majorBidi" w:hAnsiTheme="majorBidi" w:cstheme="majorBidi"/>
            <w:sz w:val="24"/>
            <w:szCs w:val="24"/>
            <w:lang w:val="en-GB" w:bidi="fa-IR"/>
          </w:rPr>
          <w:t>Golpich et al., 2016</w:t>
        </w:r>
      </w:hyperlink>
      <w:r w:rsidR="003B4C48" w:rsidRPr="00F71F57">
        <w:rPr>
          <w:rFonts w:asciiTheme="majorBidi" w:hAnsiTheme="majorBidi" w:cstheme="majorBidi"/>
          <w:sz w:val="24"/>
          <w:szCs w:val="24"/>
          <w:lang w:val="en-GB" w:bidi="fa-IR"/>
        </w:rPr>
        <w:t>)</w:t>
      </w:r>
      <w:r w:rsidR="003B4C48" w:rsidRPr="00F71F57">
        <w:rPr>
          <w:rFonts w:asciiTheme="majorBidi" w:hAnsiTheme="majorBidi" w:cstheme="majorBidi"/>
          <w:sz w:val="24"/>
          <w:szCs w:val="24"/>
          <w:lang w:val="en-GB" w:bidi="fa-IR"/>
        </w:rPr>
        <w:fldChar w:fldCharType="end"/>
      </w:r>
      <w:r w:rsidR="007B3CB6">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Additionally, the accumulation of abnormal proteins—such as amyloid-beta (Aβ) and tau—can directly impact mitochondrial function, perpetuating energy deficits </w:t>
      </w:r>
      <w:r w:rsidR="009D0D00" w:rsidRPr="00F71F57">
        <w:rPr>
          <w:rFonts w:asciiTheme="majorBidi" w:hAnsiTheme="majorBidi" w:cstheme="majorBidi"/>
          <w:sz w:val="24"/>
          <w:szCs w:val="24"/>
          <w:lang w:val="en-GB" w:bidi="fa-IR"/>
        </w:rPr>
        <w:fldChar w:fldCharType="begin"/>
      </w:r>
      <w:r w:rsidR="009D0D00" w:rsidRPr="00F71F57">
        <w:rPr>
          <w:rFonts w:asciiTheme="majorBidi" w:hAnsiTheme="majorBidi" w:cstheme="majorBidi"/>
          <w:sz w:val="24"/>
          <w:szCs w:val="24"/>
          <w:lang w:val="en-GB" w:bidi="fa-IR"/>
        </w:rPr>
        <w:instrText xml:space="preserve"> ADDIN EN.CITE &lt;EndNote&gt;&lt;Cite&gt;&lt;Author&gt;Wang&lt;/Author&gt;&lt;Year&gt;2020&lt;/Year&gt;&lt;RecNum&gt;135&lt;/RecNum&gt;&lt;DisplayText&gt;(Kerr et al., 2017; Wang et al., 2020)&lt;/DisplayText&gt;&lt;record&gt;&lt;rec-number&gt;135&lt;/rec-number&gt;&lt;foreign-keys&gt;&lt;key app="EN" db-id="2ptrtps0adr9vke22dn5tpwzrsfaxtxrfwet" timestamp="1755689366"&gt;135&lt;/key&gt;&lt;/foreign-keys&gt;&lt;ref-type name="Journal Article"&gt;17&lt;/ref-type&gt;&lt;contributors&gt;&lt;authors&gt;&lt;author&gt;Wang, Wenzhang&lt;/author&gt;&lt;author&gt;Zhao, Fanpeng&lt;/author&gt;&lt;author&gt;Ma, Xiaopin&lt;/author&gt;&lt;author&gt;Perry, George&lt;/author&gt;&lt;author&gt;Zhu, Xiongwei&lt;/author&gt;&lt;/authors&gt;&lt;/contributors&gt;&lt;titles&gt;&lt;title&gt;Mitochondria Dysfunction in the Pathogenesis of Alzheimer’s Disease: Recent Advances&lt;/title&gt;&lt;secondary-title&gt;Molecular Neurodegeneration&lt;/secondary-title&gt;&lt;/titles&gt;&lt;periodical&gt;&lt;full-title&gt;Molecular Neurodegeneration&lt;/full-title&gt;&lt;/periodical&gt;&lt;volume&gt;15&lt;/volume&gt;&lt;number&gt;1&lt;/number&gt;&lt;dates&gt;&lt;year&gt;2020&lt;/year&gt;&lt;/dates&gt;&lt;urls&gt;&lt;/urls&gt;&lt;electronic-resource-num&gt;10.1186/s13024-020-00376-6&lt;/electronic-resource-num&gt;&lt;/record&gt;&lt;/Cite&gt;&lt;Cite&gt;&lt;Author&gt;Kerr&lt;/Author&gt;&lt;Year&gt;2017&lt;/Year&gt;&lt;RecNum&gt;136&lt;/RecNum&gt;&lt;record&gt;&lt;rec-number&gt;136&lt;/rec-number&gt;&lt;foreign-keys&gt;&lt;key app="EN" db-id="2ptrtps0adr9vke22dn5tpwzrsfaxtxrfwet" timestamp="1755689376"&gt;136&lt;/key&gt;&lt;/foreign-keys&gt;&lt;ref-type name="Journal Article"&gt;17&lt;/ref-type&gt;&lt;contributors&gt;&lt;authors&gt;&lt;author&gt;Kerr, Jesse S.&lt;/author&gt;&lt;author&gt;Adriaanse, Bryan A.&lt;/author&gt;&lt;author&gt;Greig, Nigel H.&lt;/author&gt;&lt;author&gt;Mattson, Mark P.&lt;/author&gt;&lt;author&gt;Cader, M. Zameel&lt;/author&gt;&lt;author&gt;Bohr, Vilhelm A.&lt;/author&gt;&lt;author&gt;Fang, Evandro Fei&lt;/author&gt;&lt;/authors&gt;&lt;/contributors&gt;&lt;titles&gt;&lt;title&gt;Mitophagy and Alzheimer’s Disease: Cellular and Molecular Mechanisms&lt;/title&gt;&lt;secondary-title&gt;Trends in Neurosciences&lt;/secondary-title&gt;&lt;/titles&gt;&lt;periodical&gt;&lt;full-title&gt;Trends in Neurosciences&lt;/full-title&gt;&lt;/periodical&gt;&lt;pages&gt;151-166&lt;/pages&gt;&lt;volume&gt;40&lt;/volume&gt;&lt;number&gt;3&lt;/number&gt;&lt;dates&gt;&lt;year&gt;2017&lt;/year&gt;&lt;/dates&gt;&lt;urls&gt;&lt;/urls&gt;&lt;electronic-resource-num&gt;10.1016/j.tins.2017.01.002&lt;/electronic-resource-num&gt;&lt;/record&gt;&lt;/Cite&gt;&lt;/EndNote&gt;</w:instrText>
      </w:r>
      <w:r w:rsidR="009D0D00" w:rsidRPr="00F71F57">
        <w:rPr>
          <w:rFonts w:asciiTheme="majorBidi" w:hAnsiTheme="majorBidi" w:cstheme="majorBidi"/>
          <w:sz w:val="24"/>
          <w:szCs w:val="24"/>
          <w:lang w:val="en-GB" w:bidi="fa-IR"/>
        </w:rPr>
        <w:fldChar w:fldCharType="separate"/>
      </w:r>
      <w:r w:rsidR="009D0D00" w:rsidRPr="00F71F57">
        <w:rPr>
          <w:rFonts w:asciiTheme="majorBidi" w:hAnsiTheme="majorBidi" w:cstheme="majorBidi"/>
          <w:sz w:val="24"/>
          <w:szCs w:val="24"/>
          <w:lang w:val="en-GB" w:bidi="fa-IR"/>
        </w:rPr>
        <w:t>(</w:t>
      </w:r>
      <w:hyperlink w:anchor="_ENREF_126" w:tooltip="Kerr, 2017 #136" w:history="1">
        <w:r w:rsidR="00DE113E" w:rsidRPr="00F71F57">
          <w:rPr>
            <w:rFonts w:asciiTheme="majorBidi" w:hAnsiTheme="majorBidi" w:cstheme="majorBidi"/>
            <w:sz w:val="24"/>
            <w:szCs w:val="24"/>
            <w:lang w:val="en-GB" w:bidi="fa-IR"/>
          </w:rPr>
          <w:t>Kerr et al., 2017</w:t>
        </w:r>
      </w:hyperlink>
      <w:r w:rsidR="009D0D00" w:rsidRPr="00F71F57">
        <w:rPr>
          <w:rFonts w:asciiTheme="majorBidi" w:hAnsiTheme="majorBidi" w:cstheme="majorBidi"/>
          <w:sz w:val="24"/>
          <w:szCs w:val="24"/>
          <w:lang w:val="en-GB" w:bidi="fa-IR"/>
        </w:rPr>
        <w:t xml:space="preserve">; </w:t>
      </w:r>
      <w:hyperlink w:anchor="_ENREF_254" w:tooltip="Wang, 2020 #135" w:history="1">
        <w:r w:rsidR="00DE113E" w:rsidRPr="00F71F57">
          <w:rPr>
            <w:rFonts w:asciiTheme="majorBidi" w:hAnsiTheme="majorBidi" w:cstheme="majorBidi"/>
            <w:sz w:val="24"/>
            <w:szCs w:val="24"/>
            <w:lang w:val="en-GB" w:bidi="fa-IR"/>
          </w:rPr>
          <w:t>Wang et al., 2020</w:t>
        </w:r>
      </w:hyperlink>
      <w:r w:rsidR="009D0D00" w:rsidRPr="00F71F57">
        <w:rPr>
          <w:rFonts w:asciiTheme="majorBidi" w:hAnsiTheme="majorBidi" w:cstheme="majorBidi"/>
          <w:sz w:val="24"/>
          <w:szCs w:val="24"/>
          <w:lang w:val="en-GB" w:bidi="fa-IR"/>
        </w:rPr>
        <w:t>)</w:t>
      </w:r>
      <w:r w:rsidR="009D0D00" w:rsidRPr="00F71F57">
        <w:rPr>
          <w:rFonts w:asciiTheme="majorBidi" w:hAnsiTheme="majorBidi" w:cstheme="majorBidi"/>
          <w:sz w:val="24"/>
          <w:szCs w:val="24"/>
          <w:lang w:val="en-GB" w:bidi="fa-IR"/>
        </w:rPr>
        <w:fldChar w:fldCharType="end"/>
      </w:r>
      <w:r w:rsidR="007B3CB6">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 expression of Aβ is associated with mitochondrial dysfunction and has been shown to impair mitophagy, the process through which damaged mitochondria are selectively degraded </w:t>
      </w:r>
      <w:r w:rsidR="009D0D00" w:rsidRPr="00F71F57">
        <w:rPr>
          <w:rFonts w:asciiTheme="majorBidi" w:hAnsiTheme="majorBidi" w:cstheme="majorBidi"/>
          <w:sz w:val="24"/>
          <w:szCs w:val="24"/>
          <w:lang w:val="en-GB" w:bidi="fa-IR"/>
        </w:rPr>
        <w:fldChar w:fldCharType="begin"/>
      </w:r>
      <w:r w:rsidR="009D0D00" w:rsidRPr="00F71F57">
        <w:rPr>
          <w:rFonts w:asciiTheme="majorBidi" w:hAnsiTheme="majorBidi" w:cstheme="majorBidi"/>
          <w:sz w:val="24"/>
          <w:szCs w:val="24"/>
          <w:lang w:val="en-GB" w:bidi="fa-IR"/>
        </w:rPr>
        <w:instrText xml:space="preserve"> ADDIN EN.CITE &lt;EndNote&gt;&lt;Cite&gt;&lt;Author&gt;Wang&lt;/Author&gt;&lt;Year&gt;2020&lt;/Year&gt;&lt;RecNum&gt;135&lt;/RecNum&gt;&lt;DisplayText&gt;(Reddy &amp;amp; Oliver, 2019; Wang et al., 2020)&lt;/DisplayText&gt;&lt;record&gt;&lt;rec-number&gt;135&lt;/rec-number&gt;&lt;foreign-keys&gt;&lt;key app="EN" db-id="2ptrtps0adr9vke22dn5tpwzrsfaxtxrfwet" timestamp="1755689366"&gt;135&lt;/key&gt;&lt;/foreign-keys&gt;&lt;ref-type name="Journal Article"&gt;17&lt;/ref-type&gt;&lt;contributors&gt;&lt;authors&gt;&lt;author&gt;Wang, Wenzhang&lt;/author&gt;&lt;author&gt;Zhao, Fanpeng&lt;/author&gt;&lt;author&gt;Ma, Xiaopin&lt;/author&gt;&lt;author&gt;Perry, George&lt;/author&gt;&lt;author&gt;Zhu, Xiongwei&lt;/author&gt;&lt;/authors&gt;&lt;/contributors&gt;&lt;titles&gt;&lt;title&gt;Mitochondria Dysfunction in the Pathogenesis of Alzheimer’s Disease: Recent Advances&lt;/title&gt;&lt;secondary-title&gt;Molecular Neurodegeneration&lt;/secondary-title&gt;&lt;/titles&gt;&lt;periodical&gt;&lt;full-title&gt;Molecular Neurodegeneration&lt;/full-title&gt;&lt;/periodical&gt;&lt;volume&gt;15&lt;/volume&gt;&lt;number&gt;1&lt;/number&gt;&lt;dates&gt;&lt;year&gt;2020&lt;/year&gt;&lt;/dates&gt;&lt;urls&gt;&lt;/urls&gt;&lt;electronic-resource-num&gt;10.1186/s13024-020-00376-6&lt;/electronic-resource-num&gt;&lt;/record&gt;&lt;/Cite&gt;&lt;Cite&gt;&lt;Author&gt;Reddy&lt;/Author&gt;&lt;Year&gt;2019&lt;/Year&gt;&lt;RecNum&gt;137&lt;/RecNum&gt;&lt;record&gt;&lt;rec-number&gt;137&lt;/rec-number&gt;&lt;foreign-keys&gt;&lt;key app="EN" db-id="2ptrtps0adr9vke22dn5tpwzrsfaxtxrfwet" timestamp="1755689441"&gt;137&lt;/key&gt;&lt;/foreign-keys&gt;&lt;ref-type name="Journal Article"&gt;17&lt;/ref-type&gt;&lt;contributors&gt;&lt;authors&gt;&lt;author&gt;Reddy, P. Hemachandra&lt;/author&gt;&lt;author&gt;Oliver, Darryll&lt;/author&gt;&lt;/authors&gt;&lt;/contributors&gt;&lt;titles&gt;&lt;title&gt;Amyloid Beta and Phosphorylated Tau-Induced Defective Autophagy and Mitophagy in Alzheimer’s Disease&lt;/title&gt;&lt;secondary-title&gt;Cells&lt;/secondary-title&gt;&lt;/titles&gt;&lt;periodical&gt;&lt;full-title&gt;Cells&lt;/full-title&gt;&lt;/periodical&gt;&lt;pages&gt;488&lt;/pages&gt;&lt;volume&gt;8&lt;/volume&gt;&lt;number&gt;5&lt;/number&gt;&lt;dates&gt;&lt;year&gt;2019&lt;/year&gt;&lt;/dates&gt;&lt;urls&gt;&lt;/urls&gt;&lt;electronic-resource-num&gt;10.3390/cells8050488&lt;/electronic-resource-num&gt;&lt;/record&gt;&lt;/Cite&gt;&lt;/EndNote&gt;</w:instrText>
      </w:r>
      <w:r w:rsidR="009D0D00" w:rsidRPr="00F71F57">
        <w:rPr>
          <w:rFonts w:asciiTheme="majorBidi" w:hAnsiTheme="majorBidi" w:cstheme="majorBidi"/>
          <w:sz w:val="24"/>
          <w:szCs w:val="24"/>
          <w:lang w:val="en-GB" w:bidi="fa-IR"/>
        </w:rPr>
        <w:fldChar w:fldCharType="separate"/>
      </w:r>
      <w:r w:rsidR="009D0D00" w:rsidRPr="00F71F57">
        <w:rPr>
          <w:rFonts w:asciiTheme="majorBidi" w:hAnsiTheme="majorBidi" w:cstheme="majorBidi"/>
          <w:sz w:val="24"/>
          <w:szCs w:val="24"/>
          <w:lang w:val="en-GB" w:bidi="fa-IR"/>
        </w:rPr>
        <w:t>(</w:t>
      </w:r>
      <w:hyperlink w:anchor="_ENREF_196" w:tooltip="Reddy, 2019 #132" w:history="1">
        <w:r w:rsidR="00DE113E" w:rsidRPr="00F71F57">
          <w:rPr>
            <w:rFonts w:asciiTheme="majorBidi" w:hAnsiTheme="majorBidi" w:cstheme="majorBidi"/>
            <w:sz w:val="24"/>
            <w:szCs w:val="24"/>
            <w:lang w:val="en-GB" w:bidi="fa-IR"/>
          </w:rPr>
          <w:t>Reddy &amp; Oliver, 2019</w:t>
        </w:r>
      </w:hyperlink>
      <w:r w:rsidR="009D0D00" w:rsidRPr="00F71F57">
        <w:rPr>
          <w:rFonts w:asciiTheme="majorBidi" w:hAnsiTheme="majorBidi" w:cstheme="majorBidi"/>
          <w:sz w:val="24"/>
          <w:szCs w:val="24"/>
          <w:lang w:val="en-GB" w:bidi="fa-IR"/>
        </w:rPr>
        <w:t xml:space="preserve">; </w:t>
      </w:r>
      <w:hyperlink w:anchor="_ENREF_254" w:tooltip="Wang, 2020 #135" w:history="1">
        <w:r w:rsidR="00DE113E" w:rsidRPr="00F71F57">
          <w:rPr>
            <w:rFonts w:asciiTheme="majorBidi" w:hAnsiTheme="majorBidi" w:cstheme="majorBidi"/>
            <w:sz w:val="24"/>
            <w:szCs w:val="24"/>
            <w:lang w:val="en-GB" w:bidi="fa-IR"/>
          </w:rPr>
          <w:t>Wang et al., 2020</w:t>
        </w:r>
      </w:hyperlink>
      <w:r w:rsidR="009D0D00" w:rsidRPr="00F71F57">
        <w:rPr>
          <w:rFonts w:asciiTheme="majorBidi" w:hAnsiTheme="majorBidi" w:cstheme="majorBidi"/>
          <w:sz w:val="24"/>
          <w:szCs w:val="24"/>
          <w:lang w:val="en-GB" w:bidi="fa-IR"/>
        </w:rPr>
        <w:t>)</w:t>
      </w:r>
      <w:r w:rsidR="009D0D00" w:rsidRPr="00F71F57">
        <w:rPr>
          <w:rFonts w:asciiTheme="majorBidi" w:hAnsiTheme="majorBidi" w:cstheme="majorBidi"/>
          <w:sz w:val="24"/>
          <w:szCs w:val="24"/>
          <w:lang w:val="en-GB" w:bidi="fa-IR"/>
        </w:rPr>
        <w:fldChar w:fldCharType="end"/>
      </w:r>
      <w:r w:rsidR="007B3CB6">
        <w:rPr>
          <w:rFonts w:asciiTheme="majorBidi" w:hAnsiTheme="majorBidi" w:cstheme="majorBidi"/>
          <w:sz w:val="24"/>
          <w:szCs w:val="24"/>
          <w:lang w:val="en-GB" w:bidi="fa-IR"/>
        </w:rPr>
        <w:t>.</w:t>
      </w:r>
      <w:r w:rsidR="00786AA5"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Furthermore, recent research highlights the role of impaired mitochondrial dynamics, characterized by increased fragmentation and decreased fusion among mitochondria, in the development of neurodegenerative diseases </w:t>
      </w:r>
      <w:r w:rsidR="00166BC4" w:rsidRPr="00F71F57">
        <w:rPr>
          <w:rFonts w:asciiTheme="majorBidi" w:hAnsiTheme="majorBidi" w:cstheme="majorBidi"/>
          <w:sz w:val="24"/>
          <w:szCs w:val="24"/>
          <w:lang w:val="en-GB" w:bidi="fa-IR"/>
        </w:rPr>
        <w:fldChar w:fldCharType="begin">
          <w:fldData xml:space="preserve">PEVuZE5vdGU+PENpdGU+PEF1dGhvcj5Hb2xwaWNoPC9BdXRob3I+PFllYXI+MjAxNjwvWWVhcj48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</w:fldData>
        </w:fldChar>
      </w:r>
      <w:r w:rsidR="00166BC4" w:rsidRPr="00F71F57">
        <w:rPr>
          <w:rFonts w:asciiTheme="majorBidi" w:hAnsiTheme="majorBidi" w:cstheme="majorBidi"/>
          <w:sz w:val="24"/>
          <w:szCs w:val="24"/>
          <w:lang w:val="en-GB" w:bidi="fa-IR"/>
        </w:rPr>
        <w:instrText xml:space="preserve"> ADDIN EN.CITE </w:instrText>
      </w:r>
      <w:r w:rsidR="00166BC4" w:rsidRPr="00F71F57">
        <w:rPr>
          <w:rFonts w:asciiTheme="majorBidi" w:hAnsiTheme="majorBidi" w:cstheme="majorBidi"/>
          <w:sz w:val="24"/>
          <w:szCs w:val="24"/>
          <w:lang w:val="en-GB" w:bidi="fa-IR"/>
        </w:rPr>
        <w:fldChar w:fldCharType="begin">
          <w:fldData xml:space="preserve">PEVuZE5vdGU+PENpdGU+PEF1dGhvcj5Hb2xwaWNoPC9BdXRob3I+PFllYXI+MjAxNjwvWWVhcj48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</w:fldData>
        </w:fldChar>
      </w:r>
      <w:r w:rsidR="00166BC4" w:rsidRPr="00F71F57">
        <w:rPr>
          <w:rFonts w:asciiTheme="majorBidi" w:hAnsiTheme="majorBidi" w:cstheme="majorBidi"/>
          <w:sz w:val="24"/>
          <w:szCs w:val="24"/>
          <w:lang w:val="en-GB" w:bidi="fa-IR"/>
        </w:rPr>
        <w:instrText xml:space="preserve"> ADDIN EN.CITE.DATA </w:instrText>
      </w:r>
      <w:r w:rsidR="00166BC4" w:rsidRPr="00F71F57">
        <w:rPr>
          <w:rFonts w:asciiTheme="majorBidi" w:hAnsiTheme="majorBidi" w:cstheme="majorBidi"/>
          <w:sz w:val="24"/>
          <w:szCs w:val="24"/>
          <w:lang w:val="en-GB" w:bidi="fa-IR"/>
        </w:rPr>
      </w:r>
      <w:r w:rsidR="00166BC4" w:rsidRPr="00F71F57">
        <w:rPr>
          <w:rFonts w:asciiTheme="majorBidi" w:hAnsiTheme="majorBidi" w:cstheme="majorBidi"/>
          <w:sz w:val="24"/>
          <w:szCs w:val="24"/>
          <w:lang w:val="en-GB" w:bidi="fa-IR"/>
        </w:rPr>
        <w:fldChar w:fldCharType="end"/>
      </w:r>
      <w:r w:rsidR="00166BC4" w:rsidRPr="00F71F57">
        <w:rPr>
          <w:rFonts w:asciiTheme="majorBidi" w:hAnsiTheme="majorBidi" w:cstheme="majorBidi"/>
          <w:sz w:val="24"/>
          <w:szCs w:val="24"/>
          <w:lang w:val="en-GB" w:bidi="fa-IR"/>
        </w:rPr>
      </w:r>
      <w:r w:rsidR="00166BC4" w:rsidRPr="00F71F57">
        <w:rPr>
          <w:rFonts w:asciiTheme="majorBidi" w:hAnsiTheme="majorBidi" w:cstheme="majorBidi"/>
          <w:sz w:val="24"/>
          <w:szCs w:val="24"/>
          <w:lang w:val="en-GB" w:bidi="fa-IR"/>
        </w:rPr>
        <w:fldChar w:fldCharType="separate"/>
      </w:r>
      <w:r w:rsidR="00166BC4" w:rsidRPr="00F71F57">
        <w:rPr>
          <w:rFonts w:asciiTheme="majorBidi" w:hAnsiTheme="majorBidi" w:cstheme="majorBidi"/>
          <w:sz w:val="24"/>
          <w:szCs w:val="24"/>
          <w:lang w:val="en-GB" w:bidi="fa-IR"/>
        </w:rPr>
        <w:t>(</w:t>
      </w:r>
      <w:hyperlink w:anchor="_ENREF_20" w:tooltip="Beresford‐Webb, 2025 #139" w:history="1">
        <w:r w:rsidR="00DE113E" w:rsidRPr="00F71F57">
          <w:rPr>
            <w:rFonts w:asciiTheme="majorBidi" w:hAnsiTheme="majorBidi" w:cstheme="majorBidi"/>
            <w:sz w:val="24"/>
            <w:szCs w:val="24"/>
            <w:lang w:val="en-GB" w:bidi="fa-IR"/>
          </w:rPr>
          <w:t>Beresford‐Webb et al., 2025</w:t>
        </w:r>
      </w:hyperlink>
      <w:r w:rsidR="00166BC4" w:rsidRPr="00F71F57">
        <w:rPr>
          <w:rFonts w:asciiTheme="majorBidi" w:hAnsiTheme="majorBidi" w:cstheme="majorBidi"/>
          <w:sz w:val="24"/>
          <w:szCs w:val="24"/>
          <w:lang w:val="en-GB" w:bidi="fa-IR"/>
        </w:rPr>
        <w:t xml:space="preserve">; </w:t>
      </w:r>
      <w:hyperlink w:anchor="_ENREF_90" w:tooltip="Golpich, 2016 #138" w:history="1">
        <w:r w:rsidR="00DE113E" w:rsidRPr="00F71F57">
          <w:rPr>
            <w:rFonts w:asciiTheme="majorBidi" w:hAnsiTheme="majorBidi" w:cstheme="majorBidi"/>
            <w:sz w:val="24"/>
            <w:szCs w:val="24"/>
            <w:lang w:val="en-GB" w:bidi="fa-IR"/>
          </w:rPr>
          <w:t>Golpich et al., 2016</w:t>
        </w:r>
      </w:hyperlink>
      <w:r w:rsidR="00166BC4" w:rsidRPr="00F71F57">
        <w:rPr>
          <w:rFonts w:asciiTheme="majorBidi" w:hAnsiTheme="majorBidi" w:cstheme="majorBidi"/>
          <w:sz w:val="24"/>
          <w:szCs w:val="24"/>
          <w:lang w:val="en-GB" w:bidi="fa-IR"/>
        </w:rPr>
        <w:t>)</w:t>
      </w:r>
      <w:r w:rsidR="00166BC4"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Such alterations hinder mitochondrial transport and distribution within neurons, particularly affecting distal axonal regions where energy supply is critical </w:t>
      </w:r>
      <w:r w:rsidR="00166BC4" w:rsidRPr="00F71F57">
        <w:rPr>
          <w:rFonts w:asciiTheme="majorBidi" w:hAnsiTheme="majorBidi" w:cstheme="majorBidi"/>
          <w:sz w:val="24"/>
          <w:szCs w:val="24"/>
          <w:lang w:val="en-GB" w:bidi="fa-IR"/>
        </w:rPr>
        <w:fldChar w:fldCharType="begin"/>
      </w:r>
      <w:r w:rsidR="00166BC4" w:rsidRPr="00F71F57">
        <w:rPr>
          <w:rFonts w:asciiTheme="majorBidi" w:hAnsiTheme="majorBidi" w:cstheme="majorBidi"/>
          <w:sz w:val="24"/>
          <w:szCs w:val="24"/>
          <w:lang w:val="en-GB" w:bidi="fa-IR"/>
        </w:rPr>
        <w:instrText xml:space="preserve"> ADDIN EN.CITE &lt;EndNote&gt;&lt;Cite&gt;&lt;Author&gt;Mou&lt;/Author&gt;&lt;Year&gt;2020&lt;/Year&gt;&lt;RecNum&gt;140&lt;/RecNum&gt;&lt;DisplayText&gt;(Mou et al., 2020)&lt;/DisplayText&gt;&lt;record&gt;&lt;rec-number&gt;140&lt;/rec-number&gt;&lt;foreign-keys&gt;&lt;key app="EN" db-id="2ptrtps0adr9vke22dn5tpwzrsfaxtxrfwet" timestamp="1755689613"&gt;140&lt;/key&gt;&lt;/foreign-keys&gt;&lt;ref-type name="Journal Article"&gt;17&lt;/ref-type&gt;&lt;contributors&gt;&lt;authors&gt;&lt;author&gt;Mou, Yongchao&lt;/author&gt;&lt;author&gt;Mukte, Sukhada&lt;/author&gt;&lt;author&gt;Chai, Eric&lt;/author&gt;&lt;author&gt;Dein, Joshua&lt;/author&gt;&lt;author&gt;Li, Xue-Jun&lt;/author&gt;&lt;/authors&gt;&lt;/contributors&gt;&lt;titles&gt;&lt;title&gt;Analyzing Mitochondrial Transport and Morphology in Human Induced Pluripotent Stem Cell-Derived Neurons in Hereditary Spastic Paraplegia&lt;/title&gt;&lt;secondary-title&gt;Journal of Visualized Experiments&lt;/secondary-title&gt;&lt;/titles&gt;&lt;periodical&gt;&lt;full-title&gt;Journal of Visualized Experiments&lt;/full-title&gt;&lt;/periodical&gt;&lt;number&gt;156&lt;/number&gt;&lt;dates&gt;&lt;year&gt;2020&lt;/year&gt;&lt;/dates&gt;&lt;urls&gt;&lt;/urls&gt;&lt;electronic-resource-num&gt;10.3791/60548&lt;/electronic-resource-num&gt;&lt;/record&gt;&lt;/Cite&gt;&lt;/EndNote&gt;</w:instrText>
      </w:r>
      <w:r w:rsidR="00166BC4" w:rsidRPr="00F71F57">
        <w:rPr>
          <w:rFonts w:asciiTheme="majorBidi" w:hAnsiTheme="majorBidi" w:cstheme="majorBidi"/>
          <w:sz w:val="24"/>
          <w:szCs w:val="24"/>
          <w:lang w:val="en-GB" w:bidi="fa-IR"/>
        </w:rPr>
        <w:fldChar w:fldCharType="separate"/>
      </w:r>
      <w:r w:rsidR="00166BC4" w:rsidRPr="00F71F57">
        <w:rPr>
          <w:rFonts w:asciiTheme="majorBidi" w:hAnsiTheme="majorBidi" w:cstheme="majorBidi"/>
          <w:sz w:val="24"/>
          <w:szCs w:val="24"/>
          <w:lang w:val="en-GB" w:bidi="fa-IR"/>
        </w:rPr>
        <w:t>(</w:t>
      </w:r>
      <w:hyperlink w:anchor="_ENREF_164" w:tooltip="Mou, 2020 #140" w:history="1">
        <w:r w:rsidR="00DE113E" w:rsidRPr="00F71F57">
          <w:rPr>
            <w:rFonts w:asciiTheme="majorBidi" w:hAnsiTheme="majorBidi" w:cstheme="majorBidi"/>
            <w:sz w:val="24"/>
            <w:szCs w:val="24"/>
            <w:lang w:val="en-GB" w:bidi="fa-IR"/>
          </w:rPr>
          <w:t>Mou et al., 2020</w:t>
        </w:r>
      </w:hyperlink>
      <w:r w:rsidR="00166BC4" w:rsidRPr="00F71F57">
        <w:rPr>
          <w:rFonts w:asciiTheme="majorBidi" w:hAnsiTheme="majorBidi" w:cstheme="majorBidi"/>
          <w:sz w:val="24"/>
          <w:szCs w:val="24"/>
          <w:lang w:val="en-GB" w:bidi="fa-IR"/>
        </w:rPr>
        <w:t>)</w:t>
      </w:r>
      <w:r w:rsidR="00166BC4" w:rsidRPr="00F71F57">
        <w:rPr>
          <w:rFonts w:asciiTheme="majorBidi" w:hAnsiTheme="majorBidi" w:cstheme="majorBidi"/>
          <w:sz w:val="24"/>
          <w:szCs w:val="24"/>
          <w:lang w:val="en-GB" w:bidi="fa-IR"/>
        </w:rPr>
        <w:fldChar w:fldCharType="end"/>
      </w:r>
      <w:r w:rsidR="00166BC4"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In models of PD, disrupted mitochondrial </w:t>
      </w:r>
      <w:r w:rsidRPr="00F71F57">
        <w:rPr>
          <w:rFonts w:asciiTheme="majorBidi" w:hAnsiTheme="majorBidi" w:cstheme="majorBidi"/>
          <w:sz w:val="24"/>
          <w:szCs w:val="24"/>
          <w:lang w:val="en-GB" w:bidi="fa-IR"/>
        </w:rPr>
        <w:lastRenderedPageBreak/>
        <w:t xml:space="preserve">transport has been linked to dopaminergic cell death, illustrating the vulnerability of these neurons to energy deficits </w:t>
      </w:r>
      <w:r w:rsidR="00166BC4" w:rsidRPr="00F71F57">
        <w:rPr>
          <w:rFonts w:asciiTheme="majorBidi" w:hAnsiTheme="majorBidi" w:cstheme="majorBidi"/>
          <w:sz w:val="24"/>
          <w:szCs w:val="24"/>
          <w:lang w:val="en-GB" w:bidi="fa-IR"/>
        </w:rPr>
        <w:fldChar w:fldCharType="begin"/>
      </w:r>
      <w:r w:rsidR="00166BC4" w:rsidRPr="00F71F57">
        <w:rPr>
          <w:rFonts w:asciiTheme="majorBidi" w:hAnsiTheme="majorBidi" w:cstheme="majorBidi"/>
          <w:sz w:val="24"/>
          <w:szCs w:val="24"/>
          <w:lang w:val="en-GB" w:bidi="fa-IR"/>
        </w:rPr>
        <w:instrText xml:space="preserve"> ADDIN EN.CITE &lt;EndNote&gt;&lt;Cite&gt;&lt;Author&gt;Li&lt;/Author&gt;&lt;Year&gt;2013&lt;/Year&gt;&lt;RecNum&gt;141&lt;/RecNum&gt;&lt;DisplayText&gt;(Li et al., 2013)&lt;/DisplayText&gt;&lt;record&gt;&lt;rec-number&gt;141&lt;/rec-number&gt;&lt;foreign-keys&gt;&lt;key app="EN" db-id="2ptrtps0adr9vke22dn5tpwzrsfaxtxrfwet" timestamp="1755689652"&gt;141&lt;/key&gt;&lt;/foreign-keys&gt;&lt;ref-type name="Journal Article"&gt;17&lt;/ref-type&gt;&lt;contributors&gt;&lt;authors&gt;&lt;author&gt;Li, Li&lt;/author&gt;&lt;author&gt;Nadanaciva, Sashi&lt;/author&gt;&lt;author&gt;Berger, Zdenek&lt;/author&gt;&lt;author&gt;Shen, Wei&lt;/author&gt;&lt;author&gt;Paumier, Katrina L.&lt;/author&gt;&lt;author&gt;Schwartz, Joel&lt;/author&gt;&lt;author&gt;Mou, Kewa&lt;/author&gt;&lt;author&gt;Loos, Paula&lt;/author&gt;&lt;author&gt;Milici, Anthony J.&lt;/author&gt;&lt;author&gt;Dunlop, John&lt;/author&gt;&lt;author&gt;Hirst, Warren D.&lt;/author&gt;&lt;/authors&gt;&lt;/contributors&gt;&lt;titles&gt;&lt;title&gt;Human A53T Α-Synuclein Causes Reversible Deficits in Mitochondrial Function and Dynamics in Primary Mouse Cortical Neurons&lt;/title&gt;&lt;secondary-title&gt;Plos One&lt;/secondary-title&gt;&lt;/titles&gt;&lt;periodical&gt;&lt;full-title&gt;Plos One&lt;/full-title&gt;&lt;/periodical&gt;&lt;pages&gt;e85815&lt;/pages&gt;&lt;volume&gt;8&lt;/volume&gt;&lt;number&gt;12&lt;/number&gt;&lt;dates&gt;&lt;year&gt;2013&lt;/year&gt;&lt;/dates&gt;&lt;urls&gt;&lt;/urls&gt;&lt;electronic-resource-num&gt;10.1371/journal.pone.0085815&lt;/electronic-resource-num&gt;&lt;/record&gt;&lt;/Cite&gt;&lt;/EndNote&gt;</w:instrText>
      </w:r>
      <w:r w:rsidR="00166BC4" w:rsidRPr="00F71F57">
        <w:rPr>
          <w:rFonts w:asciiTheme="majorBidi" w:hAnsiTheme="majorBidi" w:cstheme="majorBidi"/>
          <w:sz w:val="24"/>
          <w:szCs w:val="24"/>
          <w:lang w:val="en-GB" w:bidi="fa-IR"/>
        </w:rPr>
        <w:fldChar w:fldCharType="separate"/>
      </w:r>
      <w:r w:rsidR="00166BC4" w:rsidRPr="00F71F57">
        <w:rPr>
          <w:rFonts w:asciiTheme="majorBidi" w:hAnsiTheme="majorBidi" w:cstheme="majorBidi"/>
          <w:sz w:val="24"/>
          <w:szCs w:val="24"/>
          <w:lang w:val="en-GB" w:bidi="fa-IR"/>
        </w:rPr>
        <w:t>(</w:t>
      </w:r>
      <w:hyperlink w:anchor="_ENREF_137" w:tooltip="Li, 2013 #141" w:history="1">
        <w:r w:rsidR="00DE113E" w:rsidRPr="00F71F57">
          <w:rPr>
            <w:rFonts w:asciiTheme="majorBidi" w:hAnsiTheme="majorBidi" w:cstheme="majorBidi"/>
            <w:sz w:val="24"/>
            <w:szCs w:val="24"/>
            <w:lang w:val="en-GB" w:bidi="fa-IR"/>
          </w:rPr>
          <w:t>Li et al., 2013</w:t>
        </w:r>
      </w:hyperlink>
      <w:r w:rsidR="00166BC4" w:rsidRPr="00F71F57">
        <w:rPr>
          <w:rFonts w:asciiTheme="majorBidi" w:hAnsiTheme="majorBidi" w:cstheme="majorBidi"/>
          <w:sz w:val="24"/>
          <w:szCs w:val="24"/>
          <w:lang w:val="en-GB" w:bidi="fa-IR"/>
        </w:rPr>
        <w:t>)</w:t>
      </w:r>
      <w:r w:rsidR="00166BC4" w:rsidRPr="00F71F57">
        <w:rPr>
          <w:rFonts w:asciiTheme="majorBidi" w:hAnsiTheme="majorBidi" w:cstheme="majorBidi"/>
          <w:sz w:val="24"/>
          <w:szCs w:val="24"/>
          <w:lang w:val="en-GB" w:bidi="fa-IR"/>
        </w:rPr>
        <w:fldChar w:fldCharType="end"/>
      </w:r>
      <w:r w:rsidR="00166BC4" w:rsidRPr="00F71F57">
        <w:rPr>
          <w:rFonts w:asciiTheme="majorBidi" w:hAnsiTheme="majorBidi" w:cstheme="majorBidi"/>
          <w:sz w:val="24"/>
          <w:szCs w:val="24"/>
          <w:lang w:val="en-GB" w:bidi="fa-IR"/>
        </w:rPr>
        <w:t>.</w:t>
      </w:r>
      <w:r w:rsidR="00786AA5"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Mitochondrial biogenesis—the process through which new mitochondria are formed—appears to be impaired in neurodegenerative conditions, leading to reduced mitochondrial mass and functionality</w:t>
      </w:r>
      <w:r w:rsidR="00786AA5" w:rsidRPr="00F71F57">
        <w:rPr>
          <w:lang w:val="en-GB"/>
        </w:rPr>
        <w:t xml:space="preserve"> </w:t>
      </w:r>
      <w:r w:rsidR="00786AA5" w:rsidRPr="00F71F57">
        <w:rPr>
          <w:rFonts w:asciiTheme="majorBidi" w:hAnsiTheme="majorBidi" w:cstheme="majorBidi"/>
          <w:sz w:val="24"/>
          <w:szCs w:val="24"/>
          <w:lang w:val="en-GB" w:bidi="fa-IR"/>
        </w:rPr>
        <w:fldChar w:fldCharType="begin"/>
      </w:r>
      <w:r w:rsidR="00786AA5" w:rsidRPr="00F71F57">
        <w:rPr>
          <w:rFonts w:asciiTheme="majorBidi" w:hAnsiTheme="majorBidi" w:cstheme="majorBidi"/>
          <w:sz w:val="24"/>
          <w:szCs w:val="24"/>
          <w:lang w:val="en-GB" w:bidi="fa-IR"/>
        </w:rPr>
        <w:instrText xml:space="preserve"> ADDIN EN.CITE &lt;EndNote&gt;&lt;Cite&gt;&lt;Author&gt;Reddy&lt;/Author&gt;&lt;Year&gt;2011&lt;/Year&gt;&lt;RecNum&gt;142&lt;/RecNum&gt;&lt;DisplayText&gt;(Reddy &amp;amp; Reddy, 2011; Sheng et al., 2011)&lt;/DisplayText&gt;&lt;record&gt;&lt;rec-number&gt;142&lt;/rec-number&gt;&lt;foreign-keys&gt;&lt;key app="EN" db-id="2ptrtps0adr9vke22dn5tpwzrsfaxtxrfwet" timestamp="1755689717"&gt;142&lt;/key&gt;&lt;/foreign-keys&gt;&lt;ref-type name="Journal Article"&gt;17&lt;/ref-type&gt;&lt;contributors&gt;&lt;authors&gt;&lt;author&gt;Reddy, P. Hemachandra&lt;/author&gt;&lt;author&gt;Reddy, T. P.&lt;/author&gt;&lt;/authors&gt;&lt;/contributors&gt;&lt;titles&gt;&lt;title&gt;Mitochondria as a Therapeutic Target for Aging and Neurodegenerative Diseases&lt;/title&gt;&lt;secondary-title&gt;Current Alzheimer Research&lt;/secondary-title&gt;&lt;/titles&gt;&lt;periodical&gt;&lt;full-title&gt;Current Alzheimer Research&lt;/full-title&gt;&lt;/periodical&gt;&lt;pages&gt;393-409&lt;/pages&gt;&lt;volume&gt;8&lt;/volume&gt;&lt;number&gt;4&lt;/number&gt;&lt;dates&gt;&lt;year&gt;2011&lt;/year&gt;&lt;/dates&gt;&lt;urls&gt;&lt;/urls&gt;&lt;electronic-resource-num&gt;10.2174/156720511795745401&lt;/electronic-resource-num&gt;&lt;/record&gt;&lt;/Cite&gt;&lt;Cite&gt;&lt;Author&gt;Sheng&lt;/Author&gt;&lt;Year&gt;2011&lt;/Year&gt;&lt;RecNum&gt;143&lt;/RecNum&gt;&lt;record&gt;&lt;rec-number&gt;143&lt;/rec-number&gt;&lt;foreign-keys&gt;&lt;key app="EN" db-id="2ptrtps0adr9vke22dn5tpwzrsfaxtxrfwet" timestamp="1755689730"&gt;143&lt;/key&gt;&lt;/foreign-keys&gt;&lt;ref-type name="Journal Article"&gt;17&lt;/ref-type&gt;&lt;contributors&gt;&lt;authors&gt;&lt;author&gt;Sheng, Baiyang&lt;/author&gt;&lt;author&gt;Wang, Xinglong&lt;/author&gt;&lt;author&gt;Su, Bo&lt;/author&gt;&lt;author&gt;Lee, Hyoung‐gon&lt;/author&gt;&lt;author&gt;Casadesús, Gemma&lt;/author&gt;&lt;author&gt;Perry, George&lt;/author&gt;&lt;author&gt;Zhu, Xiongwei&lt;/author&gt;&lt;/authors&gt;&lt;/contributors&gt;&lt;titles&gt;&lt;title&gt;Impaired Mitochondrial Biogenesis Contributes to Mitochondrial Dysfunction in Alzheimer’s Disease&lt;/title&gt;&lt;secondary-title&gt;Journal of Neurochemistry&lt;/secondary-title&gt;&lt;/titles&gt;&lt;periodical&gt;&lt;full-title&gt;Journal of Neurochemistry&lt;/full-title&gt;&lt;/periodical&gt;&lt;pages&gt;419-429&lt;/pages&gt;&lt;volume&gt;120&lt;/volume&gt;&lt;number&gt;3&lt;/number&gt;&lt;dates&gt;&lt;year&gt;2011&lt;/year&gt;&lt;/dates&gt;&lt;urls&gt;&lt;/urls&gt;&lt;electronic-resource-num&gt;10.1111/j.1471-4159.2011.07581.x&lt;/electronic-resource-num&gt;&lt;/record&gt;&lt;/Cite&gt;&lt;/EndNote&gt;</w:instrText>
      </w:r>
      <w:r w:rsidR="00786AA5" w:rsidRPr="00F71F57">
        <w:rPr>
          <w:rFonts w:asciiTheme="majorBidi" w:hAnsiTheme="majorBidi" w:cstheme="majorBidi"/>
          <w:sz w:val="24"/>
          <w:szCs w:val="24"/>
          <w:lang w:val="en-GB" w:bidi="fa-IR"/>
        </w:rPr>
        <w:fldChar w:fldCharType="separate"/>
      </w:r>
      <w:r w:rsidR="00786AA5" w:rsidRPr="00F71F57">
        <w:rPr>
          <w:rFonts w:asciiTheme="majorBidi" w:hAnsiTheme="majorBidi" w:cstheme="majorBidi"/>
          <w:sz w:val="24"/>
          <w:szCs w:val="24"/>
          <w:lang w:val="en-GB" w:bidi="fa-IR"/>
        </w:rPr>
        <w:t>(</w:t>
      </w:r>
      <w:hyperlink w:anchor="_ENREF_197" w:tooltip="Reddy, 2011 #142" w:history="1">
        <w:r w:rsidR="00DE113E" w:rsidRPr="00F71F57">
          <w:rPr>
            <w:rFonts w:asciiTheme="majorBidi" w:hAnsiTheme="majorBidi" w:cstheme="majorBidi"/>
            <w:sz w:val="24"/>
            <w:szCs w:val="24"/>
            <w:lang w:val="en-GB" w:bidi="fa-IR"/>
          </w:rPr>
          <w:t>Reddy &amp; Reddy, 2011</w:t>
        </w:r>
      </w:hyperlink>
      <w:r w:rsidR="00786AA5" w:rsidRPr="00F71F57">
        <w:rPr>
          <w:rFonts w:asciiTheme="majorBidi" w:hAnsiTheme="majorBidi" w:cstheme="majorBidi"/>
          <w:sz w:val="24"/>
          <w:szCs w:val="24"/>
          <w:lang w:val="en-GB" w:bidi="fa-IR"/>
        </w:rPr>
        <w:t xml:space="preserve">; </w:t>
      </w:r>
      <w:hyperlink w:anchor="_ENREF_221" w:tooltip="Sheng, 2011 #143" w:history="1">
        <w:r w:rsidR="00DE113E" w:rsidRPr="00F71F57">
          <w:rPr>
            <w:rFonts w:asciiTheme="majorBidi" w:hAnsiTheme="majorBidi" w:cstheme="majorBidi"/>
            <w:sz w:val="24"/>
            <w:szCs w:val="24"/>
            <w:lang w:val="en-GB" w:bidi="fa-IR"/>
          </w:rPr>
          <w:t>Sheng et al., 2011</w:t>
        </w:r>
      </w:hyperlink>
      <w:r w:rsidR="00786AA5" w:rsidRPr="00F71F57">
        <w:rPr>
          <w:rFonts w:asciiTheme="majorBidi" w:hAnsiTheme="majorBidi" w:cstheme="majorBidi"/>
          <w:sz w:val="24"/>
          <w:szCs w:val="24"/>
          <w:lang w:val="en-GB" w:bidi="fa-IR"/>
        </w:rPr>
        <w:t>)</w:t>
      </w:r>
      <w:r w:rsidR="00786AA5"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Enhancing mitochondrial biogenesis through specific transcription factors, such as PGC-1α and TFAM, has been proposed as a therapeutic strategy, potentially restoring mitochondrial function and alleviating cognitive deficits associated with neurodegeneration</w:t>
      </w:r>
      <w:r w:rsidR="00786AA5" w:rsidRPr="00F71F57">
        <w:rPr>
          <w:lang w:val="en-GB"/>
        </w:rPr>
        <w:t xml:space="preserve"> </w:t>
      </w:r>
      <w:r w:rsidR="00786AA5" w:rsidRPr="00F71F57">
        <w:rPr>
          <w:rFonts w:asciiTheme="majorBidi" w:hAnsiTheme="majorBidi" w:cstheme="majorBidi"/>
          <w:sz w:val="24"/>
          <w:szCs w:val="24"/>
          <w:lang w:val="en-GB" w:bidi="fa-IR"/>
        </w:rPr>
        <w:fldChar w:fldCharType="begin"/>
      </w:r>
      <w:r w:rsidR="00786AA5" w:rsidRPr="00F71F57">
        <w:rPr>
          <w:rFonts w:asciiTheme="majorBidi" w:hAnsiTheme="majorBidi" w:cstheme="majorBidi"/>
          <w:sz w:val="24"/>
          <w:szCs w:val="24"/>
          <w:lang w:val="en-GB" w:bidi="fa-IR"/>
        </w:rPr>
        <w:instrText xml:space="preserve"> ADDIN EN.CITE &lt;EndNote&gt;&lt;Cite&gt;&lt;Author&gt;Davis&lt;/Author&gt;&lt;Year&gt;2012&lt;/Year&gt;&lt;RecNum&gt;144&lt;/RecNum&gt;&lt;DisplayText&gt;(Davis &amp;amp; Williams, 2012; Sharma et al., 2021)&lt;/DisplayText&gt;&lt;record&gt;&lt;rec-number&gt;144&lt;/rec-number&gt;&lt;foreign-keys&gt;&lt;key app="EN" db-id="2ptrtps0adr9vke22dn5tpwzrsfaxtxrfwet" timestamp="1755689780"&gt;144&lt;/key&gt;&lt;/foreign-keys&gt;&lt;ref-type name="Journal Article"&gt;17&lt;/ref-type&gt;&lt;contributors&gt;&lt;authors&gt;&lt;author&gt;Davis, Robert E.&lt;/author&gt;&lt;author&gt;Williams, Michael&lt;/author&gt;&lt;/authors&gt;&lt;/contributors&gt;&lt;titles&gt;&lt;title&gt;Mitochondrial Function and Dysfunction: An Update&lt;/title&gt;&lt;secondary-title&gt;Journal of Pharmacology and Experimental Therapeutics&lt;/secondary-title&gt;&lt;/titles&gt;&lt;periodical&gt;&lt;full-title&gt;Journal of Pharmacology and Experimental Therapeutics&lt;/full-title&gt;&lt;/periodical&gt;&lt;pages&gt;598-607&lt;/pages&gt;&lt;volume&gt;342&lt;/volume&gt;&lt;number&gt;3&lt;/number&gt;&lt;dates&gt;&lt;year&gt;2012&lt;/year&gt;&lt;/dates&gt;&lt;urls&gt;&lt;/urls&gt;&lt;electronic-resource-num&gt;10.1124/jpet.112.192104&lt;/electronic-resource-num&gt;&lt;/record&gt;&lt;/Cite&gt;&lt;Cite&gt;&lt;Author&gt;Sharma&lt;/Author&gt;&lt;Year&gt;2021&lt;/Year&gt;&lt;RecNum&gt;131&lt;/RecNum&gt;&lt;record&gt;&lt;rec-number&gt;131&lt;/rec-number&gt;&lt;foreign-keys&gt;&lt;key app="EN" db-id="2ptrtps0adr9vke22dn5tpwzrsfaxtxrfwet" timestamp="1755689155"&gt;131&lt;/key&gt;&lt;/foreign-keys&gt;&lt;ref-type name="Journal Article"&gt;17&lt;/ref-type&gt;&lt;contributors&gt;&lt;authors&gt;&lt;author&gt;Sharma, Chanchal&lt;/author&gt;&lt;author&gt;Kim, Sehwan&lt;/author&gt;&lt;author&gt;Nam, Youngpyo&lt;/author&gt;&lt;author&gt;Jung, Un Ju&lt;/author&gt;&lt;author&gt;Kim, Sang Ryong&lt;/author&gt;&lt;/authors&gt;&lt;/contributors&gt;&lt;titles&gt;&lt;title&gt;Mitochondrial Dysfunction as a Driver of Cognitive Impairment in Alzheimer’s Disease&lt;/title&gt;&lt;secondary-title&gt;International Journal of Molecular Sciences&lt;/secondary-title&gt;&lt;/titles&gt;&lt;periodical&gt;&lt;full-title&gt;International Journal of Molecular Sciences&lt;/full-title&gt;&lt;/periodical&gt;&lt;pages&gt;4850&lt;/pages&gt;&lt;volume&gt;22&lt;/volume&gt;&lt;number&gt;9&lt;/number&gt;&lt;dates&gt;&lt;year&gt;2021&lt;/year&gt;&lt;/dates&gt;&lt;urls&gt;&lt;/urls&gt;&lt;electronic-resource-num&gt;10.3390/ijms22094850&lt;/electronic-resource-num&gt;&lt;/record&gt;&lt;/Cite&gt;&lt;/EndNote&gt;</w:instrText>
      </w:r>
      <w:r w:rsidR="00786AA5" w:rsidRPr="00F71F57">
        <w:rPr>
          <w:rFonts w:asciiTheme="majorBidi" w:hAnsiTheme="majorBidi" w:cstheme="majorBidi"/>
          <w:sz w:val="24"/>
          <w:szCs w:val="24"/>
          <w:lang w:val="en-GB" w:bidi="fa-IR"/>
        </w:rPr>
        <w:fldChar w:fldCharType="separate"/>
      </w:r>
      <w:r w:rsidR="00786AA5" w:rsidRPr="00F71F57">
        <w:rPr>
          <w:rFonts w:asciiTheme="majorBidi" w:hAnsiTheme="majorBidi" w:cstheme="majorBidi"/>
          <w:sz w:val="24"/>
          <w:szCs w:val="24"/>
          <w:lang w:val="en-GB" w:bidi="fa-IR"/>
        </w:rPr>
        <w:t>(</w:t>
      </w:r>
      <w:hyperlink w:anchor="_ENREF_56" w:tooltip="Davis, 2012 #144" w:history="1">
        <w:r w:rsidR="00DE113E" w:rsidRPr="00F71F57">
          <w:rPr>
            <w:rFonts w:asciiTheme="majorBidi" w:hAnsiTheme="majorBidi" w:cstheme="majorBidi"/>
            <w:sz w:val="24"/>
            <w:szCs w:val="24"/>
            <w:lang w:val="en-GB" w:bidi="fa-IR"/>
          </w:rPr>
          <w:t>Davis &amp; Williams, 2012</w:t>
        </w:r>
      </w:hyperlink>
      <w:r w:rsidR="00786AA5" w:rsidRPr="00F71F57">
        <w:rPr>
          <w:rFonts w:asciiTheme="majorBidi" w:hAnsiTheme="majorBidi" w:cstheme="majorBidi"/>
          <w:sz w:val="24"/>
          <w:szCs w:val="24"/>
          <w:lang w:val="en-GB" w:bidi="fa-IR"/>
        </w:rPr>
        <w:t xml:space="preserve">; </w:t>
      </w:r>
      <w:hyperlink w:anchor="_ENREF_220" w:tooltip="Sharma, 2021 #131" w:history="1">
        <w:r w:rsidR="00DE113E" w:rsidRPr="00F71F57">
          <w:rPr>
            <w:rFonts w:asciiTheme="majorBidi" w:hAnsiTheme="majorBidi" w:cstheme="majorBidi"/>
            <w:sz w:val="24"/>
            <w:szCs w:val="24"/>
            <w:lang w:val="en-GB" w:bidi="fa-IR"/>
          </w:rPr>
          <w:t>Sharma et al., 2021</w:t>
        </w:r>
      </w:hyperlink>
      <w:r w:rsidR="00786AA5" w:rsidRPr="00F71F57">
        <w:rPr>
          <w:rFonts w:asciiTheme="majorBidi" w:hAnsiTheme="majorBidi" w:cstheme="majorBidi"/>
          <w:sz w:val="24"/>
          <w:szCs w:val="24"/>
          <w:lang w:val="en-GB" w:bidi="fa-IR"/>
        </w:rPr>
        <w:t>)</w:t>
      </w:r>
      <w:r w:rsidR="00786AA5" w:rsidRPr="00F71F57">
        <w:rPr>
          <w:rFonts w:asciiTheme="majorBidi" w:hAnsiTheme="majorBidi" w:cstheme="majorBidi"/>
          <w:sz w:val="24"/>
          <w:szCs w:val="24"/>
          <w:lang w:val="en-GB" w:bidi="fa-IR"/>
        </w:rPr>
        <w:fldChar w:fldCharType="end"/>
      </w:r>
      <w:r w:rsidR="00786AA5" w:rsidRPr="00F71F57">
        <w:rPr>
          <w:rFonts w:asciiTheme="majorBidi" w:hAnsiTheme="majorBidi" w:cstheme="majorBidi"/>
          <w:sz w:val="24"/>
          <w:szCs w:val="24"/>
          <w:lang w:val="en-GB" w:bidi="fa-IR"/>
        </w:rPr>
        <w:t>. M</w:t>
      </w:r>
      <w:r w:rsidRPr="00F71F57">
        <w:rPr>
          <w:rFonts w:asciiTheme="majorBidi" w:hAnsiTheme="majorBidi" w:cstheme="majorBidi"/>
          <w:sz w:val="24"/>
          <w:szCs w:val="24"/>
          <w:lang w:val="en-GB" w:bidi="fa-IR"/>
        </w:rPr>
        <w:t>itochondrial dysfunction and energy deficits are central to the pathology of numerous neurodegenerative diseases. The interplay between impaired mitochondrial function, oxidative stress, protein aggregation, and inflammation further complicates the pathogenesis, underscoring the importance of targeting mitochondrial health as a potential intervention strategy in managing cognitive decline and neurodegeneration.</w:t>
      </w:r>
    </w:p>
    <w:p w14:paraId="347B1A07" w14:textId="77777777" w:rsidR="00E9097D" w:rsidRDefault="00E9097D" w:rsidP="00C80A17">
      <w:pPr>
        <w:spacing w:line="360" w:lineRule="auto"/>
        <w:ind w:left="1080"/>
        <w:jc w:val="both"/>
        <w:rPr>
          <w:rFonts w:asciiTheme="majorBidi" w:hAnsiTheme="majorBidi" w:cstheme="majorBidi"/>
          <w:sz w:val="24"/>
          <w:szCs w:val="24"/>
          <w:lang w:val="en-GB" w:bidi="fa-IR"/>
        </w:rPr>
      </w:pPr>
    </w:p>
    <w:p w14:paraId="7B8681D9" w14:textId="77777777" w:rsidR="00E9097D" w:rsidRPr="00E9097D" w:rsidRDefault="00E9097D" w:rsidP="00984E32">
      <w:pPr>
        <w:pStyle w:val="Heading4"/>
        <w:rPr>
          <w:lang w:bidi="fa-IR"/>
        </w:rPr>
      </w:pPr>
      <w:bookmarkStart w:id="23" w:name="_Toc214875831"/>
      <w:r w:rsidRPr="00E9097D">
        <w:rPr>
          <w:lang w:bidi="fa-IR"/>
        </w:rPr>
        <w:t>1.2.2.5 Oxidative Stress and Antioxidant Mechanisms in Cognitive Decline</w:t>
      </w:r>
      <w:bookmarkEnd w:id="23"/>
    </w:p>
    <w:p w14:paraId="72306088" w14:textId="3486075F" w:rsidR="00E9097D" w:rsidRPr="00E9097D" w:rsidRDefault="00E9097D" w:rsidP="00C80A17">
      <w:pPr>
        <w:spacing w:line="360" w:lineRule="auto"/>
        <w:ind w:left="1080"/>
        <w:jc w:val="both"/>
        <w:rPr>
          <w:rFonts w:asciiTheme="majorBidi" w:hAnsiTheme="majorBidi" w:cstheme="majorBidi"/>
          <w:sz w:val="24"/>
          <w:szCs w:val="24"/>
          <w:lang w:val="en-GB" w:bidi="fa-IR"/>
        </w:rPr>
      </w:pPr>
      <w:r w:rsidRPr="00E9097D">
        <w:rPr>
          <w:rFonts w:asciiTheme="majorBidi" w:hAnsiTheme="majorBidi" w:cstheme="majorBidi"/>
          <w:sz w:val="24"/>
          <w:szCs w:val="24"/>
          <w:lang w:val="en-GB" w:bidi="fa-IR"/>
        </w:rPr>
        <w:t xml:space="preserve">Oxidative stress is increasingly recognized as a central factor in cognitive decline associated with aging and neurodegenerative diseases. It arises from an imbalance between the production of reactive oxygen species (ROS) and the brain’s capacity to neutralize these harmful compounds through endogenous antioxidant defenses. This imbalance leads to cellular damage, neuroinflammation, and ultimately contributes to the deterioration of cognitive functions </w:t>
      </w:r>
      <w:r w:rsidRPr="00E9097D">
        <w:rPr>
          <w:rFonts w:asciiTheme="majorBidi" w:hAnsiTheme="majorBidi" w:cstheme="majorBidi"/>
          <w:sz w:val="24"/>
          <w:szCs w:val="24"/>
          <w:lang w:val="en-GB" w:bidi="fa-IR"/>
        </w:rPr>
        <w:fldChar w:fldCharType="begin"/>
      </w:r>
      <w:r w:rsidRPr="00E9097D">
        <w:rPr>
          <w:rFonts w:asciiTheme="majorBidi" w:hAnsiTheme="majorBidi" w:cstheme="majorBidi"/>
          <w:sz w:val="24"/>
          <w:szCs w:val="24"/>
          <w:lang w:val="en-GB" w:bidi="fa-IR"/>
        </w:rPr>
        <w:instrText xml:space="preserve"> ADDIN EN.CITE &lt;EndNote&gt;&lt;Cite&gt;&lt;Author&gt;Papathanasiou&lt;/Author&gt;&lt;Year&gt;2021&lt;/Year&gt;&lt;RecNum&gt;190&lt;/RecNum&gt;&lt;DisplayText&gt;(Papathanasiou et al., 2021)&lt;/DisplayText&gt;&lt;record&gt;&lt;rec-number&gt;190&lt;/rec-number&gt;&lt;foreign-keys&gt;&lt;key app="EN" db-id="2ptrtps0adr9vke22dn5tpwzrsfaxtxrfwet" timestamp="1755773743"&gt;190&lt;/key&gt;&lt;/foreign-keys&gt;&lt;ref-type name="Journal Article"&gt;17&lt;/ref-type&gt;&lt;contributors&gt;&lt;authors&gt;&lt;author&gt;Papathanasiou, I. V.&lt;/author&gt;&lt;author&gt;Fradelos, E. C.&lt;/author&gt;&lt;author&gt;Malli, F.&lt;/author&gt;&lt;author&gt;Stefanidis, I.&lt;/author&gt;&lt;author&gt;Zintzaras, E.&lt;/author&gt;&lt;author&gt;Doxani, C.&lt;/author&gt;&lt;/authors&gt;&lt;/contributors&gt;&lt;auth-address&gt;Faculty of nursing, university of thessally, thessally, greece.&amp;#xD;Faculty of medicine, university of thessaly, thessaly, greece.&amp;#xD;Faculty of medicine, university of thessaly, thessaly, greece; center for clinical evidence synthesis, the institute for clinical research and health policy studies, tufts medical center, tufts university school of medicine, boston, ma, united states.&lt;/auth-address&gt;&lt;titles&gt;&lt;title&gt;A SYSTEMATIC REVIEW OF OBSERVATIONAL STUDIES ASSESSING THE IMPACT OF OXIDATIVE STRESS IN COGNITIVE DECLINE&lt;/title&gt;&lt;secondary-title&gt;Wiad Lek&lt;/secondary-title&gt;&lt;/titles&gt;&lt;periodical&gt;&lt;full-title&gt;Wiad Lek&lt;/full-title&gt;&lt;/periodical&gt;&lt;pages&gt;1995-2003&lt;/pages&gt;&lt;volume&gt;74&lt;/volume&gt;&lt;number&gt;8&lt;/number&gt;&lt;edition&gt;2021/09/20&lt;/edition&gt;&lt;keywords&gt;&lt;keyword&gt;Antioxidants&lt;/keyword&gt;&lt;keyword&gt;Cognition&lt;/keyword&gt;&lt;keyword&gt;*Cognitive Dysfunction&lt;/keyword&gt;&lt;keyword&gt;Glutathione&lt;/keyword&gt;&lt;keyword&gt;Humans&lt;/keyword&gt;&lt;keyword&gt;Observational Studies as Topic&lt;/keyword&gt;&lt;keyword&gt;*Oxidative Stress&lt;/keyword&gt;&lt;keyword&gt;Oxidative stress&lt;/keyword&gt;&lt;keyword&gt;cognitive decline&lt;/keyword&gt;&lt;keyword&gt;cognitive dysfunction&lt;/keyword&gt;&lt;keyword&gt;cognitive function&lt;/keyword&gt;&lt;keyword&gt;cognitive impairment&lt;/keyword&gt;&lt;keyword&gt;observational studies&lt;/keyword&gt;&lt;/keywords&gt;&lt;dates&gt;&lt;year&gt;2021&lt;/year&gt;&lt;/dates&gt;&lt;isbn&gt;0043-5147 (Print)&amp;#xD;0043-5147&lt;/isbn&gt;&lt;accession-num&gt;34537756&lt;/accession-num&gt;&lt;urls&gt;&lt;/urls&gt;&lt;remote-database-provider&gt;NLM&lt;/remote-database-provider&gt;&lt;language&gt;eng&lt;/language&gt;&lt;/record&gt;&lt;/Cite&gt;&lt;/EndNote&gt;</w:instrText>
      </w:r>
      <w:r w:rsidRPr="00E9097D">
        <w:rPr>
          <w:rFonts w:asciiTheme="majorBidi" w:hAnsiTheme="majorBidi" w:cstheme="majorBidi"/>
          <w:sz w:val="24"/>
          <w:szCs w:val="24"/>
          <w:lang w:val="en-GB" w:bidi="fa-IR"/>
        </w:rPr>
        <w:fldChar w:fldCharType="separate"/>
      </w:r>
      <w:r w:rsidRPr="00E9097D">
        <w:rPr>
          <w:rFonts w:asciiTheme="majorBidi" w:hAnsiTheme="majorBidi" w:cstheme="majorBidi"/>
          <w:sz w:val="24"/>
          <w:szCs w:val="24"/>
          <w:lang w:val="en-GB" w:bidi="fa-IR"/>
        </w:rPr>
        <w:t>(</w:t>
      </w:r>
      <w:hyperlink w:anchor="_ENREF_178" w:tooltip="Papathanasiou, 2021 #190" w:history="1">
        <w:r w:rsidR="00DE113E" w:rsidRPr="00E9097D">
          <w:rPr>
            <w:rFonts w:asciiTheme="majorBidi" w:hAnsiTheme="majorBidi" w:cstheme="majorBidi"/>
            <w:sz w:val="24"/>
            <w:szCs w:val="24"/>
            <w:lang w:val="en-GB" w:bidi="fa-IR"/>
          </w:rPr>
          <w:t>Papathanasiou et al., 2021</w:t>
        </w:r>
      </w:hyperlink>
      <w:r w:rsidRPr="00E9097D">
        <w:rPr>
          <w:rFonts w:asciiTheme="majorBidi" w:hAnsiTheme="majorBidi" w:cstheme="majorBidi"/>
          <w:sz w:val="24"/>
          <w:szCs w:val="24"/>
          <w:lang w:val="en-GB" w:bidi="fa-IR"/>
        </w:rPr>
        <w:t>)</w:t>
      </w:r>
      <w:r w:rsidRPr="00E9097D">
        <w:rPr>
          <w:rFonts w:asciiTheme="majorBidi" w:hAnsiTheme="majorBidi" w:cstheme="majorBidi"/>
          <w:sz w:val="24"/>
          <w:szCs w:val="24"/>
          <w:lang w:val="en-GB" w:bidi="fa-IR"/>
        </w:rPr>
        <w:fldChar w:fldCharType="end"/>
      </w:r>
      <w:r w:rsidRPr="00E9097D">
        <w:rPr>
          <w:rFonts w:asciiTheme="majorBidi" w:hAnsiTheme="majorBidi" w:cstheme="majorBidi"/>
          <w:sz w:val="24"/>
          <w:szCs w:val="24"/>
          <w:lang w:val="en-GB" w:bidi="fa-IR"/>
        </w:rPr>
        <w:t xml:space="preserve">. Clinical and preclinical evidence consistently supports the role of oxidative stress in impairing key cognitive domains, including memory, attention, and executive function. For example, </w:t>
      </w:r>
      <w:r w:rsidRPr="00E9097D">
        <w:rPr>
          <w:rFonts w:asciiTheme="majorBidi" w:hAnsiTheme="majorBidi" w:cstheme="majorBidi"/>
          <w:sz w:val="24"/>
          <w:szCs w:val="24"/>
          <w:lang w:val="en-GB" w:bidi="fa-IR"/>
        </w:rPr>
        <w:fldChar w:fldCharType="begin"/>
      </w:r>
      <w:r w:rsidRPr="00E9097D">
        <w:rPr>
          <w:rFonts w:asciiTheme="majorBidi" w:hAnsiTheme="majorBidi" w:cstheme="majorBidi"/>
          <w:sz w:val="24"/>
          <w:szCs w:val="24"/>
          <w:lang w:val="en-GB" w:bidi="fa-IR"/>
        </w:rPr>
        <w:instrText xml:space="preserve"> ADDIN EN.CITE &lt;EndNote&gt;&lt;Cite&gt;&lt;Author&gt;Berr&lt;/Author&gt;&lt;Year&gt;2000&lt;/Year&gt;&lt;RecNum&gt;191&lt;/RecNum&gt;&lt;DisplayText&gt;(Berr et al., 2000)&lt;/DisplayText&gt;&lt;record&gt;&lt;rec-number&gt;191&lt;/rec-number&gt;&lt;foreign-keys&gt;&lt;key app="EN" db-id="2ptrtps0adr9vke22dn5tpwzrsfaxtxrfwet" timestamp="1755773783"&gt;191&lt;/key&gt;&lt;/foreign-keys&gt;&lt;ref-type name="Journal Article"&gt;17&lt;/ref-type&gt;&lt;contributors&gt;&lt;authors&gt;&lt;author&gt;Berr, Claudine&lt;/author&gt;&lt;author&gt;Balansard, Bertrand&lt;/author&gt;&lt;author&gt;Arnaud, J.&lt;/author&gt;&lt;author&gt;Roussel, Anne‐Marie&lt;/author&gt;&lt;author&gt;Alpérovitch, Annick&lt;/author&gt;&lt;/authors&gt;&lt;/contributors&gt;&lt;titles&gt;&lt;title&gt;Cognitive Decline Is Associated With Systemic Oxidative Stress: The EVA Study&lt;/title&gt;&lt;secondary-title&gt;Journal of the American Geriatrics Society&lt;/secondary-title&gt;&lt;/titles&gt;&lt;periodical&gt;&lt;full-title&gt;Journal of the American Geriatrics Society&lt;/full-title&gt;&lt;/periodical&gt;&lt;pages&gt;1285-1291&lt;/pages&gt;&lt;volume&gt;48&lt;/volume&gt;&lt;number&gt;10&lt;/number&gt;&lt;dates&gt;&lt;year&gt;2000&lt;/year&gt;&lt;/dates&gt;&lt;urls&gt;&lt;/urls&gt;&lt;electronic-resource-num&gt;10.1111/j.1532-5415.2000.tb02603.x&lt;/electronic-resource-num&gt;&lt;/record&gt;&lt;/Cite&gt;&lt;/EndNote&gt;</w:instrText>
      </w:r>
      <w:r w:rsidRPr="00E9097D">
        <w:rPr>
          <w:rFonts w:asciiTheme="majorBidi" w:hAnsiTheme="majorBidi" w:cstheme="majorBidi"/>
          <w:sz w:val="24"/>
          <w:szCs w:val="24"/>
          <w:lang w:val="en-GB" w:bidi="fa-IR"/>
        </w:rPr>
        <w:fldChar w:fldCharType="separate"/>
      </w:r>
      <w:r w:rsidRPr="00E9097D">
        <w:rPr>
          <w:rFonts w:asciiTheme="majorBidi" w:hAnsiTheme="majorBidi" w:cstheme="majorBidi"/>
          <w:sz w:val="24"/>
          <w:szCs w:val="24"/>
          <w:lang w:val="en-GB" w:bidi="fa-IR"/>
        </w:rPr>
        <w:t>(</w:t>
      </w:r>
      <w:hyperlink w:anchor="_ENREF_21" w:tooltip="Berr, 2000 #191" w:history="1">
        <w:r w:rsidR="00DE113E" w:rsidRPr="00E9097D">
          <w:rPr>
            <w:rFonts w:asciiTheme="majorBidi" w:hAnsiTheme="majorBidi" w:cstheme="majorBidi"/>
            <w:sz w:val="24"/>
            <w:szCs w:val="24"/>
            <w:lang w:val="en-GB" w:bidi="fa-IR"/>
          </w:rPr>
          <w:t>Berr et al., 2000</w:t>
        </w:r>
      </w:hyperlink>
      <w:r w:rsidRPr="00E9097D">
        <w:rPr>
          <w:rFonts w:asciiTheme="majorBidi" w:hAnsiTheme="majorBidi" w:cstheme="majorBidi"/>
          <w:sz w:val="24"/>
          <w:szCs w:val="24"/>
          <w:lang w:val="en-GB" w:bidi="fa-IR"/>
        </w:rPr>
        <w:t>)</w:t>
      </w:r>
      <w:r w:rsidRPr="00E9097D">
        <w:rPr>
          <w:rFonts w:asciiTheme="majorBidi" w:hAnsiTheme="majorBidi" w:cstheme="majorBidi"/>
          <w:sz w:val="24"/>
          <w:szCs w:val="24"/>
          <w:lang w:val="en-GB" w:bidi="fa-IR"/>
        </w:rPr>
        <w:fldChar w:fldCharType="end"/>
      </w:r>
      <w:r w:rsidRPr="00E9097D">
        <w:rPr>
          <w:rFonts w:asciiTheme="majorBidi" w:hAnsiTheme="majorBidi" w:cstheme="majorBidi"/>
          <w:sz w:val="24"/>
          <w:szCs w:val="24"/>
          <w:lang w:val="en-GB" w:bidi="fa-IR"/>
        </w:rPr>
        <w:t xml:space="preserve"> demonstrated that elevated systemic oxidative stress, measured via biomarkers such as thiobarbituric acid-reactive substances, is strongly </w:t>
      </w:r>
      <w:r w:rsidRPr="00E9097D">
        <w:rPr>
          <w:rFonts w:asciiTheme="majorBidi" w:hAnsiTheme="majorBidi" w:cstheme="majorBidi"/>
          <w:sz w:val="24"/>
          <w:szCs w:val="24"/>
          <w:lang w:val="en-GB" w:bidi="fa-IR"/>
        </w:rPr>
        <w:lastRenderedPageBreak/>
        <w:t xml:space="preserve">associated with cognitive decline in older adults. Similarly, findings from the Nurses' Health Study revealed that higher dietary intake of antioxidants—particularly vitamin E and carotenoids—correlates with a reduced risk of cognitive impairment </w:t>
      </w:r>
      <w:r w:rsidRPr="00E9097D">
        <w:rPr>
          <w:rFonts w:asciiTheme="majorBidi" w:hAnsiTheme="majorBidi" w:cstheme="majorBidi"/>
          <w:sz w:val="24"/>
          <w:szCs w:val="24"/>
          <w:lang w:val="en-GB" w:bidi="fa-IR"/>
        </w:rPr>
        <w:fldChar w:fldCharType="begin"/>
      </w:r>
      <w:r w:rsidRPr="00E9097D">
        <w:rPr>
          <w:rFonts w:asciiTheme="majorBidi" w:hAnsiTheme="majorBidi" w:cstheme="majorBidi"/>
          <w:sz w:val="24"/>
          <w:szCs w:val="24"/>
          <w:lang w:val="en-GB" w:bidi="fa-IR"/>
        </w:rPr>
        <w:instrText xml:space="preserve"> ADDIN EN.CITE &lt;EndNote&gt;&lt;Cite&gt;&lt;Author&gt;Devore&lt;/Author&gt;&lt;Year&gt;2012&lt;/Year&gt;&lt;RecNum&gt;192&lt;/RecNum&gt;&lt;DisplayText&gt;(Devore et al., 2012)&lt;/DisplayText&gt;&lt;record&gt;&lt;rec-number&gt;192&lt;/rec-number&gt;&lt;foreign-keys&gt;&lt;key app="EN" db-id="2ptrtps0adr9vke22dn5tpwzrsfaxtxrfwet" timestamp="1755773808"&gt;192&lt;/key&gt;&lt;/foreign-keys&gt;&lt;ref-type name="Journal Article"&gt;17&lt;/ref-type&gt;&lt;contributors&gt;&lt;authors&gt;&lt;author&gt;Devore, Elizabeth E.&lt;/author&gt;&lt;author&gt;Kang, Jae H.&lt;/author&gt;&lt;author&gt;Stampfer, Meir J.&lt;/author&gt;&lt;author&gt;Grodstein, Francine&lt;/author&gt;&lt;/authors&gt;&lt;/contributors&gt;&lt;titles&gt;&lt;title&gt;The Association of Antioxidants and Cognition in the Nurses&amp;apos; Health Study&lt;/title&gt;&lt;secondary-title&gt;American Journal of Epidemiology&lt;/secondary-title&gt;&lt;/titles&gt;&lt;periodical&gt;&lt;full-title&gt;American Journal of Epidemiology&lt;/full-title&gt;&lt;/periodical&gt;&lt;pages&gt;33-41&lt;/pages&gt;&lt;volume&gt;177&lt;/volume&gt;&lt;number&gt;1&lt;/number&gt;&lt;dates&gt;&lt;year&gt;2012&lt;/year&gt;&lt;/dates&gt;&lt;urls&gt;&lt;/urls&gt;&lt;electronic-resource-num&gt;10.1093/aje/kws202&lt;/electronic-resource-num&gt;&lt;/record&gt;&lt;/Cite&gt;&lt;/EndNote&gt;</w:instrText>
      </w:r>
      <w:r w:rsidRPr="00E9097D">
        <w:rPr>
          <w:rFonts w:asciiTheme="majorBidi" w:hAnsiTheme="majorBidi" w:cstheme="majorBidi"/>
          <w:sz w:val="24"/>
          <w:szCs w:val="24"/>
          <w:lang w:val="en-GB" w:bidi="fa-IR"/>
        </w:rPr>
        <w:fldChar w:fldCharType="separate"/>
      </w:r>
      <w:r w:rsidRPr="00E9097D">
        <w:rPr>
          <w:rFonts w:asciiTheme="majorBidi" w:hAnsiTheme="majorBidi" w:cstheme="majorBidi"/>
          <w:sz w:val="24"/>
          <w:szCs w:val="24"/>
          <w:lang w:val="en-GB" w:bidi="fa-IR"/>
        </w:rPr>
        <w:t>(</w:t>
      </w:r>
      <w:hyperlink w:anchor="_ENREF_61" w:tooltip="Devore, 2012 #192" w:history="1">
        <w:r w:rsidR="00DE113E" w:rsidRPr="00E9097D">
          <w:rPr>
            <w:rFonts w:asciiTheme="majorBidi" w:hAnsiTheme="majorBidi" w:cstheme="majorBidi"/>
            <w:sz w:val="24"/>
            <w:szCs w:val="24"/>
            <w:lang w:val="en-GB" w:bidi="fa-IR"/>
          </w:rPr>
          <w:t>Devore et al., 2012</w:t>
        </w:r>
      </w:hyperlink>
      <w:r w:rsidRPr="00E9097D">
        <w:rPr>
          <w:rFonts w:asciiTheme="majorBidi" w:hAnsiTheme="majorBidi" w:cstheme="majorBidi"/>
          <w:sz w:val="24"/>
          <w:szCs w:val="24"/>
          <w:lang w:val="en-GB" w:bidi="fa-IR"/>
        </w:rPr>
        <w:t>)</w:t>
      </w:r>
      <w:r w:rsidRPr="00E9097D">
        <w:rPr>
          <w:rFonts w:asciiTheme="majorBidi" w:hAnsiTheme="majorBidi" w:cstheme="majorBidi"/>
          <w:sz w:val="24"/>
          <w:szCs w:val="24"/>
          <w:lang w:val="en-GB" w:bidi="fa-IR"/>
        </w:rPr>
        <w:fldChar w:fldCharType="end"/>
      </w:r>
      <w:r w:rsidRPr="00E9097D">
        <w:rPr>
          <w:rFonts w:asciiTheme="majorBidi" w:hAnsiTheme="majorBidi" w:cstheme="majorBidi"/>
          <w:sz w:val="24"/>
          <w:szCs w:val="24"/>
          <w:lang w:val="en-GB" w:bidi="fa-IR"/>
        </w:rPr>
        <w:t xml:space="preserve">. Interventional studies further underscore the therapeutic potential of antioxidants. </w:t>
      </w:r>
      <w:r w:rsidRPr="00E9097D">
        <w:rPr>
          <w:rFonts w:asciiTheme="majorBidi" w:hAnsiTheme="majorBidi" w:cstheme="majorBidi"/>
          <w:sz w:val="24"/>
          <w:szCs w:val="24"/>
          <w:lang w:val="en-GB" w:bidi="fa-IR"/>
        </w:rPr>
        <w:fldChar w:fldCharType="begin"/>
      </w:r>
      <w:r w:rsidRPr="00E9097D">
        <w:rPr>
          <w:rFonts w:asciiTheme="majorBidi" w:hAnsiTheme="majorBidi" w:cstheme="majorBidi"/>
          <w:sz w:val="24"/>
          <w:szCs w:val="24"/>
          <w:lang w:val="en-GB" w:bidi="fa-IR"/>
        </w:rPr>
        <w:instrText xml:space="preserve"> ADDIN EN.CITE &lt;EndNote&gt;&lt;Cite&gt;&lt;Author&gt;Tadokoro&lt;/Author&gt;&lt;Year&gt;2019&lt;/Year&gt;&lt;RecNum&gt;193&lt;/RecNum&gt;&lt;DisplayText&gt;(Tadokoro et al., 2019)&lt;/DisplayText&gt;&lt;record&gt;&lt;rec-number&gt;193&lt;/rec-number&gt;&lt;foreign-keys&gt;&lt;key app="EN" db-id="2ptrtps0adr9vke22dn5tpwzrsfaxtxrfwet" timestamp="1755773922"&gt;193&lt;/key&gt;&lt;/foreign-keys&gt;&lt;ref-type name="Journal Article"&gt;17&lt;/ref-type&gt;&lt;contributors&gt;&lt;authors&gt;&lt;author&gt;Tadokoro, Koh&lt;/author&gt;&lt;author&gt;Morihara, Ryuta&lt;/author&gt;&lt;author&gt;Ohta, Yasuyuki&lt;/author&gt;&lt;author&gt;Hishikawa, Nozomi&lt;/author&gt;&lt;author&gt;Kawano, Satoko&lt;/author&gt;&lt;author&gt;Sasaki, Ryo&lt;/author&gt;&lt;author&gt;Matsumoto, Namiko&lt;/author&gt;&lt;author&gt;Nomura, Emi&lt;/author&gt;&lt;author&gt;Nakano, Yumiko&lt;/author&gt;&lt;author&gt;Takahashi, Yoshiaki&lt;/author&gt;&lt;author&gt;Takemoto, Mami&lt;/author&gt;&lt;author&gt;Yamashita, Toru&lt;/author&gt;&lt;author&gt;Ueno, Setsuko&lt;/author&gt;&lt;author&gt;Wakutani, Yosuke&lt;/author&gt;&lt;author&gt;Takao, Yoshiki&lt;/author&gt;&lt;author&gt;Morimoto, Nobutoshi&lt;/author&gt;&lt;author&gt;Kutoku, Yumiko&lt;/author&gt;&lt;author&gt;Sunada, Yoshihide&lt;/author&gt;&lt;author&gt;Taomoto, Katsushi&lt;/author&gt;&lt;author&gt;Manabe, Yasuhiro&lt;/author&gt;&lt;author&gt;Deguchi, Kentaro&lt;/author&gt;&lt;author&gt;Higashi, Yasuto&lt;/author&gt;&lt;author&gt;Inufusa, Haruhiko&lt;/author&gt;&lt;author&gt;You, Fukka&lt;/author&gt;&lt;author&gt;Yoshikawa, Toshikazu&lt;/author&gt;&lt;author&gt;Greiffenclau, Markus Matuschka von&lt;/author&gt;&lt;author&gt;Abe, Koji&lt;/author&gt;&lt;/authors&gt;&lt;/contributors&gt;&lt;titles&gt;&lt;title&gt;Clinical Benefits of Antioxidative Supplement Twendee X for Mild Cognitive Impairment: A Multicenter, Randomized, Double-Blind, and Placebo-Controlled Prospective Interventional Study&lt;/title&gt;&lt;secondary-title&gt;Journal of Alzheimer S Disease&lt;/secondary-title&gt;&lt;/titles&gt;&lt;periodical&gt;&lt;full-title&gt;Journal of Alzheimer S Disease&lt;/full-title&gt;&lt;/periodical&gt;&lt;pages&gt;1063-1069&lt;/pages&gt;&lt;volume&gt;71&lt;/volume&gt;&lt;number&gt;3&lt;/number&gt;&lt;dates&gt;&lt;year&gt;2019&lt;/year&gt;&lt;/dates&gt;&lt;urls&gt;&lt;/urls&gt;&lt;electronic-resource-num&gt;10.3233/jad-190644&lt;/electronic-resource-num&gt;&lt;/record&gt;&lt;/Cite&gt;&lt;/EndNote&gt;</w:instrText>
      </w:r>
      <w:r w:rsidRPr="00E9097D">
        <w:rPr>
          <w:rFonts w:asciiTheme="majorBidi" w:hAnsiTheme="majorBidi" w:cstheme="majorBidi"/>
          <w:sz w:val="24"/>
          <w:szCs w:val="24"/>
          <w:lang w:val="en-GB" w:bidi="fa-IR"/>
        </w:rPr>
        <w:fldChar w:fldCharType="separate"/>
      </w:r>
      <w:r w:rsidRPr="00E9097D">
        <w:rPr>
          <w:rFonts w:asciiTheme="majorBidi" w:hAnsiTheme="majorBidi" w:cstheme="majorBidi"/>
          <w:sz w:val="24"/>
          <w:szCs w:val="24"/>
          <w:lang w:val="en-GB" w:bidi="fa-IR"/>
        </w:rPr>
        <w:t>(</w:t>
      </w:r>
      <w:hyperlink w:anchor="_ENREF_238" w:tooltip="Tadokoro, 2019 #193" w:history="1">
        <w:r w:rsidR="00DE113E" w:rsidRPr="00E9097D">
          <w:rPr>
            <w:rFonts w:asciiTheme="majorBidi" w:hAnsiTheme="majorBidi" w:cstheme="majorBidi"/>
            <w:sz w:val="24"/>
            <w:szCs w:val="24"/>
            <w:lang w:val="en-GB" w:bidi="fa-IR"/>
          </w:rPr>
          <w:t>Tadokoro et al., 2019</w:t>
        </w:r>
      </w:hyperlink>
      <w:r w:rsidRPr="00E9097D">
        <w:rPr>
          <w:rFonts w:asciiTheme="majorBidi" w:hAnsiTheme="majorBidi" w:cstheme="majorBidi"/>
          <w:sz w:val="24"/>
          <w:szCs w:val="24"/>
          <w:lang w:val="en-GB" w:bidi="fa-IR"/>
        </w:rPr>
        <w:t>)</w:t>
      </w:r>
      <w:r w:rsidRPr="00E9097D">
        <w:rPr>
          <w:rFonts w:asciiTheme="majorBidi" w:hAnsiTheme="majorBidi" w:cstheme="majorBidi"/>
          <w:sz w:val="24"/>
          <w:szCs w:val="24"/>
          <w:lang w:val="en-GB" w:bidi="fa-IR"/>
        </w:rPr>
        <w:fldChar w:fldCharType="end"/>
      </w:r>
      <w:r w:rsidRPr="00E9097D">
        <w:rPr>
          <w:rFonts w:asciiTheme="majorBidi" w:hAnsiTheme="majorBidi" w:cstheme="majorBidi"/>
          <w:sz w:val="24"/>
          <w:szCs w:val="24"/>
          <w:lang w:val="en-GB" w:bidi="fa-IR"/>
        </w:rPr>
        <w:t xml:space="preserve">conducted a randomized controlled trial showing that Twendee X, a supplement containing eight antioxidant compounds, significantly improved cognitive performance, and reduced oxidative stress markers in patients with mild cognitive impairment (MCI). These results suggest that targeted antioxidant supplementation may be beneficial in mitigating early cognitive deficits. Dietary patterns rich in fruits and vegetables, which are natural sources of antioxidants, have also shown protective effects. </w:t>
      </w:r>
      <w:r w:rsidRPr="00E9097D">
        <w:rPr>
          <w:rFonts w:asciiTheme="majorBidi" w:hAnsiTheme="majorBidi" w:cstheme="majorBidi"/>
          <w:sz w:val="24"/>
          <w:szCs w:val="24"/>
          <w:lang w:val="en-GB" w:bidi="fa-IR"/>
        </w:rPr>
        <w:fldChar w:fldCharType="begin"/>
      </w:r>
      <w:r w:rsidRPr="00E9097D">
        <w:rPr>
          <w:rFonts w:asciiTheme="majorBidi" w:hAnsiTheme="majorBidi" w:cstheme="majorBidi"/>
          <w:sz w:val="24"/>
          <w:szCs w:val="24"/>
          <w:lang w:val="en-GB" w:bidi="fa-IR"/>
        </w:rPr>
        <w:instrText xml:space="preserve"> ADDIN EN.CITE &lt;EndNote&gt;&lt;Cite&gt;&lt;Author&gt;Morris&lt;/Author&gt;&lt;Year&gt;2006&lt;/Year&gt;&lt;RecNum&gt;194&lt;/RecNum&gt;&lt;DisplayText&gt;(Morris et al., 2006)&lt;/DisplayText&gt;&lt;record&gt;&lt;rec-number&gt;194&lt;/rec-number&gt;&lt;foreign-keys&gt;&lt;key app="EN" db-id="2ptrtps0adr9vke22dn5tpwzrsfaxtxrfwet" timestamp="1755773952"&gt;194&lt;/key&gt;&lt;/foreign-keys&gt;&lt;ref-type name="Journal Article"&gt;17&lt;/ref-type&gt;&lt;contributors&gt;&lt;authors&gt;&lt;author&gt;Morris, Martha Clare&lt;/author&gt;&lt;author&gt;Evans, Denis A.&lt;/author&gt;&lt;author&gt;Tangney, Christy&lt;/author&gt;&lt;author&gt;Bienias, Julia L.&lt;/author&gt;&lt;author&gt;Wilson, R. J.&lt;/author&gt;&lt;/authors&gt;&lt;/contributors&gt;&lt;titles&gt;&lt;title&gt;Associations of Vegetable and Fruit Consumption With Age-Related Cognitive Change&lt;/title&gt;&lt;secondary-title&gt;Neurology&lt;/secondary-title&gt;&lt;/titles&gt;&lt;periodical&gt;&lt;full-title&gt;Neurology&lt;/full-title&gt;&lt;/periodical&gt;&lt;pages&gt;1370-1376&lt;/pages&gt;&lt;volume&gt;67&lt;/volume&gt;&lt;number&gt;8&lt;/number&gt;&lt;dates&gt;&lt;year&gt;2006&lt;/year&gt;&lt;/dates&gt;&lt;urls&gt;&lt;/urls&gt;&lt;electronic-resource-num&gt;10.1212/01.wnl.0000240224.38978.d8&lt;/electronic-resource-num&gt;&lt;/record&gt;&lt;/Cite&gt;&lt;/EndNote&gt;</w:instrText>
      </w:r>
      <w:r w:rsidRPr="00E9097D">
        <w:rPr>
          <w:rFonts w:asciiTheme="majorBidi" w:hAnsiTheme="majorBidi" w:cstheme="majorBidi"/>
          <w:sz w:val="24"/>
          <w:szCs w:val="24"/>
          <w:lang w:val="en-GB" w:bidi="fa-IR"/>
        </w:rPr>
        <w:fldChar w:fldCharType="separate"/>
      </w:r>
      <w:r w:rsidRPr="00E9097D">
        <w:rPr>
          <w:rFonts w:asciiTheme="majorBidi" w:hAnsiTheme="majorBidi" w:cstheme="majorBidi"/>
          <w:sz w:val="24"/>
          <w:szCs w:val="24"/>
          <w:lang w:val="en-GB" w:bidi="fa-IR"/>
        </w:rPr>
        <w:t>(</w:t>
      </w:r>
      <w:hyperlink w:anchor="_ENREF_163" w:tooltip="Morris, 2006 #194" w:history="1">
        <w:r w:rsidR="00DE113E" w:rsidRPr="00E9097D">
          <w:rPr>
            <w:rFonts w:asciiTheme="majorBidi" w:hAnsiTheme="majorBidi" w:cstheme="majorBidi"/>
            <w:sz w:val="24"/>
            <w:szCs w:val="24"/>
            <w:lang w:val="en-GB" w:bidi="fa-IR"/>
          </w:rPr>
          <w:t>Morris et al., 2006</w:t>
        </w:r>
      </w:hyperlink>
      <w:r w:rsidRPr="00E9097D">
        <w:rPr>
          <w:rFonts w:asciiTheme="majorBidi" w:hAnsiTheme="majorBidi" w:cstheme="majorBidi"/>
          <w:sz w:val="24"/>
          <w:szCs w:val="24"/>
          <w:lang w:val="en-GB" w:bidi="fa-IR"/>
        </w:rPr>
        <w:t>)</w:t>
      </w:r>
      <w:r w:rsidRPr="00E9097D">
        <w:rPr>
          <w:rFonts w:asciiTheme="majorBidi" w:hAnsiTheme="majorBidi" w:cstheme="majorBidi"/>
          <w:sz w:val="24"/>
          <w:szCs w:val="24"/>
          <w:lang w:val="en-GB" w:bidi="fa-IR"/>
        </w:rPr>
        <w:fldChar w:fldCharType="end"/>
      </w:r>
      <w:r w:rsidRPr="00E9097D">
        <w:rPr>
          <w:rFonts w:asciiTheme="majorBidi" w:hAnsiTheme="majorBidi" w:cstheme="majorBidi"/>
          <w:sz w:val="24"/>
          <w:szCs w:val="24"/>
          <w:lang w:val="en-GB" w:bidi="fa-IR"/>
        </w:rPr>
        <w:t xml:space="preserve"> reported that higher consumption of vitamin E-rich vegetables was inversely associated with cognitive decline in aging populations, reinforcing the role of nutrition in cognitive resilience. Preclinical studies provide mechanistic insights that complement clinical findings. </w:t>
      </w:r>
      <w:r w:rsidRPr="00E9097D">
        <w:rPr>
          <w:rFonts w:asciiTheme="majorBidi" w:hAnsiTheme="majorBidi" w:cstheme="majorBidi"/>
          <w:sz w:val="24"/>
          <w:szCs w:val="24"/>
          <w:lang w:val="en-GB" w:bidi="fa-IR"/>
        </w:rPr>
        <w:fldChar w:fldCharType="begin"/>
      </w:r>
      <w:r w:rsidRPr="00E9097D">
        <w:rPr>
          <w:rFonts w:asciiTheme="majorBidi" w:hAnsiTheme="majorBidi" w:cstheme="majorBidi"/>
          <w:sz w:val="24"/>
          <w:szCs w:val="24"/>
          <w:lang w:val="en-GB" w:bidi="fa-IR"/>
        </w:rPr>
        <w:instrText xml:space="preserve"> ADDIN EN.CITE &lt;EndNote&gt;&lt;Cite&gt;&lt;Author&gt;Gao&lt;/Author&gt;&lt;Year&gt;2020&lt;/Year&gt;&lt;RecNum&gt;195&lt;/RecNum&gt;&lt;DisplayText&gt;(Gao et al., 2020)&lt;/DisplayText&gt;&lt;record&gt;&lt;rec-number&gt;195&lt;/rec-number&gt;&lt;foreign-keys&gt;&lt;key app="EN" db-id="2ptrtps0adr9vke22dn5tpwzrsfaxtxrfwet" timestamp="1755774079"&gt;195&lt;/key&gt;&lt;/foreign-keys&gt;&lt;ref-type name="Journal Article"&gt;17&lt;/ref-type&gt;&lt;contributors&gt;&lt;authors&gt;&lt;author&gt;Gao, Ming&lt;/author&gt;&lt;author&gt;Kang, Yaxing&lt;/author&gt;&lt;author&gt;Zhang, Lihui&lt;/author&gt;&lt;author&gt;Li, Hongyan&lt;/author&gt;&lt;author&gt;Qu, Changhui&lt;/author&gt;&lt;author&gt;Luan, Xiaqing&lt;/author&gt;&lt;author&gt;Liu, Lijun&lt;/author&gt;&lt;author&gt;Zhang, Songyun&lt;/author&gt;&lt;/authors&gt;&lt;/contributors&gt;&lt;titles&gt;&lt;title&gt;Troxerutin Attenuates Cognitive Decline in the Hippocampus of Male Diabetic Rats by Inhibiting NADPH Oxidase and Activating the Nrf2/Are Signaling Pathway&lt;/title&gt;&lt;secondary-title&gt;International Journal of Molecular Medicine&lt;/secondary-title&gt;&lt;/titles&gt;&lt;periodical&gt;&lt;full-title&gt;International Journal of Molecular Medicine&lt;/full-title&gt;&lt;/periodical&gt;&lt;pages&gt;1239-1248&lt;/pages&gt;&lt;volume&gt;46&lt;/volume&gt;&lt;number&gt;3&lt;/number&gt;&lt;dates&gt;&lt;year&gt;2020&lt;/year&gt;&lt;/dates&gt;&lt;urls&gt;&lt;/urls&gt;&lt;electronic-resource-num&gt;10.3892/ijmm.2020.4653&lt;/electronic-resource-num&gt;&lt;/record&gt;&lt;/Cite&gt;&lt;/EndNote&gt;</w:instrText>
      </w:r>
      <w:r w:rsidRPr="00E9097D">
        <w:rPr>
          <w:rFonts w:asciiTheme="majorBidi" w:hAnsiTheme="majorBidi" w:cstheme="majorBidi"/>
          <w:sz w:val="24"/>
          <w:szCs w:val="24"/>
          <w:lang w:val="en-GB" w:bidi="fa-IR"/>
        </w:rPr>
        <w:fldChar w:fldCharType="separate"/>
      </w:r>
      <w:r w:rsidRPr="00E9097D">
        <w:rPr>
          <w:rFonts w:asciiTheme="majorBidi" w:hAnsiTheme="majorBidi" w:cstheme="majorBidi"/>
          <w:sz w:val="24"/>
          <w:szCs w:val="24"/>
          <w:lang w:val="en-GB" w:bidi="fa-IR"/>
        </w:rPr>
        <w:t>(</w:t>
      </w:r>
      <w:hyperlink w:anchor="_ENREF_84" w:tooltip="Gao, 2020 #195" w:history="1">
        <w:r w:rsidR="00DE113E" w:rsidRPr="00E9097D">
          <w:rPr>
            <w:rFonts w:asciiTheme="majorBidi" w:hAnsiTheme="majorBidi" w:cstheme="majorBidi"/>
            <w:sz w:val="24"/>
            <w:szCs w:val="24"/>
            <w:lang w:val="en-GB" w:bidi="fa-IR"/>
          </w:rPr>
          <w:t>Gao et al., 2020</w:t>
        </w:r>
      </w:hyperlink>
      <w:r w:rsidRPr="00E9097D">
        <w:rPr>
          <w:rFonts w:asciiTheme="majorBidi" w:hAnsiTheme="majorBidi" w:cstheme="majorBidi"/>
          <w:sz w:val="24"/>
          <w:szCs w:val="24"/>
          <w:lang w:val="en-GB" w:bidi="fa-IR"/>
        </w:rPr>
        <w:t>)</w:t>
      </w:r>
      <w:r w:rsidRPr="00E9097D">
        <w:rPr>
          <w:rFonts w:asciiTheme="majorBidi" w:hAnsiTheme="majorBidi" w:cstheme="majorBidi"/>
          <w:sz w:val="24"/>
          <w:szCs w:val="24"/>
          <w:lang w:val="en-GB" w:bidi="fa-IR"/>
        </w:rPr>
        <w:fldChar w:fldCharType="end"/>
      </w:r>
      <w:r w:rsidRPr="00E9097D">
        <w:rPr>
          <w:rFonts w:asciiTheme="majorBidi" w:hAnsiTheme="majorBidi" w:cstheme="majorBidi"/>
          <w:sz w:val="24"/>
          <w:szCs w:val="24"/>
          <w:lang w:val="en-GB" w:bidi="fa-IR"/>
        </w:rPr>
        <w:t xml:space="preserve"> demonstrated that troxerutin, an antioxidant compound, attenuated cognitive deficits in diabetic rats by inhibiting NADPH oxidase activity and activating the Nrf2/ARE </w:t>
      </w:r>
      <w:r w:rsidR="00F23897" w:rsidRPr="00E9097D">
        <w:rPr>
          <w:rFonts w:asciiTheme="majorBidi" w:hAnsiTheme="majorBidi" w:cstheme="majorBidi"/>
          <w:sz w:val="24"/>
          <w:szCs w:val="24"/>
          <w:lang w:val="en-GB" w:bidi="fa-IR"/>
        </w:rPr>
        <w:t>signalling</w:t>
      </w:r>
      <w:r w:rsidRPr="00E9097D">
        <w:rPr>
          <w:rFonts w:asciiTheme="majorBidi" w:hAnsiTheme="majorBidi" w:cstheme="majorBidi"/>
          <w:sz w:val="24"/>
          <w:szCs w:val="24"/>
          <w:lang w:val="en-GB" w:bidi="fa-IR"/>
        </w:rPr>
        <w:t xml:space="preserve"> pathway. Likewise, </w:t>
      </w:r>
      <w:r w:rsidRPr="00E9097D">
        <w:rPr>
          <w:rFonts w:asciiTheme="majorBidi" w:hAnsiTheme="majorBidi" w:cstheme="majorBidi"/>
          <w:sz w:val="24"/>
          <w:szCs w:val="24"/>
          <w:lang w:val="en-GB" w:bidi="fa-IR"/>
        </w:rPr>
        <w:fldChar w:fldCharType="begin"/>
      </w:r>
      <w:r w:rsidRPr="00E9097D">
        <w:rPr>
          <w:rFonts w:asciiTheme="majorBidi" w:hAnsiTheme="majorBidi" w:cstheme="majorBidi"/>
          <w:sz w:val="24"/>
          <w:szCs w:val="24"/>
          <w:lang w:val="en-GB" w:bidi="fa-IR"/>
        </w:rPr>
        <w:instrText xml:space="preserve"> ADDIN EN.CITE &lt;EndNote&gt;&lt;Cite&gt;&lt;Author&gt;Liu&lt;/Author&gt;&lt;Year&gt;2003&lt;/Year&gt;&lt;RecNum&gt;196&lt;/RecNum&gt;&lt;DisplayText&gt;(Liu et al., 2003)&lt;/DisplayText&gt;&lt;record&gt;&lt;rec-number&gt;196&lt;/rec-number&gt;&lt;foreign-keys&gt;&lt;key app="EN" db-id="2ptrtps0adr9vke22dn5tpwzrsfaxtxrfwet" timestamp="1755774104"&gt;196&lt;/key&gt;&lt;/foreign-keys&gt;&lt;ref-type name="Journal Article"&gt;17&lt;/ref-type&gt;&lt;contributors&gt;&lt;authors&gt;&lt;author&gt;Liu, Ruolan&lt;/author&gt;&lt;author&gt;Liu, Ingrid Y.&lt;/author&gt;&lt;author&gt;Bi, Xiaoning&lt;/author&gt;&lt;author&gt;Thompson, Richard F.&lt;/author&gt;&lt;author&gt;Doctrow, Susan R.&lt;/author&gt;&lt;author&gt;Malfroy, Bernard&lt;/author&gt;&lt;author&gt;Baudry, Michel&lt;/author&gt;&lt;/authors&gt;&lt;/contributors&gt;&lt;titles&gt;&lt;title&gt;Reversal of Age-Related Learning Deficits and Brain Oxidative Stress in Mice With Superoxide Dismutase/Catalase Mimetics&lt;/title&gt;&lt;secondary-title&gt;Proceedings of the National Academy of Sciences&lt;/secondary-title&gt;&lt;/titles&gt;&lt;periodical&gt;&lt;full-title&gt;Proceedings of the National Academy of Sciences&lt;/full-title&gt;&lt;/periodical&gt;&lt;pages&gt;8526-8531&lt;/pages&gt;&lt;volume&gt;100&lt;/volume&gt;&lt;number&gt;14&lt;/number&gt;&lt;dates&gt;&lt;year&gt;2003&lt;/year&gt;&lt;/dates&gt;&lt;urls&gt;&lt;/urls&gt;&lt;electronic-resource-num&gt;10.1073/pnas.1332809100&lt;/electronic-resource-num&gt;&lt;/record&gt;&lt;/Cite&gt;&lt;/EndNote&gt;</w:instrText>
      </w:r>
      <w:r w:rsidRPr="00E9097D">
        <w:rPr>
          <w:rFonts w:asciiTheme="majorBidi" w:hAnsiTheme="majorBidi" w:cstheme="majorBidi"/>
          <w:sz w:val="24"/>
          <w:szCs w:val="24"/>
          <w:lang w:val="en-GB" w:bidi="fa-IR"/>
        </w:rPr>
        <w:fldChar w:fldCharType="separate"/>
      </w:r>
      <w:r w:rsidRPr="00E9097D">
        <w:rPr>
          <w:rFonts w:asciiTheme="majorBidi" w:hAnsiTheme="majorBidi" w:cstheme="majorBidi"/>
          <w:sz w:val="24"/>
          <w:szCs w:val="24"/>
          <w:lang w:val="en-GB" w:bidi="fa-IR"/>
        </w:rPr>
        <w:t>(</w:t>
      </w:r>
      <w:hyperlink w:anchor="_ENREF_139" w:tooltip="Liu, 2003 #196" w:history="1">
        <w:r w:rsidR="00DE113E" w:rsidRPr="00E9097D">
          <w:rPr>
            <w:rFonts w:asciiTheme="majorBidi" w:hAnsiTheme="majorBidi" w:cstheme="majorBidi"/>
            <w:sz w:val="24"/>
            <w:szCs w:val="24"/>
            <w:lang w:val="en-GB" w:bidi="fa-IR"/>
          </w:rPr>
          <w:t>Liu et al., 2003</w:t>
        </w:r>
      </w:hyperlink>
      <w:r w:rsidRPr="00E9097D">
        <w:rPr>
          <w:rFonts w:asciiTheme="majorBidi" w:hAnsiTheme="majorBidi" w:cstheme="majorBidi"/>
          <w:sz w:val="24"/>
          <w:szCs w:val="24"/>
          <w:lang w:val="en-GB" w:bidi="fa-IR"/>
        </w:rPr>
        <w:t>)</w:t>
      </w:r>
      <w:r w:rsidRPr="00E9097D">
        <w:rPr>
          <w:rFonts w:asciiTheme="majorBidi" w:hAnsiTheme="majorBidi" w:cstheme="majorBidi"/>
          <w:sz w:val="24"/>
          <w:szCs w:val="24"/>
          <w:lang w:val="en-GB" w:bidi="fa-IR"/>
        </w:rPr>
        <w:fldChar w:fldCharType="end"/>
      </w:r>
      <w:r w:rsidRPr="00E9097D">
        <w:rPr>
          <w:rFonts w:asciiTheme="majorBidi" w:hAnsiTheme="majorBidi" w:cstheme="majorBidi"/>
          <w:sz w:val="24"/>
          <w:szCs w:val="24"/>
          <w:lang w:val="en-GB" w:bidi="fa-IR"/>
        </w:rPr>
        <w:t xml:space="preserve"> found that superoxide dismutase/catalase mimetics reversed age-related learning deficits and reduced oxidative damage in the brains of aged mice. These studies highlight the potential of antioxidant therapies to counteract oxidative stress-induced cognitive impairments. The broader implications of oxidative stress in neurodegenerative diseases are well-documented. </w:t>
      </w:r>
      <w:r w:rsidRPr="00E9097D">
        <w:rPr>
          <w:rFonts w:asciiTheme="majorBidi" w:hAnsiTheme="majorBidi" w:cstheme="majorBidi"/>
          <w:sz w:val="24"/>
          <w:szCs w:val="24"/>
          <w:lang w:val="en-GB" w:bidi="fa-IR"/>
        </w:rPr>
        <w:fldChar w:fldCharType="begin"/>
      </w:r>
      <w:r w:rsidRPr="00E9097D">
        <w:rPr>
          <w:rFonts w:asciiTheme="majorBidi" w:hAnsiTheme="majorBidi" w:cstheme="majorBidi"/>
          <w:sz w:val="24"/>
          <w:szCs w:val="24"/>
          <w:lang w:val="en-GB" w:bidi="fa-IR"/>
        </w:rPr>
        <w:instrText xml:space="preserve"> ADDIN EN.CITE &lt;EndNote&gt;&lt;Cite&gt;&lt;Author&gt;Papathanasiou&lt;/Author&gt;&lt;Year&gt;2021&lt;/Year&gt;&lt;RecNum&gt;190&lt;/RecNum&gt;&lt;DisplayText&gt;(Papathanasiou et al., 2021)&lt;/DisplayText&gt;&lt;record&gt;&lt;rec-number&gt;190&lt;/rec-number&gt;&lt;foreign-keys&gt;&lt;key app="EN" db-id="2ptrtps0adr9vke22dn5tpwzrsfaxtxrfwet" timestamp="1755773743"&gt;190&lt;/key&gt;&lt;/foreign-keys&gt;&lt;ref-type name="Journal Article"&gt;17&lt;/ref-type&gt;&lt;contributors&gt;&lt;authors&gt;&lt;author&gt;Papathanasiou, I. V.&lt;/author&gt;&lt;author&gt;Fradelos, E. C.&lt;/author&gt;&lt;author&gt;Malli, F.&lt;/author&gt;&lt;author&gt;Stefanidis, I.&lt;/author&gt;&lt;author&gt;Zintzaras, E.&lt;/author&gt;&lt;author&gt;Doxani, C.&lt;/author&gt;&lt;/authors&gt;&lt;/contributors&gt;&lt;auth-address&gt;Faculty of nursing, university of thessally, thessally, greece.&amp;#xD;Faculty of medicine, university of thessaly, thessaly, greece.&amp;#xD;Faculty of medicine, university of thessaly, thessaly, greece; center for clinical evidence synthesis, the institute for clinical research and health policy studies, tufts medical center, tufts university school of medicine, boston, ma, united states.&lt;/auth-address&gt;&lt;titles&gt;&lt;title&gt;A SYSTEMATIC REVIEW OF OBSERVATIONAL STUDIES ASSESSING THE IMPACT OF OXIDATIVE STRESS IN COGNITIVE DECLINE&lt;/title&gt;&lt;secondary-title&gt;Wiad Lek&lt;/secondary-title&gt;&lt;/titles&gt;&lt;periodical&gt;&lt;full-title&gt;Wiad Lek&lt;/full-title&gt;&lt;/periodical&gt;&lt;pages&gt;1995-2003&lt;/pages&gt;&lt;volume&gt;74&lt;/volume&gt;&lt;number&gt;8&lt;/number&gt;&lt;edition&gt;2021/09/20&lt;/edition&gt;&lt;keywords&gt;&lt;keyword&gt;Antioxidants&lt;/keyword&gt;&lt;keyword&gt;Cognition&lt;/keyword&gt;&lt;keyword&gt;*Cognitive Dysfunction&lt;/keyword&gt;&lt;keyword&gt;Glutathione&lt;/keyword&gt;&lt;keyword&gt;Humans&lt;/keyword&gt;&lt;keyword&gt;Observational Studies as Topic&lt;/keyword&gt;&lt;keyword&gt;*Oxidative Stress&lt;/keyword&gt;&lt;keyword&gt;Oxidative stress&lt;/keyword&gt;&lt;keyword&gt;cognitive decline&lt;/keyword&gt;&lt;keyword&gt;cognitive dysfunction&lt;/keyword&gt;&lt;keyword&gt;cognitive function&lt;/keyword&gt;&lt;keyword&gt;cognitive impairment&lt;/keyword&gt;&lt;keyword&gt;observational studies&lt;/keyword&gt;&lt;/keywords&gt;&lt;dates&gt;&lt;year&gt;2021&lt;/year&gt;&lt;/dates&gt;&lt;isbn&gt;0043-5147 (Print)&amp;#xD;0043-5147&lt;/isbn&gt;&lt;accession-num&gt;34537756&lt;/accession-num&gt;&lt;urls&gt;&lt;/urls&gt;&lt;remote-database-provider&gt;NLM&lt;/remote-database-provider&gt;&lt;language&gt;eng&lt;/language&gt;&lt;/record&gt;&lt;/Cite&gt;&lt;/EndNote&gt;</w:instrText>
      </w:r>
      <w:r w:rsidRPr="00E9097D">
        <w:rPr>
          <w:rFonts w:asciiTheme="majorBidi" w:hAnsiTheme="majorBidi" w:cstheme="majorBidi"/>
          <w:sz w:val="24"/>
          <w:szCs w:val="24"/>
          <w:lang w:val="en-GB" w:bidi="fa-IR"/>
        </w:rPr>
        <w:fldChar w:fldCharType="separate"/>
      </w:r>
      <w:r w:rsidRPr="00E9097D">
        <w:rPr>
          <w:rFonts w:asciiTheme="majorBidi" w:hAnsiTheme="majorBidi" w:cstheme="majorBidi"/>
          <w:sz w:val="24"/>
          <w:szCs w:val="24"/>
          <w:lang w:val="en-GB" w:bidi="fa-IR"/>
        </w:rPr>
        <w:t>(</w:t>
      </w:r>
      <w:hyperlink w:anchor="_ENREF_178" w:tooltip="Papathanasiou, 2021 #190" w:history="1">
        <w:r w:rsidR="00DE113E" w:rsidRPr="00E9097D">
          <w:rPr>
            <w:rFonts w:asciiTheme="majorBidi" w:hAnsiTheme="majorBidi" w:cstheme="majorBidi"/>
            <w:sz w:val="24"/>
            <w:szCs w:val="24"/>
            <w:lang w:val="en-GB" w:bidi="fa-IR"/>
          </w:rPr>
          <w:t>Papathanasiou et al., 2021</w:t>
        </w:r>
      </w:hyperlink>
      <w:r w:rsidRPr="00E9097D">
        <w:rPr>
          <w:rFonts w:asciiTheme="majorBidi" w:hAnsiTheme="majorBidi" w:cstheme="majorBidi"/>
          <w:sz w:val="24"/>
          <w:szCs w:val="24"/>
          <w:lang w:val="en-GB" w:bidi="fa-IR"/>
        </w:rPr>
        <w:t>)</w:t>
      </w:r>
      <w:r w:rsidRPr="00E9097D">
        <w:rPr>
          <w:rFonts w:asciiTheme="majorBidi" w:hAnsiTheme="majorBidi" w:cstheme="majorBidi"/>
          <w:sz w:val="24"/>
          <w:szCs w:val="24"/>
          <w:lang w:val="en-GB" w:bidi="fa-IR"/>
        </w:rPr>
        <w:fldChar w:fldCharType="end"/>
      </w:r>
      <w:r w:rsidRPr="00E9097D">
        <w:rPr>
          <w:rFonts w:asciiTheme="majorBidi" w:hAnsiTheme="majorBidi" w:cstheme="majorBidi"/>
          <w:sz w:val="24"/>
          <w:szCs w:val="24"/>
          <w:lang w:val="en-GB" w:bidi="fa-IR"/>
        </w:rPr>
        <w:t xml:space="preserve"> emphasized that oxidative damage to cellular structures and functions is a critical contributor to cognitive impairment, underscoring the need for continued research into antioxidant-based interventions. Lifestyle factors also play a significant role in modulating oxidative stress. Regular physical activity has been shown to enhance endogenous antioxidant defenses and improve </w:t>
      </w:r>
      <w:r w:rsidRPr="00E9097D">
        <w:rPr>
          <w:rFonts w:asciiTheme="majorBidi" w:hAnsiTheme="majorBidi" w:cstheme="majorBidi"/>
          <w:sz w:val="24"/>
          <w:szCs w:val="24"/>
          <w:lang w:val="en-GB" w:bidi="fa-IR"/>
        </w:rPr>
        <w:lastRenderedPageBreak/>
        <w:t xml:space="preserve">cognitive outcomes in aging individuals </w:t>
      </w:r>
      <w:r w:rsidRPr="00E9097D">
        <w:rPr>
          <w:rFonts w:asciiTheme="majorBidi" w:hAnsiTheme="majorBidi" w:cstheme="majorBidi"/>
          <w:sz w:val="24"/>
          <w:szCs w:val="24"/>
          <w:lang w:val="en-GB" w:bidi="fa-IR"/>
        </w:rPr>
        <w:fldChar w:fldCharType="begin"/>
      </w:r>
      <w:r w:rsidRPr="00E9097D">
        <w:rPr>
          <w:rFonts w:asciiTheme="majorBidi" w:hAnsiTheme="majorBidi" w:cstheme="majorBidi"/>
          <w:sz w:val="24"/>
          <w:szCs w:val="24"/>
          <w:lang w:val="en-GB" w:bidi="fa-IR"/>
        </w:rPr>
        <w:instrText xml:space="preserve"> ADDIN EN.CITE &lt;EndNote&gt;&lt;Cite&gt;&lt;Author&gt;Navarro&lt;/Author&gt;&lt;Year&gt;2004&lt;/Year&gt;&lt;RecNum&gt;197&lt;/RecNum&gt;&lt;DisplayText&gt;(Navarro et al., 2004)&lt;/DisplayText&gt;&lt;record&gt;&lt;rec-number&gt;197&lt;/rec-number&gt;&lt;foreign-keys&gt;&lt;key app="EN" db-id="2ptrtps0adr9vke22dn5tpwzrsfaxtxrfwet" timestamp="1755774174"&gt;197&lt;/key&gt;&lt;/foreign-keys&gt;&lt;ref-type name="Journal Article"&gt;17&lt;/ref-type&gt;&lt;contributors&gt;&lt;authors&gt;&lt;author&gt;Navarro, Ana&lt;/author&gt;&lt;author&gt;Gómez, Carmen&lt;/author&gt;&lt;author&gt;López-Cepero, José M.&lt;/author&gt;&lt;author&gt;Boveris, Alberto&lt;/author&gt;&lt;/authors&gt;&lt;/contributors&gt;&lt;titles&gt;&lt;title&gt;Beneficial Effects of Moderate Exercise on Mice Aging: Survival, Behavior, Oxidative Stress, and Mitochondrial Electron Transfer&lt;/title&gt;&lt;secondary-title&gt;Ajp Regulatory Integrative and Comparative Physiology&lt;/secondary-title&gt;&lt;/titles&gt;&lt;periodical&gt;&lt;full-title&gt;Ajp Regulatory Integrative and Comparative Physiology&lt;/full-title&gt;&lt;/periodical&gt;&lt;pages&gt;R505-R511&lt;/pages&gt;&lt;volume&gt;286&lt;/volume&gt;&lt;number&gt;3&lt;/number&gt;&lt;dates&gt;&lt;year&gt;2004&lt;/year&gt;&lt;/dates&gt;&lt;urls&gt;&lt;/urls&gt;&lt;electronic-resource-num&gt;10.1152/ajpregu.00208.2003&lt;/electronic-resource-num&gt;&lt;/record&gt;&lt;/Cite&gt;&lt;/EndNote&gt;</w:instrText>
      </w:r>
      <w:r w:rsidRPr="00E9097D">
        <w:rPr>
          <w:rFonts w:asciiTheme="majorBidi" w:hAnsiTheme="majorBidi" w:cstheme="majorBidi"/>
          <w:sz w:val="24"/>
          <w:szCs w:val="24"/>
          <w:lang w:val="en-GB" w:bidi="fa-IR"/>
        </w:rPr>
        <w:fldChar w:fldCharType="separate"/>
      </w:r>
      <w:r w:rsidRPr="00E9097D">
        <w:rPr>
          <w:rFonts w:asciiTheme="majorBidi" w:hAnsiTheme="majorBidi" w:cstheme="majorBidi"/>
          <w:sz w:val="24"/>
          <w:szCs w:val="24"/>
          <w:lang w:val="en-GB" w:bidi="fa-IR"/>
        </w:rPr>
        <w:t>(</w:t>
      </w:r>
      <w:hyperlink w:anchor="_ENREF_165" w:tooltip="Navarro, 2004 #197" w:history="1">
        <w:r w:rsidR="00DE113E" w:rsidRPr="00E9097D">
          <w:rPr>
            <w:rFonts w:asciiTheme="majorBidi" w:hAnsiTheme="majorBidi" w:cstheme="majorBidi"/>
            <w:sz w:val="24"/>
            <w:szCs w:val="24"/>
            <w:lang w:val="en-GB" w:bidi="fa-IR"/>
          </w:rPr>
          <w:t>Navarro et al., 2004</w:t>
        </w:r>
      </w:hyperlink>
      <w:r w:rsidRPr="00E9097D">
        <w:rPr>
          <w:rFonts w:asciiTheme="majorBidi" w:hAnsiTheme="majorBidi" w:cstheme="majorBidi"/>
          <w:sz w:val="24"/>
          <w:szCs w:val="24"/>
          <w:lang w:val="en-GB" w:bidi="fa-IR"/>
        </w:rPr>
        <w:t>)</w:t>
      </w:r>
      <w:r w:rsidRPr="00E9097D">
        <w:rPr>
          <w:rFonts w:asciiTheme="majorBidi" w:hAnsiTheme="majorBidi" w:cstheme="majorBidi"/>
          <w:sz w:val="24"/>
          <w:szCs w:val="24"/>
          <w:lang w:val="en-GB" w:bidi="fa-IR"/>
        </w:rPr>
        <w:fldChar w:fldCharType="end"/>
      </w:r>
      <w:r w:rsidRPr="00E9097D">
        <w:rPr>
          <w:rFonts w:asciiTheme="majorBidi" w:hAnsiTheme="majorBidi" w:cstheme="majorBidi"/>
          <w:sz w:val="24"/>
          <w:szCs w:val="24"/>
          <w:lang w:val="en-GB" w:bidi="fa-IR"/>
        </w:rPr>
        <w:t>. Such interventions may promote neuroplasticity and support long-term cognitive health. Oxidative stress and cognitive decline highlight the importance of antioxidant mechanisms in preserving cognitive function. Both clinical and preclinical research support the hypothesis that antioxidants can mitigate cognitive impairments by reducing oxidative damage. Future research should focus on developing targeted antioxidant therapies and promoting dietary and lifestyle strategies that enhance antioxidant capacity, particularly in populations at risk for neurodegenerative conditions.</w:t>
      </w:r>
    </w:p>
    <w:p w14:paraId="7ADE7D43" w14:textId="77777777" w:rsidR="000C4AF5" w:rsidRDefault="000C4AF5" w:rsidP="00D623DE">
      <w:pPr>
        <w:jc w:val="both"/>
        <w:rPr>
          <w:rFonts w:asciiTheme="majorBidi" w:hAnsiTheme="majorBidi" w:cstheme="majorBidi"/>
          <w:b/>
          <w:bCs/>
          <w:sz w:val="24"/>
          <w:szCs w:val="24"/>
          <w:lang w:val="en-GB" w:bidi="fa-IR"/>
        </w:rPr>
      </w:pPr>
    </w:p>
    <w:p w14:paraId="40429257" w14:textId="14E8621D" w:rsidR="005009FB" w:rsidRPr="00F71F57" w:rsidRDefault="0081198A" w:rsidP="00D623DE">
      <w:pPr>
        <w:pStyle w:val="Heading3"/>
        <w:ind w:left="1080"/>
        <w:rPr>
          <w:lang w:val="en-GB" w:bidi="fa-IR"/>
        </w:rPr>
      </w:pPr>
      <w:bookmarkStart w:id="24" w:name="_Toc214875832"/>
      <w:r w:rsidRPr="00F71F57">
        <w:rPr>
          <w:lang w:val="en-GB" w:bidi="fa-IR"/>
        </w:rPr>
        <w:t>1.2.3 Behavioral Manifestations of Neurodegeneration</w:t>
      </w:r>
      <w:bookmarkEnd w:id="24"/>
    </w:p>
    <w:p w14:paraId="20278C12" w14:textId="4B50EF41" w:rsidR="0081198A" w:rsidRPr="00F71F57" w:rsidRDefault="0081198A" w:rsidP="00984E32">
      <w:pPr>
        <w:pStyle w:val="Heading4"/>
        <w:rPr>
          <w:lang w:bidi="fa-IR"/>
        </w:rPr>
      </w:pPr>
      <w:bookmarkStart w:id="25" w:name="_Toc214875833"/>
      <w:bookmarkStart w:id="26" w:name="_Hlk206696720"/>
      <w:r w:rsidRPr="00F71F57">
        <w:rPr>
          <w:lang w:bidi="fa-IR"/>
        </w:rPr>
        <w:t>1.2.3.1 Episodic and Working Memory Deficits</w:t>
      </w:r>
      <w:bookmarkEnd w:id="25"/>
    </w:p>
    <w:p w14:paraId="4E6EE061" w14:textId="449A34D0" w:rsidR="00307781" w:rsidRPr="00F71F57" w:rsidRDefault="004E3095" w:rsidP="00C80A17">
      <w:pPr>
        <w:spacing w:line="360" w:lineRule="auto"/>
        <w:ind w:left="1080"/>
        <w:jc w:val="both"/>
        <w:rPr>
          <w:rFonts w:asciiTheme="majorBidi" w:hAnsiTheme="majorBidi" w:cstheme="majorBidi"/>
          <w:lang w:val="en-GB" w:bidi="fa-IR"/>
        </w:rPr>
      </w:pPr>
      <w:r w:rsidRPr="00F71F57">
        <w:rPr>
          <w:rFonts w:asciiTheme="majorBidi" w:hAnsiTheme="majorBidi" w:cstheme="majorBidi"/>
          <w:sz w:val="24"/>
          <w:szCs w:val="24"/>
          <w:lang w:val="en-GB" w:bidi="fa-IR"/>
        </w:rPr>
        <w:t xml:space="preserve">Neurodegeneration has a profound impact on various cognitive functions, including episodic and working memory, which are essential for daily functioning and quality of life. Neuroscientific studies have identified distinct behavioral manifestations of neurodegeneration, particularly symptoms associated with mild cognitive impairments and related conditions such as Alzheimer’s disease. Episodic memory declines are commonly reported in neurodegenerative disorders, especially in cases of Alzheimer’s disease, where individuals often exhibit significant deficits in recalling recent events and learning new information. Frontotemporal dementia (FTD), while less known for memory impairments than Alzheimer’s disease, also demonstrates substantial episodic memory deficits as part of its clinical profile, indicating that memory issues can span various forms of dementia </w:t>
      </w:r>
      <w:r w:rsidRPr="00F71F57">
        <w:rPr>
          <w:rFonts w:asciiTheme="majorBidi" w:hAnsiTheme="majorBidi" w:cstheme="majorBidi"/>
          <w:sz w:val="24"/>
          <w:szCs w:val="24"/>
          <w:lang w:val="en-GB" w:bidi="fa-IR"/>
        </w:rPr>
        <w:fldChar w:fldCharType="begin"/>
      </w:r>
      <w:r w:rsidRPr="00F71F57">
        <w:rPr>
          <w:rFonts w:asciiTheme="majorBidi" w:hAnsiTheme="majorBidi" w:cstheme="majorBidi"/>
          <w:sz w:val="24"/>
          <w:szCs w:val="24"/>
          <w:lang w:val="en-GB" w:bidi="fa-IR"/>
        </w:rPr>
        <w:instrText xml:space="preserve"> ADDIN EN.CITE &lt;EndNote&gt;&lt;Cite&gt;&lt;Author&gt;Keret&lt;/Author&gt;&lt;Year&gt;2024&lt;/Year&gt;&lt;RecNum&gt;145&lt;/RecNum&gt;&lt;DisplayText&gt;(Keret et al., 2024)&lt;/DisplayText&gt;&lt;record&gt;&lt;rec-number&gt;145&lt;/rec-number&gt;&lt;foreign-keys&gt;&lt;key app="EN" db-id="2ptrtps0adr9vke22dn5tpwzrsfaxtxrfwet" timestamp="1755691228"&gt;145&lt;/key&gt;&lt;/foreign-keys&gt;&lt;ref-type name="Journal Article"&gt;17&lt;/ref-type&gt;&lt;contributors&gt;&lt;authors&gt;&lt;author&gt;Keret, Ophir&lt;/author&gt;&lt;author&gt;Lindbergh, Cutter A.&lt;/author&gt;&lt;author&gt;Miller, Bruce&lt;/author&gt;&lt;/authors&gt;&lt;/contributors&gt;&lt;titles&gt;&lt;title&gt;Memory in Frontotemporal Dementia&lt;/title&gt;&lt;/titles&gt;&lt;pages&gt;1755-1793&lt;/pages&gt;&lt;dates&gt;&lt;year&gt;2024&lt;/year&gt;&lt;/dates&gt;&lt;urls&gt;&lt;/urls&gt;&lt;electronic-resource-num&gt;10.1093/oxfordhb/9780190917982.013.60&lt;/electronic-resource-num&gt;&lt;/record&gt;&lt;/Cite&gt;&lt;/EndNote&gt;</w:instrText>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125" w:tooltip="Keret, 2024 #145" w:history="1">
        <w:r w:rsidR="00DE113E" w:rsidRPr="00F71F57">
          <w:rPr>
            <w:rFonts w:asciiTheme="majorBidi" w:hAnsiTheme="majorBidi" w:cstheme="majorBidi"/>
            <w:sz w:val="24"/>
            <w:szCs w:val="24"/>
            <w:lang w:val="en-GB" w:bidi="fa-IR"/>
          </w:rPr>
          <w:t>Keret et al., 2024</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The progression in memory impairment is linked with alterations in brain regions responsible for memory retention and retrieval, primarily the frontal and temporal lobes </w:t>
      </w:r>
      <w:r w:rsidRPr="00F71F57">
        <w:rPr>
          <w:rFonts w:asciiTheme="majorBidi" w:hAnsiTheme="majorBidi" w:cstheme="majorBidi"/>
          <w:sz w:val="24"/>
          <w:szCs w:val="24"/>
          <w:lang w:val="en-GB" w:bidi="fa-IR"/>
        </w:rPr>
        <w:fldChar w:fldCharType="begin"/>
      </w:r>
      <w:r w:rsidRPr="00F71F57">
        <w:rPr>
          <w:rFonts w:asciiTheme="majorBidi" w:hAnsiTheme="majorBidi" w:cstheme="majorBidi"/>
          <w:sz w:val="24"/>
          <w:szCs w:val="24"/>
          <w:lang w:val="en-GB" w:bidi="fa-IR"/>
        </w:rPr>
        <w:instrText xml:space="preserve"> ADDIN EN.CITE &lt;EndNote&gt;&lt;Cite&gt;&lt;Author&gt;Zheng&lt;/Author&gt;&lt;Year&gt;2023&lt;/Year&gt;&lt;RecNum&gt;146&lt;/RecNum&gt;&lt;DisplayText&gt;(Zheng et al., 2023)&lt;/DisplayText&gt;&lt;record&gt;&lt;rec-number&gt;146&lt;/rec-number&gt;&lt;foreign-keys&gt;&lt;key app="EN" db-id="2ptrtps0adr9vke22dn5tpwzrsfaxtxrfwet" timestamp="1755691264"&gt;146&lt;/key&gt;&lt;/foreign-keys&gt;&lt;ref-type name="Journal Article"&gt;17&lt;/ref-type&gt;&lt;contributors&gt;&lt;authors&gt;&lt;author&gt;Zheng, Zhiwei&lt;/author&gt;&lt;author&gt;Zhao, Xiaofeng&lt;/author&gt;&lt;author&gt;Cui, Xiaoyu&lt;/author&gt;&lt;author&gt;Liu, Xiaomei&lt;/author&gt;&lt;author&gt;Zhu, Xinyi&lt;/author&gt;&lt;author&gt;Jiang, Yang&lt;/author&gt;&lt;author&gt;Li, Juan&lt;/author&gt;&lt;/authors&gt;&lt;/contributors&gt;&lt;titles&gt;&lt;title&gt;Subtle Pathophysiological Changes in Working Memory–Related Potentials and Intrinsic Theta Power in Community-Dwelling Older Adults With Subjective Cognitive Decline&lt;/title&gt;&lt;secondary-title&gt;Innovation in Aging&lt;/secondary-title&gt;&lt;/titles&gt;&lt;periodical&gt;&lt;full-title&gt;Innovation in Aging&lt;/full-title&gt;&lt;/periodical&gt;&lt;volume&gt;7&lt;/volume&gt;&lt;number&gt;2&lt;/number&gt;&lt;dates&gt;&lt;year&gt;2023&lt;/year&gt;&lt;/dates&gt;&lt;urls&gt;&lt;/urls&gt;&lt;electronic-resource-num&gt;10.1093/geroni/igad004&lt;/electronic-resource-num&gt;&lt;/record&gt;&lt;/Cite&gt;&lt;/EndNote&gt;</w:instrText>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271" w:tooltip="Zheng, 2023 #146" w:history="1">
        <w:r w:rsidR="00DE113E" w:rsidRPr="00F71F57">
          <w:rPr>
            <w:rFonts w:asciiTheme="majorBidi" w:hAnsiTheme="majorBidi" w:cstheme="majorBidi"/>
            <w:sz w:val="24"/>
            <w:szCs w:val="24"/>
            <w:lang w:val="en-GB" w:bidi="fa-IR"/>
          </w:rPr>
          <w:t>Zheng et al., 2023</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84379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Working memory, regarded as a crucial cognitive process for temporary information maintenance, is also affected by neurodegenerative diseases. Studies have shown that individuals with subjective cognitive </w:t>
      </w:r>
      <w:r w:rsidRPr="00F71F57">
        <w:rPr>
          <w:rFonts w:asciiTheme="majorBidi" w:hAnsiTheme="majorBidi" w:cstheme="majorBidi"/>
          <w:sz w:val="24"/>
          <w:szCs w:val="24"/>
          <w:lang w:val="en-GB" w:bidi="fa-IR"/>
        </w:rPr>
        <w:lastRenderedPageBreak/>
        <w:t xml:space="preserve">decline display abnormal neural processing, even when objective testing does not yet indicate significant deficits </w:t>
      </w:r>
      <w:r w:rsidRPr="00F71F57">
        <w:rPr>
          <w:rFonts w:asciiTheme="majorBidi" w:hAnsiTheme="majorBidi" w:cstheme="majorBidi"/>
          <w:sz w:val="24"/>
          <w:szCs w:val="24"/>
          <w:lang w:val="en-GB" w:bidi="fa-IR"/>
        </w:rPr>
        <w:fldChar w:fldCharType="begin">
          <w:fldData xml:space="preserve">PEVuZE5vdGU+PENpdGU+PEF1dGhvcj5aaGVuZzwvQXV0aG9yPjxZZWFyPjIwMjM8L1llYXI+PFJl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</w:fldData>
        </w:fldChar>
      </w:r>
      <w:r w:rsidRPr="00F71F57">
        <w:rPr>
          <w:rFonts w:asciiTheme="majorBidi" w:hAnsiTheme="majorBidi" w:cstheme="majorBidi"/>
          <w:sz w:val="24"/>
          <w:szCs w:val="24"/>
          <w:lang w:val="en-GB" w:bidi="fa-IR"/>
        </w:rPr>
        <w:instrText xml:space="preserve"> ADDIN EN.CITE </w:instrText>
      </w:r>
      <w:r w:rsidRPr="00F71F57">
        <w:rPr>
          <w:rFonts w:asciiTheme="majorBidi" w:hAnsiTheme="majorBidi" w:cstheme="majorBidi"/>
          <w:sz w:val="24"/>
          <w:szCs w:val="24"/>
          <w:lang w:val="en-GB" w:bidi="fa-IR"/>
        </w:rPr>
        <w:fldChar w:fldCharType="begin">
          <w:fldData xml:space="preserve">PEVuZE5vdGU+PENpdGU+PEF1dGhvcj5aaGVuZzwvQXV0aG9yPjxZZWFyPjIwMjM8L1llYXI+PFJl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</w:fldData>
        </w:fldChar>
      </w:r>
      <w:r w:rsidRPr="00F71F57">
        <w:rPr>
          <w:rFonts w:asciiTheme="majorBidi" w:hAnsiTheme="majorBidi" w:cstheme="majorBidi"/>
          <w:sz w:val="24"/>
          <w:szCs w:val="24"/>
          <w:lang w:val="en-GB" w:bidi="fa-IR"/>
        </w:rPr>
        <w:instrText xml:space="preserve"> ADDIN EN.CITE.DATA </w:instrText>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133" w:tooltip="Kuhn, 2021 #147" w:history="1">
        <w:r w:rsidR="00DE113E" w:rsidRPr="00F71F57">
          <w:rPr>
            <w:rFonts w:asciiTheme="majorBidi" w:hAnsiTheme="majorBidi" w:cstheme="majorBidi"/>
            <w:sz w:val="24"/>
            <w:szCs w:val="24"/>
            <w:lang w:val="en-GB" w:bidi="fa-IR"/>
          </w:rPr>
          <w:t>Kuhn et al., 2021</w:t>
        </w:r>
      </w:hyperlink>
      <w:r w:rsidRPr="00F71F57">
        <w:rPr>
          <w:rFonts w:asciiTheme="majorBidi" w:hAnsiTheme="majorBidi" w:cstheme="majorBidi"/>
          <w:sz w:val="24"/>
          <w:szCs w:val="24"/>
          <w:lang w:val="en-GB" w:bidi="fa-IR"/>
        </w:rPr>
        <w:t xml:space="preserve">; </w:t>
      </w:r>
      <w:hyperlink w:anchor="_ENREF_271" w:tooltip="Zheng, 2023 #146" w:history="1">
        <w:r w:rsidR="00DE113E" w:rsidRPr="00F71F57">
          <w:rPr>
            <w:rFonts w:asciiTheme="majorBidi" w:hAnsiTheme="majorBidi" w:cstheme="majorBidi"/>
            <w:sz w:val="24"/>
            <w:szCs w:val="24"/>
            <w:lang w:val="en-GB" w:bidi="fa-IR"/>
          </w:rPr>
          <w:t>Zheng et al., 2023</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This suggests that working memory impairments may precede clinical diagnoses, making it vital for early detection and intervention. Furthermore, deterioration in working memory functions is correlated with neurophysiological changes, including decreased neuronal integrity in critical regions such as the hippocampus and prefrontal cortex </w:t>
      </w:r>
      <w:r w:rsidRPr="00F71F57">
        <w:rPr>
          <w:rFonts w:asciiTheme="majorBidi" w:hAnsiTheme="majorBidi" w:cstheme="majorBidi"/>
          <w:sz w:val="24"/>
          <w:szCs w:val="24"/>
          <w:lang w:val="en-GB" w:bidi="fa-IR"/>
        </w:rPr>
        <w:fldChar w:fldCharType="begin">
          <w:fldData xml:space="preserve">PEVuZE5vdGU+PENpdGU+PEF1dGhvcj5QYXBlbmJlcmc8L0F1dGhvcj48WWVhcj4yMDI1PC9ZZWFy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</w:fldData>
        </w:fldChar>
      </w:r>
      <w:r w:rsidRPr="00F71F57">
        <w:rPr>
          <w:rFonts w:asciiTheme="majorBidi" w:hAnsiTheme="majorBidi" w:cstheme="majorBidi"/>
          <w:sz w:val="24"/>
          <w:szCs w:val="24"/>
          <w:lang w:val="en-GB" w:bidi="fa-IR"/>
        </w:rPr>
        <w:instrText xml:space="preserve"> ADDIN EN.CITE </w:instrText>
      </w:r>
      <w:r w:rsidRPr="00F71F57">
        <w:rPr>
          <w:rFonts w:asciiTheme="majorBidi" w:hAnsiTheme="majorBidi" w:cstheme="majorBidi"/>
          <w:sz w:val="24"/>
          <w:szCs w:val="24"/>
          <w:lang w:val="en-GB" w:bidi="fa-IR"/>
        </w:rPr>
        <w:fldChar w:fldCharType="begin">
          <w:fldData xml:space="preserve">PEVuZE5vdGU+PENpdGU+PEF1dGhvcj5QYXBlbmJlcmc8L0F1dGhvcj48WWVhcj4yMDI1PC9ZZWFy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</w:fldData>
        </w:fldChar>
      </w:r>
      <w:r w:rsidRPr="00F71F57">
        <w:rPr>
          <w:rFonts w:asciiTheme="majorBidi" w:hAnsiTheme="majorBidi" w:cstheme="majorBidi"/>
          <w:sz w:val="24"/>
          <w:szCs w:val="24"/>
          <w:lang w:val="en-GB" w:bidi="fa-IR"/>
        </w:rPr>
        <w:instrText xml:space="preserve"> ADDIN EN.CITE.DATA </w:instrText>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159" w:tooltip="Monov, 2024 #149" w:history="1">
        <w:r w:rsidR="00DE113E" w:rsidRPr="00F71F57">
          <w:rPr>
            <w:rFonts w:asciiTheme="majorBidi" w:hAnsiTheme="majorBidi" w:cstheme="majorBidi"/>
            <w:sz w:val="24"/>
            <w:szCs w:val="24"/>
            <w:lang w:val="en-GB" w:bidi="fa-IR"/>
          </w:rPr>
          <w:t>Monov et al., 2024</w:t>
        </w:r>
      </w:hyperlink>
      <w:r w:rsidRPr="00F71F57">
        <w:rPr>
          <w:rFonts w:asciiTheme="majorBidi" w:hAnsiTheme="majorBidi" w:cstheme="majorBidi"/>
          <w:sz w:val="24"/>
          <w:szCs w:val="24"/>
          <w:lang w:val="en-GB" w:bidi="fa-IR"/>
        </w:rPr>
        <w:t xml:space="preserve">; </w:t>
      </w:r>
      <w:hyperlink w:anchor="_ENREF_179" w:tooltip="Papenberg, 2025 #148" w:history="1">
        <w:r w:rsidR="00DE113E" w:rsidRPr="00F71F57">
          <w:rPr>
            <w:rFonts w:asciiTheme="majorBidi" w:hAnsiTheme="majorBidi" w:cstheme="majorBidi"/>
            <w:sz w:val="24"/>
            <w:szCs w:val="24"/>
            <w:lang w:val="en-GB" w:bidi="fa-IR"/>
          </w:rPr>
          <w:t>Papenberg et al., 2025</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84379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Multiple factors contribute to these cognitive decline patterns. For instance, longstanding conditions such as hypertension and diabetes are associated with accelerated cognitive decline, particularly in working memory and episodic memory contexts </w:t>
      </w:r>
      <w:r w:rsidRPr="00F71F57">
        <w:rPr>
          <w:rFonts w:asciiTheme="majorBidi" w:hAnsiTheme="majorBidi" w:cstheme="majorBidi"/>
          <w:sz w:val="24"/>
          <w:szCs w:val="24"/>
          <w:lang w:val="en-GB" w:bidi="fa-IR"/>
        </w:rPr>
        <w:fldChar w:fldCharType="begin"/>
      </w:r>
      <w:r w:rsidRPr="00F71F57">
        <w:rPr>
          <w:rFonts w:asciiTheme="majorBidi" w:hAnsiTheme="majorBidi" w:cstheme="majorBidi"/>
          <w:sz w:val="24"/>
          <w:szCs w:val="24"/>
          <w:lang w:val="en-GB" w:bidi="fa-IR"/>
        </w:rPr>
        <w:instrText xml:space="preserve"> ADDIN EN.CITE &lt;EndNote&gt;&lt;Cite&gt;&lt;Author&gt;Dixon&lt;/Author&gt;&lt;Year&gt;2021&lt;/Year&gt;&lt;RecNum&gt;150&lt;/RecNum&gt;&lt;DisplayText&gt;(Dixon et al., 2021; R et al., 2020)&lt;/DisplayText&gt;&lt;record&gt;&lt;rec-number&gt;150&lt;/rec-number&gt;&lt;foreign-keys&gt;&lt;key app="EN" db-id="2ptrtps0adr9vke22dn5tpwzrsfaxtxrfwet" timestamp="1755691434"&gt;150&lt;/key&gt;&lt;/foreign-keys&gt;&lt;ref-type name="Journal Article"&gt;17&lt;/ref-type&gt;&lt;contributors&gt;&lt;authors&gt;&lt;author&gt;Dixon, Jasmine S.&lt;/author&gt;&lt;author&gt;Coyne, Alice E.&lt;/author&gt;&lt;author&gt;Duff, Kevin&lt;/author&gt;&lt;author&gt;Ready, Rebecca E.&lt;/author&gt;&lt;/authors&gt;&lt;/contributors&gt;&lt;titles&gt;&lt;title&gt;Predictors of Cognitive Decline in a Multi-Racial Sample of Midlife Women: A Longitudinal Study&lt;/title&gt;&lt;secondary-title&gt;Neuropsychology&lt;/secondary-title&gt;&lt;/titles&gt;&lt;periodical&gt;&lt;full-title&gt;Neuropsychology&lt;/full-title&gt;&lt;/periodical&gt;&lt;pages&gt;514-528&lt;/pages&gt;&lt;volume&gt;35&lt;/volume&gt;&lt;number&gt;5&lt;/number&gt;&lt;dates&gt;&lt;year&gt;2021&lt;/year&gt;&lt;/dates&gt;&lt;urls&gt;&lt;/urls&gt;&lt;electronic-resource-num&gt;10.1037/neu0000743&lt;/electronic-resource-num&gt;&lt;/record&gt;&lt;/Cite&gt;&lt;Cite&gt;&lt;Author&gt;R&lt;/Author&gt;&lt;Year&gt;2020&lt;/Year&gt;&lt;RecNum&gt;151&lt;/RecNum&gt;&lt;record&gt;&lt;rec-number&gt;151&lt;/rec-number&gt;&lt;foreign-keys&gt;&lt;key app="EN" db-id="2ptrtps0adr9vke22dn5tpwzrsfaxtxrfwet" timestamp="1755691445"&gt;151&lt;/key&gt;&lt;/foreign-keys&gt;&lt;ref-type name="Journal Article"&gt;17&lt;/ref-type&gt;&lt;contributors&gt;&lt;authors&gt;&lt;author&gt;R, Anand Vijayakumar P.&lt;/author&gt;&lt;author&gt;Seema, A.&lt;/author&gt;&lt;author&gt;P, Kokul Rajan&lt;/author&gt;&lt;/authors&gt;&lt;/contributors&gt;&lt;titles&gt;&lt;title&gt;Effect of Short-Term Memory and Working Memory in Diabetes With Comorbidities Condition&lt;/title&gt;&lt;secondary-title&gt;International Journal of Research in Pharmaceutical Sciences&lt;/secondary-title&gt;&lt;/titles&gt;&lt;periodical&gt;&lt;full-title&gt;International Journal of Research in Pharmaceutical Sciences&lt;/full-title&gt;&lt;/periodical&gt;&lt;pages&gt;5367-5372&lt;/pages&gt;&lt;volume&gt;11&lt;/volume&gt;&lt;number&gt;4&lt;/number&gt;&lt;dates&gt;&lt;year&gt;2020&lt;/year&gt;&lt;/dates&gt;&lt;urls&gt;&lt;/urls&gt;&lt;electronic-resource-num&gt;10.26452/ijrps.v11i4.3158&lt;/electronic-resource-num&gt;&lt;/record&gt;&lt;/Cite&gt;&lt;/EndNote&gt;</w:instrText>
      </w:r>
      <w:r w:rsidRPr="00F71F57">
        <w:rPr>
          <w:rFonts w:asciiTheme="majorBidi" w:hAnsiTheme="majorBidi" w:cstheme="majorBidi"/>
          <w:sz w:val="24"/>
          <w:szCs w:val="24"/>
          <w:lang w:val="en-GB" w:bidi="fa-IR"/>
        </w:rPr>
        <w:fldChar w:fldCharType="separate"/>
      </w:r>
      <w:r w:rsidRPr="00F71F57">
        <w:rPr>
          <w:rFonts w:asciiTheme="majorBidi" w:hAnsiTheme="majorBidi" w:cstheme="majorBidi"/>
          <w:sz w:val="24"/>
          <w:szCs w:val="24"/>
          <w:lang w:val="en-GB" w:bidi="fa-IR"/>
        </w:rPr>
        <w:t>(</w:t>
      </w:r>
      <w:hyperlink w:anchor="_ENREF_65" w:tooltip="Dixon, 2021 #150" w:history="1">
        <w:r w:rsidR="00DE113E" w:rsidRPr="00F71F57">
          <w:rPr>
            <w:rFonts w:asciiTheme="majorBidi" w:hAnsiTheme="majorBidi" w:cstheme="majorBidi"/>
            <w:sz w:val="24"/>
            <w:szCs w:val="24"/>
            <w:lang w:val="en-GB" w:bidi="fa-IR"/>
          </w:rPr>
          <w:t>Dixon et al., 2021</w:t>
        </w:r>
      </w:hyperlink>
      <w:r w:rsidRPr="00F71F57">
        <w:rPr>
          <w:rFonts w:asciiTheme="majorBidi" w:hAnsiTheme="majorBidi" w:cstheme="majorBidi"/>
          <w:sz w:val="24"/>
          <w:szCs w:val="24"/>
          <w:lang w:val="en-GB" w:bidi="fa-IR"/>
        </w:rPr>
        <w:t xml:space="preserve">; </w:t>
      </w:r>
      <w:hyperlink w:anchor="_ENREF_194" w:tooltip="R, 2020 #151" w:history="1">
        <w:r w:rsidR="00DE113E" w:rsidRPr="00F71F57">
          <w:rPr>
            <w:rFonts w:asciiTheme="majorBidi" w:hAnsiTheme="majorBidi" w:cstheme="majorBidi"/>
            <w:sz w:val="24"/>
            <w:szCs w:val="24"/>
            <w:lang w:val="en-GB" w:bidi="fa-IR"/>
          </w:rPr>
          <w:t>R et al., 2020</w:t>
        </w:r>
      </w:hyperlink>
      <w:r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0056048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Longitudinal studies highlight that demographic factors, such as race and sex, also influence the rates of cognitive decline, emphasizing the need for tailored interventions based on individual risk profiles </w:t>
      </w:r>
      <w:r w:rsidRPr="00F71F57">
        <w:rPr>
          <w:rFonts w:asciiTheme="majorBidi" w:hAnsiTheme="majorBidi" w:cstheme="majorBidi"/>
          <w:sz w:val="24"/>
          <w:szCs w:val="24"/>
          <w:lang w:val="en-GB" w:bidi="fa-IR"/>
        </w:rPr>
        <w:fldChar w:fldCharType="begin"/>
      </w:r>
      <w:r w:rsidR="0016601E" w:rsidRPr="00F71F57">
        <w:rPr>
          <w:rFonts w:asciiTheme="majorBidi" w:hAnsiTheme="majorBidi" w:cstheme="majorBidi"/>
          <w:sz w:val="24"/>
          <w:szCs w:val="24"/>
          <w:lang w:val="en-GB" w:bidi="fa-IR"/>
        </w:rPr>
        <w:instrText xml:space="preserve"> ADDIN EN.CITE &lt;EndNote&gt;&lt;Cite&gt;&lt;Author&gt;Oliver&lt;/Author&gt;&lt;Year&gt;2023&lt;/Year&gt;&lt;RecNum&gt;152&lt;/RecNum&gt;&lt;DisplayText&gt;(Baumgartner et al., 2025; Oliver et al., 2023)&lt;/DisplayText&gt;&lt;record&gt;&lt;rec-number&gt;152&lt;/rec-number&gt;&lt;foreign-keys&gt;&lt;key app="EN" db-id="2ptrtps0adr9vke22dn5tpwzrsfaxtxrfwet" timestamp="1755691489"&gt;152&lt;/key&gt;&lt;/foreign-keys&gt;&lt;ref-type name="Journal Article"&gt;17&lt;/ref-type&gt;&lt;contributors&gt;&lt;authors&gt;&lt;author&gt;Oliver, Michael&lt;/author&gt;&lt;author&gt;Morrison, Cassandra&lt;/author&gt;&lt;author&gt;El-Hulu, Sondos&lt;/author&gt;&lt;/authors&gt;&lt;/contributors&gt;&lt;titles&gt;&lt;title&gt;Race Differences in the Relationship Between High and Variable Blood Pressure and Domain-Specific Cognitive Change&lt;/title&gt;&lt;secondary-title&gt;Innovation in Aging&lt;/secondary-title&gt;&lt;/titles&gt;&lt;periodical&gt;&lt;full-title&gt;Innovation in Aging&lt;/full-title&gt;&lt;/periodical&gt;&lt;pages&gt;689-689&lt;/pages&gt;&lt;volume&gt;7&lt;/volume&gt;&lt;number&gt;Supplement_1&lt;/number&gt;&lt;dates&gt;&lt;year&gt;2023&lt;/year&gt;&lt;/dates&gt;&lt;urls&gt;&lt;/urls&gt;&lt;electronic-resource-num&gt;10.1093/geroni/igad104.2238&lt;/electronic-resource-num&gt;&lt;/record&gt;&lt;/Cite&gt;&lt;Cite&gt;&lt;Author&gt;Baumgartner&lt;/Author&gt;&lt;Year&gt;2025&lt;/Year&gt;&lt;RecNum&gt;153&lt;/RecNum&gt;&lt;record&gt;&lt;rec-number&gt;153&lt;/rec-number&gt;&lt;foreign-keys&gt;&lt;key app="EN" db-id="2ptrtps0adr9vke22dn5tpwzrsfaxtxrfwet" timestamp="1755691522"&gt;153&lt;/key&gt;&lt;/foreign-keys&gt;&lt;ref-type name="Journal Article"&gt;17&lt;/ref-type&gt;&lt;contributors&gt;&lt;authors&gt;&lt;author&gt;Baumgartner, Nicholas W.&lt;/author&gt;&lt;author&gt;Capuano, Ana W.&lt;/author&gt;&lt;author&gt;Barnes, Lisa L.&lt;/author&gt;&lt;author&gt;Bennett, David A.&lt;/author&gt;&lt;author&gt;Arvanitakis, Zoe&lt;/author&gt;&lt;/authors&gt;&lt;/contributors&gt;&lt;titles&gt;&lt;title&gt;Sex Differences in the Association Between Age-Related Decline in Blood Pressure and Decline in Cognition: A Prospective Cohort Study&lt;/title&gt;&lt;/titles&gt;&lt;dates&gt;&lt;year&gt;2025&lt;/year&gt;&lt;/dates&gt;&lt;urls&gt;&lt;/urls&gt;&lt;electronic-resource-num&gt;10.1101/2025.01.08.25320209&lt;/electronic-resource-num&gt;&lt;/record&gt;&lt;/Cite&gt;&lt;/EndNote&gt;</w:instrText>
      </w:r>
      <w:r w:rsidRPr="00F71F57">
        <w:rPr>
          <w:rFonts w:asciiTheme="majorBidi" w:hAnsiTheme="majorBidi" w:cstheme="majorBidi"/>
          <w:sz w:val="24"/>
          <w:szCs w:val="24"/>
          <w:lang w:val="en-GB" w:bidi="fa-IR"/>
        </w:rPr>
        <w:fldChar w:fldCharType="separate"/>
      </w:r>
      <w:r w:rsidR="0016601E" w:rsidRPr="00F71F57">
        <w:rPr>
          <w:rFonts w:asciiTheme="majorBidi" w:hAnsiTheme="majorBidi" w:cstheme="majorBidi"/>
          <w:sz w:val="24"/>
          <w:szCs w:val="24"/>
          <w:lang w:val="en-GB" w:bidi="fa-IR"/>
        </w:rPr>
        <w:t>(</w:t>
      </w:r>
      <w:hyperlink w:anchor="_ENREF_17" w:tooltip="Baumgartner, 2025 #153" w:history="1">
        <w:r w:rsidR="00DE113E" w:rsidRPr="00F71F57">
          <w:rPr>
            <w:rFonts w:asciiTheme="majorBidi" w:hAnsiTheme="majorBidi" w:cstheme="majorBidi"/>
            <w:sz w:val="24"/>
            <w:szCs w:val="24"/>
            <w:lang w:val="en-GB" w:bidi="fa-IR"/>
          </w:rPr>
          <w:t>Baumgartner et al., 2025</w:t>
        </w:r>
      </w:hyperlink>
      <w:r w:rsidR="0016601E" w:rsidRPr="00F71F57">
        <w:rPr>
          <w:rFonts w:asciiTheme="majorBidi" w:hAnsiTheme="majorBidi" w:cstheme="majorBidi"/>
          <w:sz w:val="24"/>
          <w:szCs w:val="24"/>
          <w:lang w:val="en-GB" w:bidi="fa-IR"/>
        </w:rPr>
        <w:t xml:space="preserve">; </w:t>
      </w:r>
      <w:hyperlink w:anchor="_ENREF_172" w:tooltip="Oliver, 2023 #152" w:history="1">
        <w:r w:rsidR="00DE113E" w:rsidRPr="00F71F57">
          <w:rPr>
            <w:rFonts w:asciiTheme="majorBidi" w:hAnsiTheme="majorBidi" w:cstheme="majorBidi"/>
            <w:sz w:val="24"/>
            <w:szCs w:val="24"/>
            <w:lang w:val="en-GB" w:bidi="fa-IR"/>
          </w:rPr>
          <w:t>Oliver et al., 2023</w:t>
        </w:r>
      </w:hyperlink>
      <w:r w:rsidR="0016601E" w:rsidRPr="00F71F57">
        <w:rPr>
          <w:rFonts w:asciiTheme="majorBidi" w:hAnsiTheme="majorBidi" w:cstheme="majorBidi"/>
          <w:sz w:val="24"/>
          <w:szCs w:val="24"/>
          <w:lang w:val="en-GB" w:bidi="fa-IR"/>
        </w:rPr>
        <w:t>)</w:t>
      </w:r>
      <w:r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Moreover, studies utilizing cognitive training interventions—and even paired neural stimulation techniques—have shown promise in mitigating some of the declines in working memory performance among older adults </w:t>
      </w:r>
      <w:r w:rsidR="0084379D" w:rsidRPr="00F71F57">
        <w:rPr>
          <w:rFonts w:asciiTheme="majorBidi" w:hAnsiTheme="majorBidi" w:cstheme="majorBidi"/>
          <w:sz w:val="24"/>
          <w:szCs w:val="24"/>
          <w:lang w:val="en-GB" w:bidi="fa-IR"/>
        </w:rPr>
        <w:fldChar w:fldCharType="begin"/>
      </w:r>
      <w:r w:rsidR="0084379D" w:rsidRPr="00F71F57">
        <w:rPr>
          <w:rFonts w:asciiTheme="majorBidi" w:hAnsiTheme="majorBidi" w:cstheme="majorBidi"/>
          <w:sz w:val="24"/>
          <w:szCs w:val="24"/>
          <w:lang w:val="en-GB" w:bidi="fa-IR"/>
        </w:rPr>
        <w:instrText xml:space="preserve"> ADDIN EN.CITE &lt;EndNote&gt;&lt;Cite&gt;&lt;Author&gt;López-Higes&lt;/Author&gt;&lt;Year&gt;2023&lt;/Year&gt;&lt;RecNum&gt;154&lt;/RecNum&gt;&lt;DisplayText&gt;(López-Higes et al., 2023; Sagalajev et al., 2023)&lt;/DisplayText&gt;&lt;record&gt;&lt;rec-number&gt;154&lt;/rec-number&gt;&lt;foreign-keys&gt;&lt;key app="EN" db-id="2ptrtps0adr9vke22dn5tpwzrsfaxtxrfwet" timestamp="1755691574"&gt;154&lt;/key&gt;&lt;/foreign-keys&gt;&lt;ref-type name="Journal Article"&gt;17&lt;/ref-type&gt;&lt;contributors&gt;&lt;authors&gt;&lt;author&gt;López-Higes, Ramón&lt;/author&gt;&lt;author&gt;Valdehita, Susana Rubio&lt;/author&gt;&lt;author&gt;Delgado‐Losada, María Luisa&lt;/author&gt;&lt;author&gt;López‐Sanz, David&lt;/author&gt;&lt;/authors&gt;&lt;/contributors&gt;&lt;titles&gt;&lt;title&gt;Influence of Cognitive Reserve on Neuropsychological Performance in Subjective Cognitive Decline and Mild Cognitive Impairment Older Adults&lt;/title&gt;&lt;secondary-title&gt;Current Psychology&lt;/secondary-title&gt;&lt;/titles&gt;&lt;periodical&gt;&lt;full-title&gt;Current Psychology&lt;/full-title&gt;&lt;/periodical&gt;&lt;pages&gt;3266-3274&lt;/pages&gt;&lt;volume&gt;43&lt;/volume&gt;&lt;number&gt;4&lt;/number&gt;&lt;dates&gt;&lt;year&gt;2023&lt;/year&gt;&lt;/dates&gt;&lt;urls&gt;&lt;/urls&gt;&lt;electronic-resource-num&gt;10.1007/s12144-023-04534-z&lt;/electronic-resource-num&gt;&lt;/record&gt;&lt;/Cite&gt;&lt;Cite&gt;&lt;Author&gt;Sagalajev&lt;/Author&gt;&lt;Year&gt;2023&lt;/Year&gt;&lt;RecNum&gt;155&lt;/RecNum&gt;&lt;record&gt;&lt;rec-number&gt;155&lt;/rec-number&gt;&lt;foreign-keys&gt;&lt;key app="EN" db-id="2ptrtps0adr9vke22dn5tpwzrsfaxtxrfwet" timestamp="1755691586"&gt;155&lt;/key&gt;&lt;/foreign-keys&gt;&lt;ref-type name="Journal Article"&gt;17&lt;/ref-type&gt;&lt;contributors&gt;&lt;authors&gt;&lt;author&gt;Sagalajev, Boriss&lt;/author&gt;&lt;author&gt;Lennartz, Lina&lt;/author&gt;&lt;author&gt;Vieth, Lukas&lt;/author&gt;&lt;author&gt;Gunawan, Cecilia Tasya&lt;/author&gt;&lt;author&gt;Neumaier, Bernd&lt;/author&gt;&lt;author&gt;Drzezga, Alexander&lt;/author&gt;&lt;author&gt;Visser‐Vandewalle, Veerle&lt;/author&gt;&lt;author&gt;Endepols, Heike&lt;/author&gt;&lt;author&gt;Sesia, Thibaut&lt;/author&gt;&lt;/authors&gt;&lt;/contributors&gt;&lt;titles&gt;&lt;title&gt;TgF344-AD Rat Model of Alzheimer’s Disease: Spatial Disorientation and Asymmetry in Hemispheric Neurodegeneration&lt;/title&gt;&lt;/titles&gt;&lt;dates&gt;&lt;year&gt;2023&lt;/year&gt;&lt;/dates&gt;&lt;urls&gt;&lt;/urls&gt;&lt;electronic-resource-num&gt;10.1101/2023.08.14.553199&lt;/electronic-resource-num&gt;&lt;/record&gt;&lt;/Cite&gt;&lt;/EndNote&gt;</w:instrText>
      </w:r>
      <w:r w:rsidR="0084379D" w:rsidRPr="00F71F57">
        <w:rPr>
          <w:rFonts w:asciiTheme="majorBidi" w:hAnsiTheme="majorBidi" w:cstheme="majorBidi"/>
          <w:sz w:val="24"/>
          <w:szCs w:val="24"/>
          <w:lang w:val="en-GB" w:bidi="fa-IR"/>
        </w:rPr>
        <w:fldChar w:fldCharType="separate"/>
      </w:r>
      <w:r w:rsidR="0084379D" w:rsidRPr="00F71F57">
        <w:rPr>
          <w:rFonts w:asciiTheme="majorBidi" w:hAnsiTheme="majorBidi" w:cstheme="majorBidi"/>
          <w:sz w:val="24"/>
          <w:szCs w:val="24"/>
          <w:lang w:val="en-GB" w:bidi="fa-IR"/>
        </w:rPr>
        <w:t>(</w:t>
      </w:r>
      <w:hyperlink w:anchor="_ENREF_144" w:tooltip="López-Higes, 2023 #154" w:history="1">
        <w:r w:rsidR="00DE113E" w:rsidRPr="00F71F57">
          <w:rPr>
            <w:rFonts w:asciiTheme="majorBidi" w:hAnsiTheme="majorBidi" w:cstheme="majorBidi"/>
            <w:sz w:val="24"/>
            <w:szCs w:val="24"/>
            <w:lang w:val="en-GB" w:bidi="fa-IR"/>
          </w:rPr>
          <w:t>López-Higes et al., 2023</w:t>
        </w:r>
      </w:hyperlink>
      <w:r w:rsidR="0084379D" w:rsidRPr="00F71F57">
        <w:rPr>
          <w:rFonts w:asciiTheme="majorBidi" w:hAnsiTheme="majorBidi" w:cstheme="majorBidi"/>
          <w:sz w:val="24"/>
          <w:szCs w:val="24"/>
          <w:lang w:val="en-GB" w:bidi="fa-IR"/>
        </w:rPr>
        <w:t xml:space="preserve">; </w:t>
      </w:r>
      <w:hyperlink w:anchor="_ENREF_209" w:tooltip="Sagalajev, 2023 #155" w:history="1">
        <w:r w:rsidR="00DE113E" w:rsidRPr="00F71F57">
          <w:rPr>
            <w:rFonts w:asciiTheme="majorBidi" w:hAnsiTheme="majorBidi" w:cstheme="majorBidi"/>
            <w:sz w:val="24"/>
            <w:szCs w:val="24"/>
            <w:lang w:val="en-GB" w:bidi="fa-IR"/>
          </w:rPr>
          <w:t>Sagalajev et al., 2023</w:t>
        </w:r>
      </w:hyperlink>
      <w:r w:rsidR="0084379D" w:rsidRPr="00F71F57">
        <w:rPr>
          <w:rFonts w:asciiTheme="majorBidi" w:hAnsiTheme="majorBidi" w:cstheme="majorBidi"/>
          <w:sz w:val="24"/>
          <w:szCs w:val="24"/>
          <w:lang w:val="en-GB" w:bidi="fa-IR"/>
        </w:rPr>
        <w:t>)</w:t>
      </w:r>
      <w:r w:rsidR="0084379D" w:rsidRPr="00F71F57">
        <w:rPr>
          <w:rFonts w:asciiTheme="majorBidi" w:hAnsiTheme="majorBidi" w:cstheme="majorBidi"/>
          <w:sz w:val="24"/>
          <w:szCs w:val="24"/>
          <w:lang w:val="en-GB" w:bidi="fa-IR"/>
        </w:rPr>
        <w:fldChar w:fldCharType="end"/>
      </w:r>
      <w:r w:rsidR="00560487">
        <w:rPr>
          <w:rFonts w:asciiTheme="majorBidi" w:hAnsiTheme="majorBidi" w:cstheme="majorBidi"/>
          <w:sz w:val="24"/>
          <w:szCs w:val="24"/>
          <w:lang w:val="en-GB" w:bidi="fa-IR"/>
        </w:rPr>
        <w:t>.</w:t>
      </w:r>
      <w:r w:rsidR="0084379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It is crucial to address the psychosocial dynamics associated with cognitive decline. Variables such as self-perception of cognitive abilities and social support systems significantly affect how individuals experience memory deficits over time </w:t>
      </w:r>
      <w:r w:rsidR="0084379D" w:rsidRPr="00F71F57">
        <w:rPr>
          <w:rFonts w:asciiTheme="majorBidi" w:hAnsiTheme="majorBidi" w:cstheme="majorBidi"/>
          <w:sz w:val="24"/>
          <w:szCs w:val="24"/>
          <w:lang w:val="en-GB" w:bidi="fa-IR"/>
        </w:rPr>
        <w:fldChar w:fldCharType="begin"/>
      </w:r>
      <w:r w:rsidR="0084379D" w:rsidRPr="00F71F57">
        <w:rPr>
          <w:rFonts w:asciiTheme="majorBidi" w:hAnsiTheme="majorBidi" w:cstheme="majorBidi"/>
          <w:sz w:val="24"/>
          <w:szCs w:val="24"/>
          <w:lang w:val="en-GB" w:bidi="fa-IR"/>
        </w:rPr>
        <w:instrText xml:space="preserve"> ADDIN EN.CITE &lt;EndNote&gt;&lt;Cite&gt;&lt;Author&gt;Xu&lt;/Author&gt;&lt;Year&gt;2019&lt;/Year&gt;&lt;RecNum&gt;156&lt;/RecNum&gt;&lt;DisplayText&gt;(Xu &amp;amp; Wu, 2019)&lt;/DisplayText&gt;&lt;record&gt;&lt;rec-number&gt;156&lt;/rec-number&gt;&lt;foreign-keys&gt;&lt;key app="EN" db-id="2ptrtps0adr9vke22dn5tpwzrsfaxtxrfwet" timestamp="1755691639"&gt;156&lt;/key&gt;&lt;/foreign-keys&gt;&lt;ref-type name="Journal Article"&gt;17&lt;/ref-type&gt;&lt;contributors&gt;&lt;authors&gt;&lt;author&gt;Xu, Hanzhang&lt;/author&gt;&lt;author&gt;Wu, Bei&lt;/author&gt;&lt;/authors&gt;&lt;/contributors&gt;&lt;titles&gt;&lt;title&gt;Social and Psychological Factors and Cognitive Function: Findings From International Surveys&lt;/title&gt;&lt;secondary-title&gt;Innovation in Aging&lt;/secondary-title&gt;&lt;/titles&gt;&lt;periodical&gt;&lt;full-title&gt;Innovation in Aging&lt;/full-title&gt;&lt;/periodical&gt;&lt;pages&gt;S204-S205&lt;/pages&gt;&lt;volume&gt;3&lt;/volume&gt;&lt;number&gt;Supplement_1&lt;/number&gt;&lt;dates&gt;&lt;year&gt;2019&lt;/year&gt;&lt;/dates&gt;&lt;urls&gt;&lt;/urls&gt;&lt;electronic-resource-num&gt;10.1093/geroni/igz038.741&lt;/electronic-resource-num&gt;&lt;/record&gt;&lt;/Cite&gt;&lt;/EndNote&gt;</w:instrText>
      </w:r>
      <w:r w:rsidR="0084379D" w:rsidRPr="00F71F57">
        <w:rPr>
          <w:rFonts w:asciiTheme="majorBidi" w:hAnsiTheme="majorBidi" w:cstheme="majorBidi"/>
          <w:sz w:val="24"/>
          <w:szCs w:val="24"/>
          <w:lang w:val="en-GB" w:bidi="fa-IR"/>
        </w:rPr>
        <w:fldChar w:fldCharType="separate"/>
      </w:r>
      <w:r w:rsidR="0084379D" w:rsidRPr="00F71F57">
        <w:rPr>
          <w:rFonts w:asciiTheme="majorBidi" w:hAnsiTheme="majorBidi" w:cstheme="majorBidi"/>
          <w:sz w:val="24"/>
          <w:szCs w:val="24"/>
          <w:lang w:val="en-GB" w:bidi="fa-IR"/>
        </w:rPr>
        <w:t>(</w:t>
      </w:r>
      <w:hyperlink w:anchor="_ENREF_264" w:tooltip="Xu, 2019 #156" w:history="1">
        <w:r w:rsidR="00DE113E" w:rsidRPr="00F71F57">
          <w:rPr>
            <w:rFonts w:asciiTheme="majorBidi" w:hAnsiTheme="majorBidi" w:cstheme="majorBidi"/>
            <w:sz w:val="24"/>
            <w:szCs w:val="24"/>
            <w:lang w:val="en-GB" w:bidi="fa-IR"/>
          </w:rPr>
          <w:t>Xu &amp; Wu, 2019</w:t>
        </w:r>
      </w:hyperlink>
      <w:r w:rsidR="0084379D" w:rsidRPr="00F71F57">
        <w:rPr>
          <w:rFonts w:asciiTheme="majorBidi" w:hAnsiTheme="majorBidi" w:cstheme="majorBidi"/>
          <w:sz w:val="24"/>
          <w:szCs w:val="24"/>
          <w:lang w:val="en-GB" w:bidi="fa-IR"/>
        </w:rPr>
        <w:t>)</w:t>
      </w:r>
      <w:r w:rsidR="0084379D" w:rsidRPr="00F71F57">
        <w:rPr>
          <w:rFonts w:asciiTheme="majorBidi" w:hAnsiTheme="majorBidi" w:cstheme="majorBidi"/>
          <w:sz w:val="24"/>
          <w:szCs w:val="24"/>
          <w:lang w:val="en-GB" w:bidi="fa-IR"/>
        </w:rPr>
        <w:fldChar w:fldCharType="end"/>
      </w:r>
      <w:r w:rsidR="0084379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Recent advancements in technology have also facilitated the continuous monitoring of cognitive health, allowing those at risk to engage more proactively with preventative measures </w:t>
      </w:r>
      <w:r w:rsidR="0084379D" w:rsidRPr="00F71F57">
        <w:rPr>
          <w:rFonts w:asciiTheme="majorBidi" w:hAnsiTheme="majorBidi" w:cstheme="majorBidi"/>
          <w:sz w:val="24"/>
          <w:szCs w:val="24"/>
          <w:lang w:val="en-GB" w:bidi="fa-IR"/>
        </w:rPr>
        <w:fldChar w:fldCharType="begin"/>
      </w:r>
      <w:r w:rsidR="0084379D" w:rsidRPr="00F71F57">
        <w:rPr>
          <w:rFonts w:asciiTheme="majorBidi" w:hAnsiTheme="majorBidi" w:cstheme="majorBidi"/>
          <w:sz w:val="24"/>
          <w:szCs w:val="24"/>
          <w:lang w:val="en-GB" w:bidi="fa-IR"/>
        </w:rPr>
        <w:instrText xml:space="preserve"> ADDIN EN.CITE &lt;EndNote&gt;&lt;Cite&gt;&lt;Author&gt;Sánchez-Vincitore&lt;/Author&gt;&lt;Year&gt;2023&lt;/Year&gt;&lt;RecNum&gt;157&lt;/RecNum&gt;&lt;DisplayText&gt;(Sánchez-Vincitore et al., 2023)&lt;/DisplayText&gt;&lt;record&gt;&lt;rec-number&gt;157&lt;/rec-number&gt;&lt;foreign-keys&gt;&lt;key app="EN" db-id="2ptrtps0adr9vke22dn5tpwzrsfaxtxrfwet" timestamp="1755691664"&gt;157&lt;/key&gt;&lt;/foreign-keys&gt;&lt;ref-type name="Journal Article"&gt;17&lt;/ref-type&gt;&lt;contributors&gt;&lt;authors&gt;&lt;author&gt;Sánchez-Vincitore, Laura V.&lt;/author&gt;&lt;author&gt;Cubilla-Bonnetier, Daniel&lt;/author&gt;&lt;author&gt;Marte-Santana, Hugo&lt;/author&gt;&lt;author&gt;Duñabeitia, Jon Andoni&lt;/author&gt;&lt;/authors&gt;&lt;/contributors&gt;&lt;titles&gt;&lt;title&gt;Cognitive Decline Monitoring Through a Web-Based Application&lt;/title&gt;&lt;secondary-title&gt;Frontiers in Aging Neuroscience&lt;/secondary-title&gt;&lt;/titles&gt;&lt;periodical&gt;&lt;full-title&gt;Frontiers in Aging Neuroscience&lt;/full-title&gt;&lt;/periodical&gt;&lt;volume&gt;15&lt;/volume&gt;&lt;dates&gt;&lt;year&gt;2023&lt;/year&gt;&lt;/dates&gt;&lt;urls&gt;&lt;/urls&gt;&lt;electronic-resource-num&gt;10.3389/fnagi.2023.1212496&lt;/electronic-resource-num&gt;&lt;/record&gt;&lt;/Cite&gt;&lt;/EndNote&gt;</w:instrText>
      </w:r>
      <w:r w:rsidR="0084379D" w:rsidRPr="00F71F57">
        <w:rPr>
          <w:rFonts w:asciiTheme="majorBidi" w:hAnsiTheme="majorBidi" w:cstheme="majorBidi"/>
          <w:sz w:val="24"/>
          <w:szCs w:val="24"/>
          <w:lang w:val="en-GB" w:bidi="fa-IR"/>
        </w:rPr>
        <w:fldChar w:fldCharType="separate"/>
      </w:r>
      <w:r w:rsidR="0084379D" w:rsidRPr="00F71F57">
        <w:rPr>
          <w:rFonts w:asciiTheme="majorBidi" w:hAnsiTheme="majorBidi" w:cstheme="majorBidi"/>
          <w:sz w:val="24"/>
          <w:szCs w:val="24"/>
          <w:lang w:val="en-GB" w:bidi="fa-IR"/>
        </w:rPr>
        <w:t>(</w:t>
      </w:r>
      <w:hyperlink w:anchor="_ENREF_213" w:tooltip="Sánchez-Vincitore, 2023 #157" w:history="1">
        <w:r w:rsidR="00DE113E" w:rsidRPr="00F71F57">
          <w:rPr>
            <w:rFonts w:asciiTheme="majorBidi" w:hAnsiTheme="majorBidi" w:cstheme="majorBidi"/>
            <w:sz w:val="24"/>
            <w:szCs w:val="24"/>
            <w:lang w:val="en-GB" w:bidi="fa-IR"/>
          </w:rPr>
          <w:t>Sánchez-Vincitore et al., 2023</w:t>
        </w:r>
      </w:hyperlink>
      <w:r w:rsidR="0084379D" w:rsidRPr="00F71F57">
        <w:rPr>
          <w:rFonts w:asciiTheme="majorBidi" w:hAnsiTheme="majorBidi" w:cstheme="majorBidi"/>
          <w:sz w:val="24"/>
          <w:szCs w:val="24"/>
          <w:lang w:val="en-GB" w:bidi="fa-IR"/>
        </w:rPr>
        <w:t>)</w:t>
      </w:r>
      <w:r w:rsidR="0084379D" w:rsidRPr="00F71F57">
        <w:rPr>
          <w:rFonts w:asciiTheme="majorBidi" w:hAnsiTheme="majorBidi" w:cstheme="majorBidi"/>
          <w:sz w:val="24"/>
          <w:szCs w:val="24"/>
          <w:lang w:val="en-GB" w:bidi="fa-IR"/>
        </w:rPr>
        <w:fldChar w:fldCharType="end"/>
      </w:r>
      <w:r w:rsidR="0084379D" w:rsidRPr="00F71F57">
        <w:rPr>
          <w:rFonts w:asciiTheme="majorBidi" w:hAnsiTheme="majorBidi" w:cstheme="majorBidi"/>
          <w:sz w:val="24"/>
          <w:szCs w:val="24"/>
          <w:lang w:val="en-GB" w:bidi="fa-IR"/>
        </w:rPr>
        <w:t xml:space="preserve">. </w:t>
      </w:r>
      <w:r w:rsidR="0048111D" w:rsidRPr="00F71F57">
        <w:rPr>
          <w:rFonts w:asciiTheme="majorBidi" w:hAnsiTheme="majorBidi" w:cstheme="majorBidi"/>
          <w:sz w:val="24"/>
          <w:szCs w:val="24"/>
          <w:lang w:val="en-GB" w:bidi="fa-IR"/>
        </w:rPr>
        <w:t xml:space="preserve"> Furthermore, The Cambridge Neuropsychological Test Automated Battery (CANTAB) Paired Associate Learning (PAL) test is a critical tool in assessing episodic memory and learning capabilities, particularly in the context of (AD). This task evaluates new learning by requiring participants to associate pairs of stimuli, thereby probing recognition and recall functions that are </w:t>
      </w:r>
      <w:r w:rsidR="0048111D" w:rsidRPr="00F71F57">
        <w:rPr>
          <w:rFonts w:asciiTheme="majorBidi" w:hAnsiTheme="majorBidi" w:cstheme="majorBidi"/>
          <w:sz w:val="24"/>
          <w:szCs w:val="24"/>
          <w:lang w:val="en-GB" w:bidi="fa-IR"/>
        </w:rPr>
        <w:lastRenderedPageBreak/>
        <w:t xml:space="preserve">often diminished in AD patients </w:t>
      </w:r>
      <w:r w:rsidR="004C3021" w:rsidRPr="00F71F57">
        <w:rPr>
          <w:rFonts w:asciiTheme="majorBidi" w:hAnsiTheme="majorBidi" w:cstheme="majorBidi"/>
          <w:sz w:val="24"/>
          <w:szCs w:val="24"/>
          <w:lang w:val="en-GB" w:bidi="fa-IR"/>
        </w:rPr>
        <w:fldChar w:fldCharType="begin">
          <w:fldData xml:space="preserve">PEVuZE5vdGU+PENpdGU+PEF1dGhvcj5DYW1wb3PigJBNYWdkYWxlbm88L0F1dGhvcj48WWVhcj4y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</w:fldData>
        </w:fldChar>
      </w:r>
      <w:r w:rsidR="004C3021" w:rsidRPr="00F71F57">
        <w:rPr>
          <w:rFonts w:asciiTheme="majorBidi" w:hAnsiTheme="majorBidi" w:cstheme="majorBidi"/>
          <w:sz w:val="24"/>
          <w:szCs w:val="24"/>
          <w:lang w:val="en-GB" w:bidi="fa-IR"/>
        </w:rPr>
        <w:instrText xml:space="preserve"> ADDIN EN.CITE </w:instrText>
      </w:r>
      <w:r w:rsidR="004C3021" w:rsidRPr="00F71F57">
        <w:rPr>
          <w:rFonts w:asciiTheme="majorBidi" w:hAnsiTheme="majorBidi" w:cstheme="majorBidi"/>
          <w:sz w:val="24"/>
          <w:szCs w:val="24"/>
          <w:lang w:val="en-GB" w:bidi="fa-IR"/>
        </w:rPr>
        <w:fldChar w:fldCharType="begin">
          <w:fldData xml:space="preserve">PEVuZE5vdGU+PENpdGU+PEF1dGhvcj5DYW1wb3PigJBNYWdkYWxlbm88L0F1dGhvcj48WWVhcj4y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</w:fldData>
        </w:fldChar>
      </w:r>
      <w:r w:rsidR="004C3021" w:rsidRPr="00F71F57">
        <w:rPr>
          <w:rFonts w:asciiTheme="majorBidi" w:hAnsiTheme="majorBidi" w:cstheme="majorBidi"/>
          <w:sz w:val="24"/>
          <w:szCs w:val="24"/>
          <w:lang w:val="en-GB" w:bidi="fa-IR"/>
        </w:rPr>
        <w:instrText xml:space="preserve"> ADDIN EN.CITE.DATA </w:instrText>
      </w:r>
      <w:r w:rsidR="004C3021" w:rsidRPr="00F71F57">
        <w:rPr>
          <w:rFonts w:asciiTheme="majorBidi" w:hAnsiTheme="majorBidi" w:cstheme="majorBidi"/>
          <w:sz w:val="24"/>
          <w:szCs w:val="24"/>
          <w:lang w:val="en-GB" w:bidi="fa-IR"/>
        </w:rPr>
      </w:r>
      <w:r w:rsidR="004C3021" w:rsidRPr="00F71F57">
        <w:rPr>
          <w:rFonts w:asciiTheme="majorBidi" w:hAnsiTheme="majorBidi" w:cstheme="majorBidi"/>
          <w:sz w:val="24"/>
          <w:szCs w:val="24"/>
          <w:lang w:val="en-GB" w:bidi="fa-IR"/>
        </w:rPr>
        <w:fldChar w:fldCharType="end"/>
      </w:r>
      <w:r w:rsidR="004C3021" w:rsidRPr="00F71F57">
        <w:rPr>
          <w:rFonts w:asciiTheme="majorBidi" w:hAnsiTheme="majorBidi" w:cstheme="majorBidi"/>
          <w:sz w:val="24"/>
          <w:szCs w:val="24"/>
          <w:lang w:val="en-GB" w:bidi="fa-IR"/>
        </w:rPr>
      </w:r>
      <w:r w:rsidR="004C3021" w:rsidRPr="00F71F57">
        <w:rPr>
          <w:rFonts w:asciiTheme="majorBidi" w:hAnsiTheme="majorBidi" w:cstheme="majorBidi"/>
          <w:sz w:val="24"/>
          <w:szCs w:val="24"/>
          <w:lang w:val="en-GB" w:bidi="fa-IR"/>
        </w:rPr>
        <w:fldChar w:fldCharType="separate"/>
      </w:r>
      <w:r w:rsidR="004C3021" w:rsidRPr="00F71F57">
        <w:rPr>
          <w:rFonts w:asciiTheme="majorBidi" w:hAnsiTheme="majorBidi" w:cstheme="majorBidi"/>
          <w:sz w:val="24"/>
          <w:szCs w:val="24"/>
          <w:lang w:val="en-GB" w:bidi="fa-IR"/>
        </w:rPr>
        <w:t>(</w:t>
      </w:r>
      <w:hyperlink w:anchor="_ENREF_36" w:tooltip="Cacciamani, 2017 #294" w:history="1">
        <w:r w:rsidR="00DE113E" w:rsidRPr="00F71F57">
          <w:rPr>
            <w:rFonts w:asciiTheme="majorBidi" w:hAnsiTheme="majorBidi" w:cstheme="majorBidi"/>
            <w:sz w:val="24"/>
            <w:szCs w:val="24"/>
            <w:lang w:val="en-GB" w:bidi="fa-IR"/>
          </w:rPr>
          <w:t>Cacciamani et al., 2017</w:t>
        </w:r>
      </w:hyperlink>
      <w:r w:rsidR="004C3021" w:rsidRPr="00F71F57">
        <w:rPr>
          <w:rFonts w:asciiTheme="majorBidi" w:hAnsiTheme="majorBidi" w:cstheme="majorBidi"/>
          <w:sz w:val="24"/>
          <w:szCs w:val="24"/>
          <w:lang w:val="en-GB" w:bidi="fa-IR"/>
        </w:rPr>
        <w:t xml:space="preserve">; </w:t>
      </w:r>
      <w:hyperlink w:anchor="_ENREF_38" w:tooltip="Campos‐Magdaleno, 2020 #297" w:history="1">
        <w:r w:rsidR="00DE113E" w:rsidRPr="00F71F57">
          <w:rPr>
            <w:rFonts w:asciiTheme="majorBidi" w:hAnsiTheme="majorBidi" w:cstheme="majorBidi"/>
            <w:sz w:val="24"/>
            <w:szCs w:val="24"/>
            <w:lang w:val="en-GB" w:bidi="fa-IR"/>
          </w:rPr>
          <w:t>Campos‐Magdaleno et al., 2020</w:t>
        </w:r>
      </w:hyperlink>
      <w:r w:rsidR="004C3021" w:rsidRPr="00F71F57">
        <w:rPr>
          <w:rFonts w:asciiTheme="majorBidi" w:hAnsiTheme="majorBidi" w:cstheme="majorBidi"/>
          <w:sz w:val="24"/>
          <w:szCs w:val="24"/>
          <w:lang w:val="en-GB" w:bidi="fa-IR"/>
        </w:rPr>
        <w:t>)</w:t>
      </w:r>
      <w:r w:rsidR="004C3021" w:rsidRPr="00F71F57">
        <w:rPr>
          <w:rFonts w:asciiTheme="majorBidi" w:hAnsiTheme="majorBidi" w:cstheme="majorBidi"/>
          <w:sz w:val="24"/>
          <w:szCs w:val="24"/>
          <w:lang w:val="en-GB" w:bidi="fa-IR"/>
        </w:rPr>
        <w:fldChar w:fldCharType="end"/>
      </w:r>
      <w:r w:rsidR="004C3021" w:rsidRPr="00F71F57">
        <w:rPr>
          <w:rFonts w:asciiTheme="majorBidi" w:hAnsiTheme="majorBidi" w:cstheme="majorBidi"/>
          <w:sz w:val="24"/>
          <w:szCs w:val="24"/>
          <w:lang w:val="en-GB" w:bidi="fa-IR"/>
        </w:rPr>
        <w:t xml:space="preserve">. </w:t>
      </w:r>
      <w:r w:rsidR="0048111D" w:rsidRPr="00F71F57">
        <w:rPr>
          <w:rFonts w:asciiTheme="majorBidi" w:hAnsiTheme="majorBidi" w:cstheme="majorBidi"/>
          <w:sz w:val="24"/>
          <w:szCs w:val="24"/>
          <w:lang w:val="en-GB" w:bidi="fa-IR"/>
        </w:rPr>
        <w:t>Evidence indicates that performance on the CANTAB-PAL can serve as an early predictor of conversion from mild cognitive impairment (MCI) to dementia, underlining its clinical significance</w:t>
      </w:r>
      <w:r w:rsidR="00E53AC6" w:rsidRPr="00F71F57">
        <w:rPr>
          <w:rFonts w:asciiTheme="majorBidi" w:hAnsiTheme="majorBidi" w:cstheme="majorBidi"/>
          <w:sz w:val="24"/>
          <w:szCs w:val="24"/>
          <w:lang w:val="en-GB" w:bidi="fa-IR"/>
        </w:rPr>
        <w:t xml:space="preserve"> </w:t>
      </w:r>
      <w:r w:rsidR="00E53AC6" w:rsidRPr="00F71F57">
        <w:rPr>
          <w:rFonts w:asciiTheme="majorBidi" w:hAnsiTheme="majorBidi" w:cstheme="majorBidi"/>
          <w:sz w:val="24"/>
          <w:szCs w:val="24"/>
          <w:lang w:val="en-GB" w:bidi="fa-IR"/>
        </w:rPr>
        <w:fldChar w:fldCharType="begin"/>
      </w:r>
      <w:r w:rsidR="00E53AC6" w:rsidRPr="00F71F57">
        <w:rPr>
          <w:rFonts w:asciiTheme="majorBidi" w:hAnsiTheme="majorBidi" w:cstheme="majorBidi"/>
          <w:sz w:val="24"/>
          <w:szCs w:val="24"/>
          <w:lang w:val="en-GB" w:bidi="fa-IR"/>
        </w:rPr>
        <w:instrText xml:space="preserve"> ADDIN EN.CITE &lt;EndNote&gt;&lt;Cite&gt;&lt;Author&gt;Campos‐Magdaleno&lt;/Author&gt;&lt;Year&gt;2020&lt;/Year&gt;&lt;RecNum&gt;297&lt;/RecNum&gt;&lt;DisplayText&gt;(Campos‐Magdaleno et al., 2020)&lt;/DisplayText&gt;&lt;record&gt;&lt;rec-number&gt;297&lt;/rec-number&gt;&lt;foreign-keys&gt;&lt;key app="EN" db-id="2ptrtps0adr9vke22dn5tpwzrsfaxtxrfwet" timestamp="1755852022"&gt;297&lt;/key&gt;&lt;/foreign-keys&gt;&lt;ref-type name="Journal Article"&gt;17&lt;/ref-type&gt;&lt;contributors&gt;&lt;authors&gt;&lt;author&gt;Campos‐Magdaleno, María&lt;/author&gt;&lt;author&gt;Leiva, David&lt;/author&gt;&lt;author&gt;Pereiro, Arturo X.&lt;/author&gt;&lt;author&gt;Lojo‐Seoane, Cristina&lt;/author&gt;&lt;author&gt;Mallo, Sabela C.&lt;/author&gt;&lt;author&gt;Facal, David&lt;/author&gt;&lt;author&gt;Juncos‐Rabadán, Onésimo&lt;/author&gt;&lt;/authors&gt;&lt;/contributors&gt;&lt;titles&gt;&lt;title&gt;Changes in Visual Memory in Mild Cognitive Impairment: A Longitudinal Study With CANTAB&lt;/title&gt;&lt;secondary-title&gt;Psychological Medicine&lt;/secondary-title&gt;&lt;/titles&gt;&lt;periodical&gt;&lt;full-title&gt;Psychological Medicine&lt;/full-title&gt;&lt;/periodical&gt;&lt;pages&gt;2465-2475&lt;/pages&gt;&lt;volume&gt;51&lt;/volume&gt;&lt;number&gt;14&lt;/number&gt;&lt;dates&gt;&lt;year&gt;2020&lt;/year&gt;&lt;/dates&gt;&lt;urls&gt;&lt;/urls&gt;&lt;electronic-resource-num&gt;10.1017/s0033291720001142&lt;/electronic-resource-num&gt;&lt;/record&gt;&lt;/Cite&gt;&lt;/EndNote&gt;</w:instrText>
      </w:r>
      <w:r w:rsidR="00E53AC6" w:rsidRPr="00F71F57">
        <w:rPr>
          <w:rFonts w:asciiTheme="majorBidi" w:hAnsiTheme="majorBidi" w:cstheme="majorBidi"/>
          <w:sz w:val="24"/>
          <w:szCs w:val="24"/>
          <w:lang w:val="en-GB" w:bidi="fa-IR"/>
        </w:rPr>
        <w:fldChar w:fldCharType="separate"/>
      </w:r>
      <w:r w:rsidR="00E53AC6" w:rsidRPr="00F71F57">
        <w:rPr>
          <w:rFonts w:asciiTheme="majorBidi" w:hAnsiTheme="majorBidi" w:cstheme="majorBidi"/>
          <w:sz w:val="24"/>
          <w:szCs w:val="24"/>
          <w:lang w:val="en-GB" w:bidi="fa-IR"/>
        </w:rPr>
        <w:t>(</w:t>
      </w:r>
      <w:hyperlink w:anchor="_ENREF_38" w:tooltip="Campos‐Magdaleno, 2020 #297" w:history="1">
        <w:r w:rsidR="00DE113E" w:rsidRPr="00F71F57">
          <w:rPr>
            <w:rFonts w:asciiTheme="majorBidi" w:hAnsiTheme="majorBidi" w:cstheme="majorBidi"/>
            <w:sz w:val="24"/>
            <w:szCs w:val="24"/>
            <w:lang w:val="en-GB" w:bidi="fa-IR"/>
          </w:rPr>
          <w:t>Campos‐Magdaleno et al., 2020</w:t>
        </w:r>
      </w:hyperlink>
      <w:r w:rsidR="00E53AC6" w:rsidRPr="00F71F57">
        <w:rPr>
          <w:rFonts w:asciiTheme="majorBidi" w:hAnsiTheme="majorBidi" w:cstheme="majorBidi"/>
          <w:sz w:val="24"/>
          <w:szCs w:val="24"/>
          <w:lang w:val="en-GB" w:bidi="fa-IR"/>
        </w:rPr>
        <w:t>)</w:t>
      </w:r>
      <w:r w:rsidR="00E53AC6" w:rsidRPr="00F71F57">
        <w:rPr>
          <w:rFonts w:asciiTheme="majorBidi" w:hAnsiTheme="majorBidi" w:cstheme="majorBidi"/>
          <w:sz w:val="24"/>
          <w:szCs w:val="24"/>
          <w:lang w:val="en-GB" w:bidi="fa-IR"/>
        </w:rPr>
        <w:fldChar w:fldCharType="end"/>
      </w:r>
      <w:r w:rsidR="00E53AC6" w:rsidRPr="00F71F57">
        <w:rPr>
          <w:rFonts w:asciiTheme="majorBidi" w:hAnsiTheme="majorBidi" w:cstheme="majorBidi"/>
          <w:sz w:val="24"/>
          <w:szCs w:val="24"/>
          <w:lang w:val="en-GB" w:bidi="fa-IR"/>
        </w:rPr>
        <w:t>.</w:t>
      </w:r>
      <w:r w:rsidR="0048111D" w:rsidRPr="00F71F57">
        <w:rPr>
          <w:rFonts w:asciiTheme="majorBidi" w:hAnsiTheme="majorBidi" w:cstheme="majorBidi"/>
          <w:sz w:val="24"/>
          <w:szCs w:val="24"/>
          <w:lang w:val="en-GB" w:bidi="fa-IR"/>
        </w:rPr>
        <w:t xml:space="preserve"> The</w:t>
      </w:r>
      <w:r w:rsidR="001F409A">
        <w:rPr>
          <w:rFonts w:asciiTheme="majorBidi" w:hAnsiTheme="majorBidi" w:cstheme="majorBidi"/>
          <w:sz w:val="24"/>
          <w:szCs w:val="24"/>
          <w:lang w:val="en-GB" w:bidi="fa-IR"/>
        </w:rPr>
        <w:t xml:space="preserve"> Paired Associate Learning</w:t>
      </w:r>
      <w:r w:rsidR="0048111D" w:rsidRPr="00F71F57">
        <w:rPr>
          <w:rFonts w:asciiTheme="majorBidi" w:hAnsiTheme="majorBidi" w:cstheme="majorBidi"/>
          <w:sz w:val="24"/>
          <w:szCs w:val="24"/>
          <w:lang w:val="en-GB" w:bidi="fa-IR"/>
        </w:rPr>
        <w:t xml:space="preserve"> </w:t>
      </w:r>
      <w:r w:rsidR="001F409A">
        <w:rPr>
          <w:rFonts w:asciiTheme="majorBidi" w:hAnsiTheme="majorBidi" w:cstheme="majorBidi"/>
          <w:sz w:val="24"/>
          <w:szCs w:val="24"/>
          <w:lang w:val="en-GB" w:bidi="fa-IR"/>
        </w:rPr>
        <w:t>(</w:t>
      </w:r>
      <w:r w:rsidR="0048111D" w:rsidRPr="00F71F57">
        <w:rPr>
          <w:rFonts w:asciiTheme="majorBidi" w:hAnsiTheme="majorBidi" w:cstheme="majorBidi"/>
          <w:sz w:val="24"/>
          <w:szCs w:val="24"/>
          <w:lang w:val="en-GB" w:bidi="fa-IR"/>
        </w:rPr>
        <w:t>PAL</w:t>
      </w:r>
      <w:r w:rsidR="001F409A">
        <w:rPr>
          <w:rFonts w:asciiTheme="majorBidi" w:hAnsiTheme="majorBidi" w:cstheme="majorBidi"/>
          <w:sz w:val="24"/>
          <w:szCs w:val="24"/>
          <w:lang w:val="en-GB" w:bidi="fa-IR"/>
        </w:rPr>
        <w:t>)</w:t>
      </w:r>
      <w:r w:rsidR="0048111D" w:rsidRPr="00F71F57">
        <w:rPr>
          <w:rFonts w:asciiTheme="majorBidi" w:hAnsiTheme="majorBidi" w:cstheme="majorBidi"/>
          <w:sz w:val="24"/>
          <w:szCs w:val="24"/>
          <w:lang w:val="en-GB" w:bidi="fa-IR"/>
        </w:rPr>
        <w:t xml:space="preserve"> task specifically targets associative memory, a core component of episodic memory that deteriorates early in AD, with implications for learning and memory consolidation </w:t>
      </w:r>
      <w:r w:rsidR="006476A3" w:rsidRPr="00F71F57">
        <w:rPr>
          <w:rFonts w:asciiTheme="majorBidi" w:hAnsiTheme="majorBidi" w:cstheme="majorBidi"/>
          <w:sz w:val="24"/>
          <w:szCs w:val="24"/>
          <w:lang w:val="en-GB" w:bidi="fa-IR"/>
        </w:rPr>
        <w:fldChar w:fldCharType="begin"/>
      </w:r>
      <w:r w:rsidR="006476A3" w:rsidRPr="00F71F57">
        <w:rPr>
          <w:rFonts w:asciiTheme="majorBidi" w:hAnsiTheme="majorBidi" w:cstheme="majorBidi"/>
          <w:sz w:val="24"/>
          <w:szCs w:val="24"/>
          <w:lang w:val="en-GB" w:bidi="fa-IR"/>
        </w:rPr>
        <w:instrText xml:space="preserve"> ADDIN EN.CITE &lt;EndNote&gt;&lt;Cite&gt;&lt;Author&gt;Chipi&lt;/Author&gt;&lt;Year&gt;2022&lt;/Year&gt;&lt;RecNum&gt;299&lt;/RecNum&gt;&lt;DisplayText&gt;(Chipi et al., 2022)&lt;/DisplayText&gt;&lt;record&gt;&lt;rec-number&gt;299&lt;/rec-number&gt;&lt;foreign-keys&gt;&lt;key app="EN" db-id="2ptrtps0adr9vke22dn5tpwzrsfaxtxrfwet" timestamp="1755852657"&gt;299&lt;/key&gt;&lt;/foreign-keys&gt;&lt;ref-type name="Journal Article"&gt;17&lt;/ref-type&gt;&lt;contributors&gt;&lt;authors&gt;&lt;author&gt;Chipi, Elena&lt;/author&gt;&lt;author&gt;Salvadori, Nicola&lt;/author&gt;&lt;author&gt;Montanucci, Chiara&lt;/author&gt;&lt;author&gt;Toja, Andrea&lt;/author&gt;&lt;author&gt;Siena, Elisa&lt;/author&gt;&lt;author&gt;Paoletti, Federico Paolini&lt;/author&gt;&lt;author&gt;Bellomo, G.&lt;/author&gt;&lt;author&gt;Parnetti, Lucilla&lt;/author&gt;&lt;/authors&gt;&lt;/contributors&gt;&lt;titles&gt;&lt;title&gt;Subtle Cognitive Deficits Assessed by Means of CANTAB in a Cohort of Subjects With CSF AD Profile&lt;/title&gt;&lt;secondary-title&gt;Alzheimer S &amp;amp; Dementia&lt;/secondary-title&gt;&lt;/titles&gt;&lt;periodical&gt;&lt;full-title&gt;Alzheimer S &amp;amp; Dementia&lt;/full-title&gt;&lt;/periodical&gt;&lt;volume&gt;18&lt;/volume&gt;&lt;number&gt;S7&lt;/number&gt;&lt;dates&gt;&lt;year&gt;2022&lt;/year&gt;&lt;/dates&gt;&lt;urls&gt;&lt;/urls&gt;&lt;electronic-resource-num&gt;10.1002/alz.068924&lt;/electronic-resource-num&gt;&lt;/record&gt;&lt;/Cite&gt;&lt;/EndNote&gt;</w:instrText>
      </w:r>
      <w:r w:rsidR="006476A3" w:rsidRPr="00F71F57">
        <w:rPr>
          <w:rFonts w:asciiTheme="majorBidi" w:hAnsiTheme="majorBidi" w:cstheme="majorBidi"/>
          <w:sz w:val="24"/>
          <w:szCs w:val="24"/>
          <w:lang w:val="en-GB" w:bidi="fa-IR"/>
        </w:rPr>
        <w:fldChar w:fldCharType="separate"/>
      </w:r>
      <w:r w:rsidR="006476A3" w:rsidRPr="00F71F57">
        <w:rPr>
          <w:rFonts w:asciiTheme="majorBidi" w:hAnsiTheme="majorBidi" w:cstheme="majorBidi"/>
          <w:sz w:val="24"/>
          <w:szCs w:val="24"/>
          <w:lang w:val="en-GB" w:bidi="fa-IR"/>
        </w:rPr>
        <w:t>(</w:t>
      </w:r>
      <w:hyperlink w:anchor="_ENREF_44" w:tooltip="Chipi, 2022 #299" w:history="1">
        <w:r w:rsidR="00DE113E" w:rsidRPr="00F71F57">
          <w:rPr>
            <w:rFonts w:asciiTheme="majorBidi" w:hAnsiTheme="majorBidi" w:cstheme="majorBidi"/>
            <w:sz w:val="24"/>
            <w:szCs w:val="24"/>
            <w:lang w:val="en-GB" w:bidi="fa-IR"/>
          </w:rPr>
          <w:t>Chipi et al., 2022</w:t>
        </w:r>
      </w:hyperlink>
      <w:r w:rsidR="006476A3" w:rsidRPr="00F71F57">
        <w:rPr>
          <w:rFonts w:asciiTheme="majorBidi" w:hAnsiTheme="majorBidi" w:cstheme="majorBidi"/>
          <w:sz w:val="24"/>
          <w:szCs w:val="24"/>
          <w:lang w:val="en-GB" w:bidi="fa-IR"/>
        </w:rPr>
        <w:t>)</w:t>
      </w:r>
      <w:r w:rsidR="006476A3" w:rsidRPr="00F71F57">
        <w:rPr>
          <w:rFonts w:asciiTheme="majorBidi" w:hAnsiTheme="majorBidi" w:cstheme="majorBidi"/>
          <w:sz w:val="24"/>
          <w:szCs w:val="24"/>
          <w:lang w:val="en-GB" w:bidi="fa-IR"/>
        </w:rPr>
        <w:fldChar w:fldCharType="end"/>
      </w:r>
      <w:r w:rsidR="006476A3" w:rsidRPr="00F71F57">
        <w:rPr>
          <w:rFonts w:asciiTheme="majorBidi" w:hAnsiTheme="majorBidi" w:cstheme="majorBidi"/>
          <w:sz w:val="24"/>
          <w:szCs w:val="24"/>
          <w:lang w:val="en-GB" w:bidi="fa-IR"/>
        </w:rPr>
        <w:t>. Research further</w:t>
      </w:r>
      <w:r w:rsidR="0048111D" w:rsidRPr="00F71F57">
        <w:rPr>
          <w:rFonts w:asciiTheme="majorBidi" w:hAnsiTheme="majorBidi" w:cstheme="majorBidi"/>
          <w:sz w:val="24"/>
          <w:szCs w:val="24"/>
          <w:lang w:val="en-GB" w:bidi="fa-IR"/>
        </w:rPr>
        <w:t xml:space="preserve"> suggests that the challenges posed by the PAL paradigm can sensitively reveal cognitive impairments even before overt clinical symptoms emerge, thus facilitating earlier intervention </w:t>
      </w:r>
      <w:r w:rsidR="00B324CB" w:rsidRPr="00F71F57">
        <w:rPr>
          <w:rFonts w:asciiTheme="majorBidi" w:hAnsiTheme="majorBidi" w:cstheme="majorBidi"/>
          <w:sz w:val="24"/>
          <w:szCs w:val="24"/>
          <w:lang w:val="en-GB" w:bidi="fa-IR"/>
        </w:rPr>
        <w:fldChar w:fldCharType="begin"/>
      </w:r>
      <w:r w:rsidR="00B324CB" w:rsidRPr="00F71F57">
        <w:rPr>
          <w:rFonts w:asciiTheme="majorBidi" w:hAnsiTheme="majorBidi" w:cstheme="majorBidi"/>
          <w:sz w:val="24"/>
          <w:szCs w:val="24"/>
          <w:lang w:val="en-GB" w:bidi="fa-IR"/>
        </w:rPr>
        <w:instrText xml:space="preserve"> ADDIN EN.CITE &lt;EndNote&gt;&lt;Cite&gt;&lt;Author&gt;Jahani&lt;/Author&gt;&lt;Year&gt;2017&lt;/Year&gt;&lt;RecNum&gt;300&lt;/RecNum&gt;&lt;DisplayText&gt;(Jahani et al., 2017)&lt;/DisplayText&gt;&lt;record&gt;&lt;rec-number&gt;300&lt;/rec-number&gt;&lt;foreign-keys&gt;&lt;key app="EN" db-id="2ptrtps0adr9vke22dn5tpwzrsfaxtxrfwet" timestamp="1755853270"&gt;300&lt;/key&gt;&lt;/foreign-keys&gt;&lt;ref-type name="Journal Article"&gt;17&lt;/ref-type&gt;&lt;contributors&gt;&lt;authors&gt;&lt;author&gt;Jahani, Sahar&lt;/author&gt;&lt;author&gt;Fantana, Antoniu L.&lt;/author&gt;&lt;author&gt;Harper, David G.&lt;/author&gt;&lt;author&gt;Ellison, James M.&lt;/author&gt;&lt;author&gt;Boas, David A.&lt;/author&gt;&lt;author&gt;Forester, Brent P.&lt;/author&gt;&lt;author&gt;Yücel, Meryem A.&lt;/author&gt;&lt;/authors&gt;&lt;/contributors&gt;&lt;titles&gt;&lt;title&gt;fNIRS Can Robustly Measure Brain Activity During Memory Encoding and Retrieval in Healthy Subjects&lt;/title&gt;&lt;secondary-title&gt;Scientific Reports&lt;/secondary-title&gt;&lt;/titles&gt;&lt;periodical&gt;&lt;full-title&gt;Scientific Reports&lt;/full-title&gt;&lt;/periodical&gt;&lt;volume&gt;7&lt;/volume&gt;&lt;number&gt;1&lt;/number&gt;&lt;dates&gt;&lt;year&gt;2017&lt;/year&gt;&lt;/dates&gt;&lt;urls&gt;&lt;/urls&gt;&lt;electronic-resource-num&gt;10.1038/s41598-017-09868-w&lt;/electronic-resource-num&gt;&lt;/record&gt;&lt;/Cite&gt;&lt;/EndNote&gt;</w:instrText>
      </w:r>
      <w:r w:rsidR="00B324CB" w:rsidRPr="00F71F57">
        <w:rPr>
          <w:rFonts w:asciiTheme="majorBidi" w:hAnsiTheme="majorBidi" w:cstheme="majorBidi"/>
          <w:sz w:val="24"/>
          <w:szCs w:val="24"/>
          <w:lang w:val="en-GB" w:bidi="fa-IR"/>
        </w:rPr>
        <w:fldChar w:fldCharType="separate"/>
      </w:r>
      <w:r w:rsidR="00B324CB" w:rsidRPr="00F71F57">
        <w:rPr>
          <w:rFonts w:asciiTheme="majorBidi" w:hAnsiTheme="majorBidi" w:cstheme="majorBidi"/>
          <w:sz w:val="24"/>
          <w:szCs w:val="24"/>
          <w:lang w:val="en-GB" w:bidi="fa-IR"/>
        </w:rPr>
        <w:t>(</w:t>
      </w:r>
      <w:hyperlink w:anchor="_ENREF_114" w:tooltip="Jahani, 2017 #300" w:history="1">
        <w:r w:rsidR="00DE113E" w:rsidRPr="00F71F57">
          <w:rPr>
            <w:rFonts w:asciiTheme="majorBidi" w:hAnsiTheme="majorBidi" w:cstheme="majorBidi"/>
            <w:sz w:val="24"/>
            <w:szCs w:val="24"/>
            <w:lang w:val="en-GB" w:bidi="fa-IR"/>
          </w:rPr>
          <w:t>Jahani et al., 2017</w:t>
        </w:r>
      </w:hyperlink>
      <w:r w:rsidR="00B324CB" w:rsidRPr="00F71F57">
        <w:rPr>
          <w:rFonts w:asciiTheme="majorBidi" w:hAnsiTheme="majorBidi" w:cstheme="majorBidi"/>
          <w:sz w:val="24"/>
          <w:szCs w:val="24"/>
          <w:lang w:val="en-GB" w:bidi="fa-IR"/>
        </w:rPr>
        <w:t>)</w:t>
      </w:r>
      <w:r w:rsidR="00B324CB" w:rsidRPr="00F71F57">
        <w:rPr>
          <w:rFonts w:asciiTheme="majorBidi" w:hAnsiTheme="majorBidi" w:cstheme="majorBidi"/>
          <w:sz w:val="24"/>
          <w:szCs w:val="24"/>
          <w:lang w:val="en-GB" w:bidi="fa-IR"/>
        </w:rPr>
        <w:fldChar w:fldCharType="end"/>
      </w:r>
      <w:r w:rsidR="00B324CB" w:rsidRPr="00F71F57">
        <w:rPr>
          <w:lang w:val="en-GB"/>
        </w:rPr>
        <w:t xml:space="preserve"> </w:t>
      </w:r>
      <w:r w:rsidR="00B324CB" w:rsidRPr="00F71F57">
        <w:rPr>
          <w:rFonts w:asciiTheme="majorBidi" w:hAnsiTheme="majorBidi" w:cstheme="majorBidi"/>
          <w:sz w:val="24"/>
          <w:szCs w:val="24"/>
          <w:lang w:val="en-GB" w:bidi="fa-IR"/>
        </w:rPr>
        <w:fldChar w:fldCharType="begin"/>
      </w:r>
      <w:r w:rsidR="00B324CB" w:rsidRPr="00F71F57">
        <w:rPr>
          <w:rFonts w:asciiTheme="majorBidi" w:hAnsiTheme="majorBidi" w:cstheme="majorBidi"/>
          <w:sz w:val="24"/>
          <w:szCs w:val="24"/>
          <w:lang w:val="en-GB" w:bidi="fa-IR"/>
        </w:rPr>
        <w:instrText xml:space="preserve"> ADDIN EN.CITE &lt;EndNote&gt;&lt;Cite&gt;&lt;Author&gt;Quenon&lt;/Author&gt;&lt;Year&gt;2015&lt;/Year&gt;&lt;RecNum&gt;301&lt;/RecNum&gt;&lt;DisplayText&gt;(Quenon et al., 2015)&lt;/DisplayText&gt;&lt;record&gt;&lt;rec-number&gt;301&lt;/rec-number&gt;&lt;foreign-keys&gt;&lt;key app="EN" db-id="2ptrtps0adr9vke22dn5tpwzrsfaxtxrfwet" timestamp="1755853283"&gt;301&lt;/key&gt;&lt;/foreign-keys&gt;&lt;ref-type name="Journal Article"&gt;17&lt;/ref-type&gt;&lt;contributors&gt;&lt;authors&gt;&lt;author&gt;Quenon, Lisa&lt;/author&gt;&lt;author&gt;Xivry, Jean‐Jacques Orban de&lt;/author&gt;&lt;author&gt;Hanseeuw, Bernard&lt;/author&gt;&lt;author&gt;Ivanoiu, Adrian&lt;/author&gt;&lt;/authors&gt;&lt;/contributors&gt;&lt;titles&gt;&lt;title&gt;Investigating Associative Learning Effects in Patients With Prodromal Alzheimer’s Disease Using the Temporal Context Model&lt;/title&gt;&lt;secondary-title&gt;Journal of the International Neuropsychological Society&lt;/secondary-title&gt;&lt;/titles&gt;&lt;periodical&gt;&lt;full-title&gt;Journal of the International Neuropsychological Society&lt;/full-title&gt;&lt;/periodical&gt;&lt;pages&gt;699-708&lt;/pages&gt;&lt;volume&gt;21&lt;/volume&gt;&lt;number&gt;9&lt;/number&gt;&lt;dates&gt;&lt;year&gt;2015&lt;/year&gt;&lt;/dates&gt;&lt;urls&gt;&lt;/urls&gt;&lt;electronic-resource-num&gt;10.1017/s1355617715000855&lt;/electronic-resource-num&gt;&lt;/record&gt;&lt;/Cite&gt;&lt;/EndNote&gt;</w:instrText>
      </w:r>
      <w:r w:rsidR="00B324CB" w:rsidRPr="00F71F57">
        <w:rPr>
          <w:rFonts w:asciiTheme="majorBidi" w:hAnsiTheme="majorBidi" w:cstheme="majorBidi"/>
          <w:sz w:val="24"/>
          <w:szCs w:val="24"/>
          <w:lang w:val="en-GB" w:bidi="fa-IR"/>
        </w:rPr>
        <w:fldChar w:fldCharType="separate"/>
      </w:r>
      <w:r w:rsidR="00B324CB" w:rsidRPr="00F71F57">
        <w:rPr>
          <w:rFonts w:asciiTheme="majorBidi" w:hAnsiTheme="majorBidi" w:cstheme="majorBidi"/>
          <w:sz w:val="24"/>
          <w:szCs w:val="24"/>
          <w:lang w:val="en-GB" w:bidi="fa-IR"/>
        </w:rPr>
        <w:t>(</w:t>
      </w:r>
      <w:hyperlink w:anchor="_ENREF_193" w:tooltip="Quenon, 2015 #301" w:history="1">
        <w:r w:rsidR="00DE113E" w:rsidRPr="00F71F57">
          <w:rPr>
            <w:rFonts w:asciiTheme="majorBidi" w:hAnsiTheme="majorBidi" w:cstheme="majorBidi"/>
            <w:sz w:val="24"/>
            <w:szCs w:val="24"/>
            <w:lang w:val="en-GB" w:bidi="fa-IR"/>
          </w:rPr>
          <w:t>Quenon et al., 2015</w:t>
        </w:r>
      </w:hyperlink>
      <w:r w:rsidR="00B324CB" w:rsidRPr="00F71F57">
        <w:rPr>
          <w:rFonts w:asciiTheme="majorBidi" w:hAnsiTheme="majorBidi" w:cstheme="majorBidi"/>
          <w:sz w:val="24"/>
          <w:szCs w:val="24"/>
          <w:lang w:val="en-GB" w:bidi="fa-IR"/>
        </w:rPr>
        <w:t>)</w:t>
      </w:r>
      <w:r w:rsidR="00B324CB" w:rsidRPr="00F71F57">
        <w:rPr>
          <w:rFonts w:asciiTheme="majorBidi" w:hAnsiTheme="majorBidi" w:cstheme="majorBidi"/>
          <w:sz w:val="24"/>
          <w:szCs w:val="24"/>
          <w:lang w:val="en-GB" w:bidi="fa-IR"/>
        </w:rPr>
        <w:fldChar w:fldCharType="end"/>
      </w:r>
      <w:r w:rsidR="0048111D" w:rsidRPr="00F71F57">
        <w:rPr>
          <w:rFonts w:asciiTheme="majorBidi" w:hAnsiTheme="majorBidi" w:cstheme="majorBidi"/>
          <w:sz w:val="24"/>
          <w:szCs w:val="24"/>
          <w:lang w:val="en-GB" w:bidi="fa-IR"/>
        </w:rPr>
        <w:t xml:space="preserve">. </w:t>
      </w:r>
      <w:r w:rsidR="00250477" w:rsidRPr="00F71F57">
        <w:rPr>
          <w:rFonts w:asciiTheme="majorBidi" w:hAnsiTheme="majorBidi" w:cstheme="majorBidi"/>
          <w:sz w:val="24"/>
          <w:szCs w:val="24"/>
          <w:lang w:val="en-GB" w:bidi="fa-IR"/>
        </w:rPr>
        <w:t xml:space="preserve">Episodic and working memory deficits are crucial indicators of neurodegeneration, and rodent models serve as valuable platforms for studying these cognitive impairments. Behavioral paradigms such as the Morris Water Maze (MWM), Novel Object Recognition (NOR), and touchscreen-based (PAL) offer insights into the underlying mechanisms of memory deficits, their assessment, and their translational relevance to human cognitive testing. The MWM is a widely utilized paradigm designed to assess spatial learning and memory capabilities in rodents. This task requires animals to navigate a pool of water to find a hidden platform using spatial cues. Numerous studies have demonstrated its sensitivity to hippocampal function—lesions or dysfunction in this region result in marked impairments in task performance, such as extended latency to find the platform </w:t>
      </w:r>
      <w:r w:rsidR="00A7298A" w:rsidRPr="00F71F57">
        <w:rPr>
          <w:rFonts w:asciiTheme="majorBidi" w:hAnsiTheme="majorBidi" w:cstheme="majorBidi"/>
          <w:sz w:val="24"/>
          <w:szCs w:val="24"/>
          <w:lang w:val="en-GB" w:bidi="fa-IR"/>
        </w:rPr>
        <w:fldChar w:fldCharType="begin">
          <w:fldData xml:space="preserve">PEVuZE5vdGU+PENpdGU+PEF1dGhvcj5TaGVwaGVyZDwvQXV0aG9yPjxZZWFyPjIwMjE8L1llYXI+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</w:fldData>
        </w:fldChar>
      </w:r>
      <w:r w:rsidR="009A108F" w:rsidRPr="00F71F57">
        <w:rPr>
          <w:rFonts w:asciiTheme="majorBidi" w:hAnsiTheme="majorBidi" w:cstheme="majorBidi"/>
          <w:sz w:val="24"/>
          <w:szCs w:val="24"/>
          <w:lang w:val="en-GB" w:bidi="fa-IR"/>
        </w:rPr>
        <w:instrText xml:space="preserve"> ADDIN EN.CITE </w:instrText>
      </w:r>
      <w:r w:rsidR="009A108F" w:rsidRPr="00F71F57">
        <w:rPr>
          <w:rFonts w:asciiTheme="majorBidi" w:hAnsiTheme="majorBidi" w:cstheme="majorBidi"/>
          <w:sz w:val="24"/>
          <w:szCs w:val="24"/>
          <w:lang w:val="en-GB" w:bidi="fa-IR"/>
        </w:rPr>
        <w:fldChar w:fldCharType="begin">
          <w:fldData xml:space="preserve">PEVuZE5vdGU+PENpdGU+PEF1dGhvcj5TaGVwaGVyZDwvQXV0aG9yPjxZZWFyPjIwMjE8L1llYXI+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</w:fldData>
        </w:fldChar>
      </w:r>
      <w:r w:rsidR="009A108F" w:rsidRPr="00F71F57">
        <w:rPr>
          <w:rFonts w:asciiTheme="majorBidi" w:hAnsiTheme="majorBidi" w:cstheme="majorBidi"/>
          <w:sz w:val="24"/>
          <w:szCs w:val="24"/>
          <w:lang w:val="en-GB" w:bidi="fa-IR"/>
        </w:rPr>
        <w:instrText xml:space="preserve"> ADDIN EN.CITE.DATA </w:instrText>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end"/>
      </w:r>
      <w:r w:rsidR="00A7298A" w:rsidRPr="00F71F57">
        <w:rPr>
          <w:rFonts w:asciiTheme="majorBidi" w:hAnsiTheme="majorBidi" w:cstheme="majorBidi"/>
          <w:sz w:val="24"/>
          <w:szCs w:val="24"/>
          <w:lang w:val="en-GB" w:bidi="fa-IR"/>
        </w:rPr>
      </w:r>
      <w:r w:rsidR="00A7298A" w:rsidRPr="00F71F57">
        <w:rPr>
          <w:rFonts w:asciiTheme="majorBidi" w:hAnsiTheme="majorBidi" w:cstheme="majorBidi"/>
          <w:sz w:val="24"/>
          <w:szCs w:val="24"/>
          <w:lang w:val="en-GB" w:bidi="fa-IR"/>
        </w:rPr>
        <w:fldChar w:fldCharType="separate"/>
      </w:r>
      <w:r w:rsidR="009A108F" w:rsidRPr="00F71F57">
        <w:rPr>
          <w:rFonts w:asciiTheme="majorBidi" w:hAnsiTheme="majorBidi" w:cstheme="majorBidi"/>
          <w:sz w:val="24"/>
          <w:szCs w:val="24"/>
          <w:lang w:val="en-GB" w:bidi="fa-IR"/>
        </w:rPr>
        <w:t>(</w:t>
      </w:r>
      <w:hyperlink w:anchor="_ENREF_211" w:tooltip="Saifullah, 2020 #257" w:history="1">
        <w:r w:rsidR="00DE113E" w:rsidRPr="00F71F57">
          <w:rPr>
            <w:rFonts w:asciiTheme="majorBidi" w:hAnsiTheme="majorBidi" w:cstheme="majorBidi"/>
            <w:sz w:val="24"/>
            <w:szCs w:val="24"/>
            <w:lang w:val="en-GB" w:bidi="fa-IR"/>
          </w:rPr>
          <w:t>Saifullah et al., 2020</w:t>
        </w:r>
      </w:hyperlink>
      <w:r w:rsidR="009A108F" w:rsidRPr="00F71F57">
        <w:rPr>
          <w:rFonts w:asciiTheme="majorBidi" w:hAnsiTheme="majorBidi" w:cstheme="majorBidi"/>
          <w:sz w:val="24"/>
          <w:szCs w:val="24"/>
          <w:lang w:val="en-GB" w:bidi="fa-IR"/>
        </w:rPr>
        <w:t xml:space="preserve">; </w:t>
      </w:r>
      <w:hyperlink w:anchor="_ENREF_223" w:tooltip="Shepherd, 2021 #250" w:history="1">
        <w:r w:rsidR="00DE113E" w:rsidRPr="00F71F57">
          <w:rPr>
            <w:rFonts w:asciiTheme="majorBidi" w:hAnsiTheme="majorBidi" w:cstheme="majorBidi"/>
            <w:sz w:val="24"/>
            <w:szCs w:val="24"/>
            <w:lang w:val="en-GB" w:bidi="fa-IR"/>
          </w:rPr>
          <w:t>Shepherd, Zhang, et al., 2021</w:t>
        </w:r>
      </w:hyperlink>
      <w:r w:rsidR="009A108F" w:rsidRPr="00F71F57">
        <w:rPr>
          <w:rFonts w:asciiTheme="majorBidi" w:hAnsiTheme="majorBidi" w:cstheme="majorBidi"/>
          <w:sz w:val="24"/>
          <w:szCs w:val="24"/>
          <w:lang w:val="en-GB" w:bidi="fa-IR"/>
        </w:rPr>
        <w:t>)</w:t>
      </w:r>
      <w:r w:rsidR="00A7298A" w:rsidRPr="00F71F57">
        <w:rPr>
          <w:rFonts w:asciiTheme="majorBidi" w:hAnsiTheme="majorBidi" w:cstheme="majorBidi"/>
          <w:sz w:val="24"/>
          <w:szCs w:val="24"/>
          <w:lang w:val="en-GB" w:bidi="fa-IR"/>
        </w:rPr>
        <w:fldChar w:fldCharType="end"/>
      </w:r>
      <w:r w:rsidR="00A7298A" w:rsidRPr="00F71F57">
        <w:rPr>
          <w:rFonts w:asciiTheme="majorBidi" w:hAnsiTheme="majorBidi" w:cstheme="majorBidi"/>
          <w:sz w:val="24"/>
          <w:szCs w:val="24"/>
          <w:rtl/>
          <w:lang w:val="en-GB" w:bidi="fa-IR"/>
        </w:rPr>
        <w:t>.</w:t>
      </w:r>
      <w:r w:rsidR="00250477" w:rsidRPr="00F71F57">
        <w:rPr>
          <w:rFonts w:asciiTheme="majorBidi" w:hAnsiTheme="majorBidi" w:cstheme="majorBidi"/>
          <w:sz w:val="24"/>
          <w:szCs w:val="24"/>
          <w:lang w:val="en-GB" w:bidi="fa-IR"/>
        </w:rPr>
        <w:t xml:space="preserve"> However, while the MWM effectively evaluates spatial memory, it poses several limitations. Notably, exposure to stress during the test can influence performance, as evidence indicates that acute restraint stress impairs memory in rodents </w:t>
      </w:r>
      <w:r w:rsidR="00A7298A" w:rsidRPr="00F71F57">
        <w:rPr>
          <w:rFonts w:asciiTheme="majorBidi" w:hAnsiTheme="majorBidi" w:cstheme="majorBidi"/>
          <w:sz w:val="24"/>
          <w:szCs w:val="24"/>
          <w:lang w:val="en-GB" w:bidi="fa-IR"/>
        </w:rPr>
        <w:fldChar w:fldCharType="begin"/>
      </w:r>
      <w:r w:rsidR="00A7298A" w:rsidRPr="00F71F57">
        <w:rPr>
          <w:rFonts w:asciiTheme="majorBidi" w:hAnsiTheme="majorBidi" w:cstheme="majorBidi"/>
          <w:sz w:val="24"/>
          <w:szCs w:val="24"/>
          <w:lang w:val="en-GB" w:bidi="fa-IR"/>
        </w:rPr>
        <w:instrText xml:space="preserve"> ADDIN EN.CITE &lt;EndNote&gt;&lt;Cite&gt;&lt;Author&gt;McGonigle&lt;/Author&gt;&lt;Year&gt;2022&lt;/Year&gt;&lt;RecNum&gt;252&lt;/RecNum&gt;&lt;DisplayText&gt;(McGonigle et al., 2022)&lt;/DisplayText&gt;&lt;record&gt;&lt;rec-number&gt;252&lt;/rec-number&gt;&lt;foreign-keys&gt;&lt;key app="EN" db-id="2ptrtps0adr9vke22dn5tpwzrsfaxtxrfwet" timestamp="1755799497"&gt;252&lt;/key&gt;&lt;/foreign-keys&gt;&lt;ref-type name="Journal Article"&gt;17&lt;/ref-type&gt;&lt;contributors&gt;&lt;authors&gt;&lt;author&gt;McGonigle, Colleen E.&lt;/author&gt;&lt;author&gt;Lapish, Christopher C.&lt;/author&gt;&lt;author&gt;Logrip, Marian L.&lt;/author&gt;&lt;/authors&gt;&lt;/contributors&gt;&lt;titles&gt;&lt;title&gt;Male and Female Impairments in Odor Span Are Observed in a Rat Model of PTSD&lt;/title&gt;&lt;secondary-title&gt;Learning &amp;amp; Memory&lt;/secondary-title&gt;&lt;/titles&gt;&lt;periodical&gt;&lt;full-title&gt;Learning &amp;amp; Memory&lt;/full-title&gt;&lt;/periodical&gt;&lt;pages&gt;1-11&lt;/pages&gt;&lt;volume&gt;30&lt;/volume&gt;&lt;number&gt;1&lt;/number&gt;&lt;dates&gt;&lt;year&gt;2022&lt;/year&gt;&lt;/dates&gt;&lt;urls&gt;&lt;/urls&gt;&lt;electronic-resource-num&gt;10.1101/lm.053620.122&lt;/electronic-resource-num&gt;&lt;/record&gt;&lt;/Cite&gt;&lt;/EndNote&gt;</w:instrText>
      </w:r>
      <w:r w:rsidR="00A7298A" w:rsidRPr="00F71F57">
        <w:rPr>
          <w:rFonts w:asciiTheme="majorBidi" w:hAnsiTheme="majorBidi" w:cstheme="majorBidi"/>
          <w:sz w:val="24"/>
          <w:szCs w:val="24"/>
          <w:lang w:val="en-GB" w:bidi="fa-IR"/>
        </w:rPr>
        <w:fldChar w:fldCharType="separate"/>
      </w:r>
      <w:r w:rsidR="00A7298A" w:rsidRPr="00F71F57">
        <w:rPr>
          <w:rFonts w:asciiTheme="majorBidi" w:hAnsiTheme="majorBidi" w:cstheme="majorBidi"/>
          <w:sz w:val="24"/>
          <w:szCs w:val="24"/>
          <w:lang w:val="en-GB" w:bidi="fa-IR"/>
        </w:rPr>
        <w:t>(</w:t>
      </w:r>
      <w:hyperlink w:anchor="_ENREF_154" w:tooltip="McGonigle, 2022 #252" w:history="1">
        <w:r w:rsidR="00DE113E" w:rsidRPr="00F71F57">
          <w:rPr>
            <w:rFonts w:asciiTheme="majorBidi" w:hAnsiTheme="majorBidi" w:cstheme="majorBidi"/>
            <w:sz w:val="24"/>
            <w:szCs w:val="24"/>
            <w:lang w:val="en-GB" w:bidi="fa-IR"/>
          </w:rPr>
          <w:t>McGonigle et al., 2022</w:t>
        </w:r>
      </w:hyperlink>
      <w:r w:rsidR="00A7298A" w:rsidRPr="00F71F57">
        <w:rPr>
          <w:rFonts w:asciiTheme="majorBidi" w:hAnsiTheme="majorBidi" w:cstheme="majorBidi"/>
          <w:sz w:val="24"/>
          <w:szCs w:val="24"/>
          <w:lang w:val="en-GB" w:bidi="fa-IR"/>
        </w:rPr>
        <w:t>)</w:t>
      </w:r>
      <w:r w:rsidR="00A7298A" w:rsidRPr="00F71F57">
        <w:rPr>
          <w:rFonts w:asciiTheme="majorBidi" w:hAnsiTheme="majorBidi" w:cstheme="majorBidi"/>
          <w:sz w:val="24"/>
          <w:szCs w:val="24"/>
          <w:lang w:val="en-GB" w:bidi="fa-IR"/>
        </w:rPr>
        <w:fldChar w:fldCharType="end"/>
      </w:r>
      <w:r w:rsidR="00A7298A" w:rsidRPr="00F71F57">
        <w:rPr>
          <w:rFonts w:asciiTheme="majorBidi" w:hAnsiTheme="majorBidi" w:cstheme="majorBidi"/>
          <w:sz w:val="24"/>
          <w:szCs w:val="24"/>
          <w:rtl/>
          <w:lang w:val="en-GB" w:bidi="fa-IR"/>
        </w:rPr>
        <w:t>.</w:t>
      </w:r>
      <w:r w:rsidR="00644776" w:rsidRPr="00F71F57">
        <w:rPr>
          <w:rFonts w:asciiTheme="majorBidi" w:hAnsiTheme="majorBidi" w:cstheme="majorBidi"/>
          <w:sz w:val="24"/>
          <w:szCs w:val="24"/>
          <w:lang w:val="en-GB" w:bidi="fa-IR"/>
        </w:rPr>
        <w:t xml:space="preserve"> </w:t>
      </w:r>
      <w:r w:rsidR="00250477" w:rsidRPr="00F71F57">
        <w:rPr>
          <w:rFonts w:asciiTheme="majorBidi" w:hAnsiTheme="majorBidi" w:cstheme="majorBidi"/>
          <w:sz w:val="24"/>
          <w:szCs w:val="24"/>
          <w:lang w:val="en-GB" w:bidi="fa-IR"/>
        </w:rPr>
        <w:t xml:space="preserve">The NOR task serves as an alternative assessment for memory, particularly focusing on recognition memory. In this paradigm, rodents are presented with a familiar and a novel object, and their preference is gauged by time spent </w:t>
      </w:r>
      <w:r w:rsidR="00250477" w:rsidRPr="00F71F57">
        <w:rPr>
          <w:rFonts w:asciiTheme="majorBidi" w:hAnsiTheme="majorBidi" w:cstheme="majorBidi"/>
          <w:sz w:val="24"/>
          <w:szCs w:val="24"/>
          <w:lang w:val="en-GB" w:bidi="fa-IR"/>
        </w:rPr>
        <w:lastRenderedPageBreak/>
        <w:t xml:space="preserve">exploring each one. The NOR task is beneficial due to its ecological validity, resembling natural exploratory behavior, and it has been shown to correlate well with hippocampal functioning </w:t>
      </w:r>
      <w:r w:rsidR="00644776" w:rsidRPr="00F71F57">
        <w:rPr>
          <w:rFonts w:asciiTheme="majorBidi" w:hAnsiTheme="majorBidi" w:cstheme="majorBidi"/>
          <w:sz w:val="24"/>
          <w:szCs w:val="24"/>
          <w:lang w:val="en-GB" w:bidi="fa-IR"/>
        </w:rPr>
        <w:fldChar w:fldCharType="begin"/>
      </w:r>
      <w:r w:rsidR="00644776" w:rsidRPr="00F71F57">
        <w:rPr>
          <w:rFonts w:asciiTheme="majorBidi" w:hAnsiTheme="majorBidi" w:cstheme="majorBidi"/>
          <w:sz w:val="24"/>
          <w:szCs w:val="24"/>
          <w:lang w:val="en-GB" w:bidi="fa-IR"/>
        </w:rPr>
        <w:instrText xml:space="preserve"> ADDIN EN.CITE &lt;EndNote&gt;&lt;Cite&gt;&lt;Author&gt;Broeck&lt;/Author&gt;&lt;Year&gt;2020&lt;/Year&gt;&lt;RecNum&gt;253&lt;/RecNum&gt;&lt;DisplayText&gt;(Broeck et al., 2020; Subbanna &amp;amp; Basavarajappa, 2014)&lt;/DisplayText&gt;&lt;record&gt;&lt;rec-number&gt;253&lt;/rec-number&gt;&lt;foreign-keys&gt;&lt;key app="EN" db-id="2ptrtps0adr9vke22dn5tpwzrsfaxtxrfwet" timestamp="1755799594"&gt;253&lt;/key&gt;&lt;/foreign-keys&gt;&lt;ref-type name="Journal Article"&gt;17&lt;/ref-type&gt;&lt;contributors&gt;&lt;authors&gt;&lt;author&gt;Broeck, Lore Van den&lt;/author&gt;&lt;author&gt;Sierksma, Annerieke&lt;/author&gt;&lt;author&gt;Hansquine, Pierre&lt;/author&gt;&lt;author&gt;Thonnard, David&lt;/author&gt;&lt;author&gt;Callaerts‐Vegh, Zsuzsanna&lt;/author&gt;&lt;author&gt;D’Hooge, Rudi&lt;/author&gt;&lt;/authors&gt;&lt;/contributors&gt;&lt;titles&gt;&lt;title&gt;Comparison Between Touchscreen Operant Chambers and Water Maze to Detect Early Prefrontal Dysfunction in Mice&lt;/title&gt;&lt;secondary-title&gt;Genes Brain &amp;amp; Behavior&lt;/secondary-title&gt;&lt;/titles&gt;&lt;periodical&gt;&lt;full-title&gt;Genes Brain &amp;amp; Behavior&lt;/full-title&gt;&lt;/periodical&gt;&lt;volume&gt;20&lt;/volume&gt;&lt;number&gt;1&lt;/number&gt;&lt;dates&gt;&lt;year&gt;2020&lt;/year&gt;&lt;/dates&gt;&lt;urls&gt;&lt;/urls&gt;&lt;electronic-resource-num&gt;10.1111/gbb.12695&lt;/electronic-resource-num&gt;&lt;/record&gt;&lt;/Cite&gt;&lt;Cite&gt;&lt;Author&gt;Subbanna&lt;/Author&gt;&lt;Year&gt;2014&lt;/Year&gt;&lt;RecNum&gt;254&lt;/RecNum&gt;&lt;record&gt;&lt;rec-number&gt;254&lt;/rec-number&gt;&lt;foreign-keys&gt;&lt;key app="EN" db-id="2ptrtps0adr9vke22dn5tpwzrsfaxtxrfwet" timestamp="1755799609"&gt;254&lt;/key&gt;&lt;/foreign-keys&gt;&lt;ref-type name="Journal Article"&gt;17&lt;/ref-type&gt;&lt;contributors&gt;&lt;authors&gt;&lt;author&gt;Subbanna, Shivakumar&lt;/author&gt;&lt;author&gt;Basavarajappa, Balapal S.&lt;/author&gt;&lt;/authors&gt;&lt;/contributors&gt;&lt;titles&gt;&lt;title&gt;Pre-Administration of G9a/GLP Inhibitor During Synaptogenesis Prevents Postnatal Ethanol-Induced LTP Deficits and Neurobehavioral Abnormalities in Adult Mice&lt;/title&gt;&lt;secondary-title&gt;Experimental Neurology&lt;/secondary-title&gt;&lt;/titles&gt;&lt;periodical&gt;&lt;full-title&gt;Experimental Neurology&lt;/full-title&gt;&lt;/periodical&gt;&lt;pages&gt;34-43&lt;/pages&gt;&lt;volume&gt;261&lt;/volume&gt;&lt;dates&gt;&lt;year&gt;2014&lt;/year&gt;&lt;/dates&gt;&lt;urls&gt;&lt;/urls&gt;&lt;electronic-resource-num&gt;10.1016/j.expneurol.2014.07.003&lt;/electronic-resource-num&gt;&lt;/record&gt;&lt;/Cite&gt;&lt;/EndNote&gt;</w:instrText>
      </w:r>
      <w:r w:rsidR="00644776" w:rsidRPr="00F71F57">
        <w:rPr>
          <w:rFonts w:asciiTheme="majorBidi" w:hAnsiTheme="majorBidi" w:cstheme="majorBidi"/>
          <w:sz w:val="24"/>
          <w:szCs w:val="24"/>
          <w:lang w:val="en-GB" w:bidi="fa-IR"/>
        </w:rPr>
        <w:fldChar w:fldCharType="separate"/>
      </w:r>
      <w:r w:rsidR="00644776" w:rsidRPr="00F71F57">
        <w:rPr>
          <w:rFonts w:asciiTheme="majorBidi" w:hAnsiTheme="majorBidi" w:cstheme="majorBidi"/>
          <w:sz w:val="24"/>
          <w:szCs w:val="24"/>
          <w:lang w:val="en-GB" w:bidi="fa-IR"/>
        </w:rPr>
        <w:t>(</w:t>
      </w:r>
      <w:hyperlink w:anchor="_ENREF_30" w:tooltip="Broeck, 2020 #253" w:history="1">
        <w:r w:rsidR="00DE113E" w:rsidRPr="00F71F57">
          <w:rPr>
            <w:rFonts w:asciiTheme="majorBidi" w:hAnsiTheme="majorBidi" w:cstheme="majorBidi"/>
            <w:sz w:val="24"/>
            <w:szCs w:val="24"/>
            <w:lang w:val="en-GB" w:bidi="fa-IR"/>
          </w:rPr>
          <w:t>Broeck et al., 2020</w:t>
        </w:r>
      </w:hyperlink>
      <w:r w:rsidR="00644776" w:rsidRPr="00F71F57">
        <w:rPr>
          <w:rFonts w:asciiTheme="majorBidi" w:hAnsiTheme="majorBidi" w:cstheme="majorBidi"/>
          <w:sz w:val="24"/>
          <w:szCs w:val="24"/>
          <w:lang w:val="en-GB" w:bidi="fa-IR"/>
        </w:rPr>
        <w:t xml:space="preserve">; </w:t>
      </w:r>
      <w:hyperlink w:anchor="_ENREF_230" w:tooltip="Subbanna, 2014 #254" w:history="1">
        <w:r w:rsidR="00DE113E" w:rsidRPr="00F71F57">
          <w:rPr>
            <w:rFonts w:asciiTheme="majorBidi" w:hAnsiTheme="majorBidi" w:cstheme="majorBidi"/>
            <w:sz w:val="24"/>
            <w:szCs w:val="24"/>
            <w:lang w:val="en-GB" w:bidi="fa-IR"/>
          </w:rPr>
          <w:t>Subbanna &amp; Basavarajappa, 2014</w:t>
        </w:r>
      </w:hyperlink>
      <w:r w:rsidR="00644776" w:rsidRPr="00F71F57">
        <w:rPr>
          <w:rFonts w:asciiTheme="majorBidi" w:hAnsiTheme="majorBidi" w:cstheme="majorBidi"/>
          <w:sz w:val="24"/>
          <w:szCs w:val="24"/>
          <w:lang w:val="en-GB" w:bidi="fa-IR"/>
        </w:rPr>
        <w:t>)</w:t>
      </w:r>
      <w:r w:rsidR="00644776" w:rsidRPr="00F71F57">
        <w:rPr>
          <w:rFonts w:asciiTheme="majorBidi" w:hAnsiTheme="majorBidi" w:cstheme="majorBidi"/>
          <w:sz w:val="24"/>
          <w:szCs w:val="24"/>
          <w:lang w:val="en-GB" w:bidi="fa-IR"/>
        </w:rPr>
        <w:fldChar w:fldCharType="end"/>
      </w:r>
      <w:r w:rsidR="00644776" w:rsidRPr="00F71F57">
        <w:rPr>
          <w:rFonts w:asciiTheme="majorBidi" w:hAnsiTheme="majorBidi" w:cstheme="majorBidi"/>
          <w:sz w:val="24"/>
          <w:szCs w:val="24"/>
          <w:lang w:val="en-GB" w:bidi="fa-IR"/>
        </w:rPr>
        <w:t>.</w:t>
      </w:r>
      <w:r w:rsidR="00250477" w:rsidRPr="00F71F57">
        <w:rPr>
          <w:rFonts w:asciiTheme="majorBidi" w:hAnsiTheme="majorBidi" w:cstheme="majorBidi"/>
          <w:sz w:val="24"/>
          <w:szCs w:val="24"/>
          <w:lang w:val="en-GB" w:bidi="fa-IR"/>
        </w:rPr>
        <w:t xml:space="preserve"> Nevertheless, the NOR paradigm is not without drawbacks; behavior may be affected by anxiety or arousal levels, potentially confounding results, as rodents may show reduced exploration due to heightened stress levels, complicating the assessment of memory itself </w:t>
      </w:r>
      <w:r w:rsidR="00644776" w:rsidRPr="00F71F57">
        <w:rPr>
          <w:rFonts w:asciiTheme="majorBidi" w:hAnsiTheme="majorBidi" w:cstheme="majorBidi"/>
          <w:sz w:val="24"/>
          <w:szCs w:val="24"/>
          <w:lang w:val="en-GB" w:bidi="fa-IR"/>
        </w:rPr>
        <w:fldChar w:fldCharType="begin"/>
      </w:r>
      <w:r w:rsidR="00644776" w:rsidRPr="00F71F57">
        <w:rPr>
          <w:rFonts w:asciiTheme="majorBidi" w:hAnsiTheme="majorBidi" w:cstheme="majorBidi"/>
          <w:sz w:val="24"/>
          <w:szCs w:val="24"/>
          <w:lang w:val="en-GB" w:bidi="fa-IR"/>
        </w:rPr>
        <w:instrText xml:space="preserve"> ADDIN EN.CITE &lt;EndNote&gt;&lt;Cite&gt;&lt;Author&gt;Beraldo&lt;/Author&gt;&lt;Year&gt;2019&lt;/Year&gt;&lt;RecNum&gt;255&lt;/RecNum&gt;&lt;DisplayText&gt;(Beraldo et al., 2019)&lt;/DisplayText&gt;&lt;record&gt;&lt;rec-number&gt;255&lt;/rec-number&gt;&lt;foreign-keys&gt;&lt;key app="EN" db-id="2ptrtps0adr9vke22dn5tpwzrsfaxtxrfwet" timestamp="1755799651"&gt;255&lt;/key&gt;&lt;/foreign-keys&gt;&lt;ref-type name="Journal Article"&gt;17&lt;/ref-type&gt;&lt;contributors&gt;&lt;authors&gt;&lt;author&gt;Beraldo, Flávio H.&lt;/author&gt;&lt;author&gt;Palmer, Daniel D.&lt;/author&gt;&lt;author&gt;Memar, Sara&lt;/author&gt;&lt;author&gt;Wasserman, David&lt;/author&gt;&lt;author&gt;Lee, Wai-Jane V.&lt;/author&gt;&lt;author&gt;Liang, Shuai&lt;/author&gt;&lt;author&gt;Creighton, Samantha D.&lt;/author&gt;&lt;author&gt;Kolisnyk, Benjamin&lt;/author&gt;&lt;author&gt;Cowan, Matthew F.&lt;/author&gt;&lt;author&gt;Mels, Justin&lt;/author&gt;&lt;author&gt;Masood, Talal&lt;/author&gt;&lt;author&gt;Fodor, Chris&lt;/author&gt;&lt;author&gt;Al‐Onaizi, Mohammed&lt;/author&gt;&lt;author&gt;Bartha, Robert&lt;/author&gt;&lt;author&gt;Gee, Tom&lt;/author&gt;&lt;author&gt;Saksida, Lisa M.&lt;/author&gt;&lt;author&gt;Bussey, Timothy J.&lt;/author&gt;&lt;author&gt;Strother, Stephen C.&lt;/author&gt;&lt;author&gt;Winters, Boyer D.&lt;/author&gt;&lt;author&gt;Prado, Marco A. M.&lt;/author&gt;&lt;/authors&gt;&lt;/contributors&gt;&lt;titles&gt;&lt;title&gt;MouseBytes, an Open-Access High-Throughput Pipeline and Database for Rodent Touchscreen-Based Cognitive Assessment&lt;/title&gt;&lt;secondary-title&gt;Elife&lt;/secondary-title&gt;&lt;/titles&gt;&lt;periodical&gt;&lt;full-title&gt;eLife&lt;/full-title&gt;&lt;/periodical&gt;&lt;volume&gt;8&lt;/volume&gt;&lt;dates&gt;&lt;year&gt;2019&lt;/year&gt;&lt;/dates&gt;&lt;urls&gt;&lt;/urls&gt;&lt;electronic-resource-num&gt;10.7554/elife.49630&lt;/electronic-resource-num&gt;&lt;/record&gt;&lt;/Cite&gt;&lt;/EndNote&gt;</w:instrText>
      </w:r>
      <w:r w:rsidR="00644776" w:rsidRPr="00F71F57">
        <w:rPr>
          <w:rFonts w:asciiTheme="majorBidi" w:hAnsiTheme="majorBidi" w:cstheme="majorBidi"/>
          <w:sz w:val="24"/>
          <w:szCs w:val="24"/>
          <w:lang w:val="en-GB" w:bidi="fa-IR"/>
        </w:rPr>
        <w:fldChar w:fldCharType="separate"/>
      </w:r>
      <w:r w:rsidR="00644776" w:rsidRPr="00F71F57">
        <w:rPr>
          <w:rFonts w:asciiTheme="majorBidi" w:hAnsiTheme="majorBidi" w:cstheme="majorBidi"/>
          <w:sz w:val="24"/>
          <w:szCs w:val="24"/>
          <w:lang w:val="en-GB" w:bidi="fa-IR"/>
        </w:rPr>
        <w:t>(</w:t>
      </w:r>
      <w:hyperlink w:anchor="_ENREF_19" w:tooltip="Beraldo, 2019 #255" w:history="1">
        <w:r w:rsidR="00DE113E" w:rsidRPr="00F71F57">
          <w:rPr>
            <w:rFonts w:asciiTheme="majorBidi" w:hAnsiTheme="majorBidi" w:cstheme="majorBidi"/>
            <w:sz w:val="24"/>
            <w:szCs w:val="24"/>
            <w:lang w:val="en-GB" w:bidi="fa-IR"/>
          </w:rPr>
          <w:t>Beraldo et al., 2019</w:t>
        </w:r>
      </w:hyperlink>
      <w:r w:rsidR="00644776" w:rsidRPr="00F71F57">
        <w:rPr>
          <w:rFonts w:asciiTheme="majorBidi" w:hAnsiTheme="majorBidi" w:cstheme="majorBidi"/>
          <w:sz w:val="24"/>
          <w:szCs w:val="24"/>
          <w:lang w:val="en-GB" w:bidi="fa-IR"/>
        </w:rPr>
        <w:t>)</w:t>
      </w:r>
      <w:r w:rsidR="00644776" w:rsidRPr="00F71F57">
        <w:rPr>
          <w:rFonts w:asciiTheme="majorBidi" w:hAnsiTheme="majorBidi" w:cstheme="majorBidi"/>
          <w:sz w:val="24"/>
          <w:szCs w:val="24"/>
          <w:lang w:val="en-GB" w:bidi="fa-IR"/>
        </w:rPr>
        <w:fldChar w:fldCharType="end"/>
      </w:r>
      <w:r w:rsidR="00644776" w:rsidRPr="00F71F57">
        <w:rPr>
          <w:rFonts w:asciiTheme="majorBidi" w:hAnsiTheme="majorBidi" w:cstheme="majorBidi"/>
          <w:sz w:val="24"/>
          <w:szCs w:val="24"/>
          <w:lang w:val="en-GB" w:bidi="fa-IR"/>
        </w:rPr>
        <w:t xml:space="preserve">. </w:t>
      </w:r>
      <w:r w:rsidR="00250477" w:rsidRPr="00F71F57">
        <w:rPr>
          <w:rFonts w:asciiTheme="majorBidi" w:hAnsiTheme="majorBidi" w:cstheme="majorBidi"/>
          <w:sz w:val="24"/>
          <w:szCs w:val="24"/>
          <w:lang w:val="en-GB" w:bidi="fa-IR"/>
        </w:rPr>
        <w:t xml:space="preserve">Touchscreen-based PAL tasks offer a modern approach to studying cognitive deficits, allowing researchers to explore memory through paradigms that closely emulate human cognitive assessments. The use of touchscreen systems facilitates rapid data acquisition and controlled experimental designs, helping researchers capture nuanced cognitive </w:t>
      </w:r>
      <w:r w:rsidR="00F23897" w:rsidRPr="00F71F57">
        <w:rPr>
          <w:rFonts w:asciiTheme="majorBidi" w:hAnsiTheme="majorBidi" w:cstheme="majorBidi"/>
          <w:sz w:val="24"/>
          <w:szCs w:val="24"/>
          <w:lang w:val="en-GB" w:bidi="fa-IR"/>
        </w:rPr>
        <w:t>behaviours</w:t>
      </w:r>
      <w:r w:rsidR="00250477" w:rsidRPr="00F71F57">
        <w:rPr>
          <w:rFonts w:asciiTheme="majorBidi" w:hAnsiTheme="majorBidi" w:cstheme="majorBidi"/>
          <w:sz w:val="24"/>
          <w:szCs w:val="24"/>
          <w:lang w:val="en-GB" w:bidi="fa-IR"/>
        </w:rPr>
        <w:t xml:space="preserve">. Recent studies have established that PAL tasks can detect early cognitive impairments associated with neurodegeneration in models of Alzheimer’s disease </w:t>
      </w:r>
      <w:r w:rsidR="00644776" w:rsidRPr="00F71F57">
        <w:rPr>
          <w:rFonts w:asciiTheme="majorBidi" w:hAnsiTheme="majorBidi" w:cstheme="majorBidi"/>
          <w:sz w:val="24"/>
          <w:szCs w:val="24"/>
          <w:lang w:val="en-GB" w:bidi="fa-IR"/>
        </w:rPr>
        <w:fldChar w:fldCharType="begin">
          <w:fldData xml:space="preserve">PEVuZE5vdGU+PENpdGU+PEF1dGhvcj5NZW1hcjwvQXV0aG9yPjxZZWFyPjIwMjM8L1llYXI+PFJl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</w:fldData>
        </w:fldChar>
      </w:r>
      <w:r w:rsidR="00644776" w:rsidRPr="00F71F57">
        <w:rPr>
          <w:rFonts w:asciiTheme="majorBidi" w:hAnsiTheme="majorBidi" w:cstheme="majorBidi"/>
          <w:sz w:val="24"/>
          <w:szCs w:val="24"/>
          <w:lang w:val="en-GB" w:bidi="fa-IR"/>
        </w:rPr>
        <w:instrText xml:space="preserve"> ADDIN EN.CITE </w:instrText>
      </w:r>
      <w:r w:rsidR="00644776" w:rsidRPr="00F71F57">
        <w:rPr>
          <w:rFonts w:asciiTheme="majorBidi" w:hAnsiTheme="majorBidi" w:cstheme="majorBidi"/>
          <w:sz w:val="24"/>
          <w:szCs w:val="24"/>
          <w:lang w:val="en-GB" w:bidi="fa-IR"/>
        </w:rPr>
        <w:fldChar w:fldCharType="begin">
          <w:fldData xml:space="preserve">PEVuZE5vdGU+PENpdGU+PEF1dGhvcj5NZW1hcjwvQXV0aG9yPjxZZWFyPjIwMjM8L1llYXI+PFJl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</w:fldData>
        </w:fldChar>
      </w:r>
      <w:r w:rsidR="00644776" w:rsidRPr="00F71F57">
        <w:rPr>
          <w:rFonts w:asciiTheme="majorBidi" w:hAnsiTheme="majorBidi" w:cstheme="majorBidi"/>
          <w:sz w:val="24"/>
          <w:szCs w:val="24"/>
          <w:lang w:val="en-GB" w:bidi="fa-IR"/>
        </w:rPr>
        <w:instrText xml:space="preserve"> ADDIN EN.CITE.DATA </w:instrText>
      </w:r>
      <w:r w:rsidR="00644776" w:rsidRPr="00F71F57">
        <w:rPr>
          <w:rFonts w:asciiTheme="majorBidi" w:hAnsiTheme="majorBidi" w:cstheme="majorBidi"/>
          <w:sz w:val="24"/>
          <w:szCs w:val="24"/>
          <w:lang w:val="en-GB" w:bidi="fa-IR"/>
        </w:rPr>
      </w:r>
      <w:r w:rsidR="00644776" w:rsidRPr="00F71F57">
        <w:rPr>
          <w:rFonts w:asciiTheme="majorBidi" w:hAnsiTheme="majorBidi" w:cstheme="majorBidi"/>
          <w:sz w:val="24"/>
          <w:szCs w:val="24"/>
          <w:lang w:val="en-GB" w:bidi="fa-IR"/>
        </w:rPr>
        <w:fldChar w:fldCharType="end"/>
      </w:r>
      <w:r w:rsidR="00644776" w:rsidRPr="00F71F57">
        <w:rPr>
          <w:rFonts w:asciiTheme="majorBidi" w:hAnsiTheme="majorBidi" w:cstheme="majorBidi"/>
          <w:sz w:val="24"/>
          <w:szCs w:val="24"/>
          <w:lang w:val="en-GB" w:bidi="fa-IR"/>
        </w:rPr>
      </w:r>
      <w:r w:rsidR="00644776" w:rsidRPr="00F71F57">
        <w:rPr>
          <w:rFonts w:asciiTheme="majorBidi" w:hAnsiTheme="majorBidi" w:cstheme="majorBidi"/>
          <w:sz w:val="24"/>
          <w:szCs w:val="24"/>
          <w:lang w:val="en-GB" w:bidi="fa-IR"/>
        </w:rPr>
        <w:fldChar w:fldCharType="separate"/>
      </w:r>
      <w:r w:rsidR="00644776" w:rsidRPr="00F71F57">
        <w:rPr>
          <w:rFonts w:asciiTheme="majorBidi" w:hAnsiTheme="majorBidi" w:cstheme="majorBidi"/>
          <w:sz w:val="24"/>
          <w:szCs w:val="24"/>
          <w:lang w:val="en-GB" w:bidi="fa-IR"/>
        </w:rPr>
        <w:t>(</w:t>
      </w:r>
      <w:hyperlink w:anchor="_ENREF_157" w:tooltip="Memar, 2023 #256" w:history="1">
        <w:r w:rsidR="00DE113E" w:rsidRPr="00F71F57">
          <w:rPr>
            <w:rFonts w:asciiTheme="majorBidi" w:hAnsiTheme="majorBidi" w:cstheme="majorBidi"/>
            <w:sz w:val="24"/>
            <w:szCs w:val="24"/>
            <w:lang w:val="en-GB" w:bidi="fa-IR"/>
          </w:rPr>
          <w:t>Memar et al., 2023</w:t>
        </w:r>
      </w:hyperlink>
      <w:r w:rsidR="00644776" w:rsidRPr="00F71F57">
        <w:rPr>
          <w:rFonts w:asciiTheme="majorBidi" w:hAnsiTheme="majorBidi" w:cstheme="majorBidi"/>
          <w:sz w:val="24"/>
          <w:szCs w:val="24"/>
          <w:lang w:val="en-GB" w:bidi="fa-IR"/>
        </w:rPr>
        <w:t xml:space="preserve">; </w:t>
      </w:r>
      <w:hyperlink w:anchor="_ENREF_211" w:tooltip="Saifullah, 2020 #257" w:history="1">
        <w:r w:rsidR="00DE113E" w:rsidRPr="00F71F57">
          <w:rPr>
            <w:rFonts w:asciiTheme="majorBidi" w:hAnsiTheme="majorBidi" w:cstheme="majorBidi"/>
            <w:sz w:val="24"/>
            <w:szCs w:val="24"/>
            <w:lang w:val="en-GB" w:bidi="fa-IR"/>
          </w:rPr>
          <w:t>Saifullah et al., 2020</w:t>
        </w:r>
      </w:hyperlink>
      <w:r w:rsidR="00644776" w:rsidRPr="00F71F57">
        <w:rPr>
          <w:rFonts w:asciiTheme="majorBidi" w:hAnsiTheme="majorBidi" w:cstheme="majorBidi"/>
          <w:sz w:val="24"/>
          <w:szCs w:val="24"/>
          <w:lang w:val="en-GB" w:bidi="fa-IR"/>
        </w:rPr>
        <w:t>)</w:t>
      </w:r>
      <w:r w:rsidR="00644776" w:rsidRPr="00F71F57">
        <w:rPr>
          <w:rFonts w:asciiTheme="majorBidi" w:hAnsiTheme="majorBidi" w:cstheme="majorBidi"/>
          <w:sz w:val="24"/>
          <w:szCs w:val="24"/>
          <w:lang w:val="en-GB" w:bidi="fa-IR"/>
        </w:rPr>
        <w:fldChar w:fldCharType="end"/>
      </w:r>
      <w:r w:rsidR="00644776" w:rsidRPr="00F71F57">
        <w:rPr>
          <w:rFonts w:asciiTheme="majorBidi" w:hAnsiTheme="majorBidi" w:cstheme="majorBidi"/>
          <w:sz w:val="24"/>
          <w:szCs w:val="24"/>
          <w:lang w:val="en-GB" w:bidi="fa-IR"/>
        </w:rPr>
        <w:t>.</w:t>
      </w:r>
      <w:r w:rsidR="00250477" w:rsidRPr="00F71F57">
        <w:rPr>
          <w:rFonts w:asciiTheme="majorBidi" w:hAnsiTheme="majorBidi" w:cstheme="majorBidi"/>
          <w:sz w:val="24"/>
          <w:szCs w:val="24"/>
          <w:lang w:val="en-GB" w:bidi="fa-IR"/>
        </w:rPr>
        <w:t xml:space="preserve"> Furthermore, PAL tasks demonstrate high translational fidelity, showing that cognitive impairments observed in rodent models can parallel those in humans, particularly through tasks designed to evaluate complex associations </w:t>
      </w:r>
      <w:r w:rsidR="00644776" w:rsidRPr="00F71F57">
        <w:rPr>
          <w:rFonts w:asciiTheme="majorBidi" w:hAnsiTheme="majorBidi" w:cstheme="majorBidi"/>
          <w:sz w:val="24"/>
          <w:szCs w:val="24"/>
          <w:lang w:val="en-GB" w:bidi="fa-IR"/>
        </w:rPr>
        <w:fldChar w:fldCharType="begin">
          <w:fldData xml:space="preserve">PEVuZE5vdGU+PENpdGU+PEF1dGhvcj5XaG9vbGVyeTwvQXV0aG9yPjxZZWFyPjIwMTk8L1llYXI+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</w:fldData>
        </w:fldChar>
      </w:r>
      <w:r w:rsidR="00644776" w:rsidRPr="00F71F57">
        <w:rPr>
          <w:rFonts w:asciiTheme="majorBidi" w:hAnsiTheme="majorBidi" w:cstheme="majorBidi"/>
          <w:sz w:val="24"/>
          <w:szCs w:val="24"/>
          <w:lang w:val="en-GB" w:bidi="fa-IR"/>
        </w:rPr>
        <w:instrText xml:space="preserve"> ADDIN EN.CITE </w:instrText>
      </w:r>
      <w:r w:rsidR="00644776" w:rsidRPr="00F71F57">
        <w:rPr>
          <w:rFonts w:asciiTheme="majorBidi" w:hAnsiTheme="majorBidi" w:cstheme="majorBidi"/>
          <w:sz w:val="24"/>
          <w:szCs w:val="24"/>
          <w:lang w:val="en-GB" w:bidi="fa-IR"/>
        </w:rPr>
        <w:fldChar w:fldCharType="begin">
          <w:fldData xml:space="preserve">PEVuZE5vdGU+PENpdGU+PEF1dGhvcj5XaG9vbGVyeTwvQXV0aG9yPjxZZWFyPjIwMTk8L1llYXI+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</w:fldData>
        </w:fldChar>
      </w:r>
      <w:r w:rsidR="00644776" w:rsidRPr="00F71F57">
        <w:rPr>
          <w:rFonts w:asciiTheme="majorBidi" w:hAnsiTheme="majorBidi" w:cstheme="majorBidi"/>
          <w:sz w:val="24"/>
          <w:szCs w:val="24"/>
          <w:lang w:val="en-GB" w:bidi="fa-IR"/>
        </w:rPr>
        <w:instrText xml:space="preserve"> ADDIN EN.CITE.DATA </w:instrText>
      </w:r>
      <w:r w:rsidR="00644776" w:rsidRPr="00F71F57">
        <w:rPr>
          <w:rFonts w:asciiTheme="majorBidi" w:hAnsiTheme="majorBidi" w:cstheme="majorBidi"/>
          <w:sz w:val="24"/>
          <w:szCs w:val="24"/>
          <w:lang w:val="en-GB" w:bidi="fa-IR"/>
        </w:rPr>
      </w:r>
      <w:r w:rsidR="00644776" w:rsidRPr="00F71F57">
        <w:rPr>
          <w:rFonts w:asciiTheme="majorBidi" w:hAnsiTheme="majorBidi" w:cstheme="majorBidi"/>
          <w:sz w:val="24"/>
          <w:szCs w:val="24"/>
          <w:lang w:val="en-GB" w:bidi="fa-IR"/>
        </w:rPr>
        <w:fldChar w:fldCharType="end"/>
      </w:r>
      <w:r w:rsidR="00644776" w:rsidRPr="00F71F57">
        <w:rPr>
          <w:rFonts w:asciiTheme="majorBidi" w:hAnsiTheme="majorBidi" w:cstheme="majorBidi"/>
          <w:sz w:val="24"/>
          <w:szCs w:val="24"/>
          <w:lang w:val="en-GB" w:bidi="fa-IR"/>
        </w:rPr>
      </w:r>
      <w:r w:rsidR="00644776" w:rsidRPr="00F71F57">
        <w:rPr>
          <w:rFonts w:asciiTheme="majorBidi" w:hAnsiTheme="majorBidi" w:cstheme="majorBidi"/>
          <w:sz w:val="24"/>
          <w:szCs w:val="24"/>
          <w:lang w:val="en-GB" w:bidi="fa-IR"/>
        </w:rPr>
        <w:fldChar w:fldCharType="separate"/>
      </w:r>
      <w:r w:rsidR="00644776" w:rsidRPr="00F71F57">
        <w:rPr>
          <w:rFonts w:asciiTheme="majorBidi" w:hAnsiTheme="majorBidi" w:cstheme="majorBidi"/>
          <w:sz w:val="24"/>
          <w:szCs w:val="24"/>
          <w:lang w:val="en-GB" w:bidi="fa-IR"/>
        </w:rPr>
        <w:t>(</w:t>
      </w:r>
      <w:hyperlink w:anchor="_ENREF_46" w:tooltip="Choy, 2021 #259" w:history="1">
        <w:r w:rsidR="00DE113E" w:rsidRPr="00F71F57">
          <w:rPr>
            <w:rFonts w:asciiTheme="majorBidi" w:hAnsiTheme="majorBidi" w:cstheme="majorBidi"/>
            <w:sz w:val="24"/>
            <w:szCs w:val="24"/>
            <w:lang w:val="en-GB" w:bidi="fa-IR"/>
          </w:rPr>
          <w:t>Choy et al., 2021</w:t>
        </w:r>
      </w:hyperlink>
      <w:r w:rsidR="00644776" w:rsidRPr="00F71F57">
        <w:rPr>
          <w:rFonts w:asciiTheme="majorBidi" w:hAnsiTheme="majorBidi" w:cstheme="majorBidi"/>
          <w:sz w:val="24"/>
          <w:szCs w:val="24"/>
          <w:lang w:val="en-GB" w:bidi="fa-IR"/>
        </w:rPr>
        <w:t xml:space="preserve">; </w:t>
      </w:r>
      <w:hyperlink w:anchor="_ENREF_258" w:tooltip="Whoolery, 2019 #258" w:history="1">
        <w:r w:rsidR="00DE113E" w:rsidRPr="00F71F57">
          <w:rPr>
            <w:rFonts w:asciiTheme="majorBidi" w:hAnsiTheme="majorBidi" w:cstheme="majorBidi"/>
            <w:sz w:val="24"/>
            <w:szCs w:val="24"/>
            <w:lang w:val="en-GB" w:bidi="fa-IR"/>
          </w:rPr>
          <w:t>Whoolery et al., 2019</w:t>
        </w:r>
      </w:hyperlink>
      <w:r w:rsidR="00644776" w:rsidRPr="00F71F57">
        <w:rPr>
          <w:rFonts w:asciiTheme="majorBidi" w:hAnsiTheme="majorBidi" w:cstheme="majorBidi"/>
          <w:sz w:val="24"/>
          <w:szCs w:val="24"/>
          <w:lang w:val="en-GB" w:bidi="fa-IR"/>
        </w:rPr>
        <w:t>)</w:t>
      </w:r>
      <w:r w:rsidR="00644776" w:rsidRPr="00F71F57">
        <w:rPr>
          <w:rFonts w:asciiTheme="majorBidi" w:hAnsiTheme="majorBidi" w:cstheme="majorBidi"/>
          <w:sz w:val="24"/>
          <w:szCs w:val="24"/>
          <w:lang w:val="en-GB" w:bidi="fa-IR"/>
        </w:rPr>
        <w:fldChar w:fldCharType="end"/>
      </w:r>
      <w:r w:rsidR="00644776" w:rsidRPr="00F71F57">
        <w:rPr>
          <w:rFonts w:asciiTheme="majorBidi" w:hAnsiTheme="majorBidi" w:cstheme="majorBidi"/>
          <w:sz w:val="24"/>
          <w:szCs w:val="24"/>
          <w:lang w:val="en-GB" w:bidi="fa-IR"/>
        </w:rPr>
        <w:t>.</w:t>
      </w:r>
      <w:r w:rsidR="00250477" w:rsidRPr="00F71F57">
        <w:rPr>
          <w:rFonts w:asciiTheme="majorBidi" w:hAnsiTheme="majorBidi" w:cstheme="majorBidi"/>
          <w:sz w:val="24"/>
          <w:szCs w:val="24"/>
          <w:lang w:val="en-GB" w:bidi="fa-IR"/>
        </w:rPr>
        <w:t xml:space="preserve"> Despite these advantages, touchscreen tasks require careful optimization, including parameters such as inter-trial intervals and stimulus design, to ensure valid outcomes </w:t>
      </w:r>
      <w:r w:rsidR="00644776" w:rsidRPr="00F71F57">
        <w:rPr>
          <w:rFonts w:asciiTheme="majorBidi" w:hAnsiTheme="majorBidi" w:cstheme="majorBidi"/>
          <w:sz w:val="24"/>
          <w:szCs w:val="24"/>
          <w:lang w:val="en-GB" w:bidi="fa-IR"/>
        </w:rPr>
        <w:fldChar w:fldCharType="begin"/>
      </w:r>
      <w:r w:rsidR="00F02304">
        <w:rPr>
          <w:rFonts w:asciiTheme="majorBidi" w:hAnsiTheme="majorBidi" w:cstheme="majorBidi"/>
          <w:sz w:val="24"/>
          <w:szCs w:val="24"/>
          <w:lang w:val="en-GB" w:bidi="fa-IR"/>
        </w:rPr>
        <w:instrText xml:space="preserve"> ADDIN EN.CITE &lt;EndNote&gt;&lt;Cite&gt;&lt;Author&gt;Delotterie&lt;/Author&gt;&lt;Year&gt;2014&lt;/Year&gt;&lt;RecNum&gt;260&lt;/RecNum&gt;&lt;DisplayText&gt;(Delotterie, Mathis, Cassel, Dorner‐Ciossek, et al., 2014)&lt;/DisplayText&gt;&lt;record&gt;&lt;rec-number&gt;260&lt;/rec-number&gt;&lt;foreign-keys&gt;&lt;key app="EN" db-id="2ptrtps0adr9vke22dn5tpwzrsfaxtxrfwet" timestamp="1755799968"&gt;260&lt;/key&gt;&lt;/foreign-keys&gt;&lt;ref-type name="Journal Article"&gt;17&lt;/ref-type&gt;&lt;contributors&gt;&lt;authors&gt;&lt;author&gt;Delotterie, David&lt;/author&gt;&lt;author&gt;Mathis, Chantal&lt;/author&gt;&lt;author&gt;Cassel, Jean-Christophe&lt;/author&gt;&lt;author&gt;Dorner‐Ciossek, Cornelia&lt;/author&gt;&lt;author&gt;Marti, Anelise&lt;/author&gt;&lt;/authors&gt;&lt;/contributors&gt;&lt;titles&gt;&lt;title&gt;Optimization of Touchscreen-Based Behavioral Paradigms in Mice: Implications for Building a Battery of Tasks Taxing Learning and Memory Functions&lt;/title&gt;&lt;secondary-title&gt;Plos One&lt;/secondary-title&gt;&lt;/titles&gt;&lt;periodical&gt;&lt;full-title&gt;Plos One&lt;/full-title&gt;&lt;/periodical&gt;&lt;pages&gt;e100817&lt;/pages&gt;&lt;volume&gt;9&lt;/volume&gt;&lt;number&gt;6&lt;/number&gt;&lt;dates&gt;&lt;year&gt;2014&lt;/year&gt;&lt;/dates&gt;&lt;urls&gt;&lt;/urls&gt;&lt;electronic-resource-num&gt;10.1371/journal.pone.0100817&lt;/electronic-resource-num&gt;&lt;/record&gt;&lt;/Cite&gt;&lt;/EndNote&gt;</w:instrText>
      </w:r>
      <w:r w:rsidR="00644776" w:rsidRPr="00F71F57">
        <w:rPr>
          <w:rFonts w:asciiTheme="majorBidi" w:hAnsiTheme="majorBidi" w:cstheme="majorBidi"/>
          <w:sz w:val="24"/>
          <w:szCs w:val="24"/>
          <w:lang w:val="en-GB" w:bidi="fa-IR"/>
        </w:rPr>
        <w:fldChar w:fldCharType="separate"/>
      </w:r>
      <w:r w:rsidR="00F02304">
        <w:rPr>
          <w:rFonts w:asciiTheme="majorBidi" w:hAnsiTheme="majorBidi" w:cstheme="majorBidi"/>
          <w:noProof/>
          <w:sz w:val="24"/>
          <w:szCs w:val="24"/>
          <w:lang w:val="en-GB" w:bidi="fa-IR"/>
        </w:rPr>
        <w:t>(</w:t>
      </w:r>
      <w:hyperlink w:anchor="_ENREF_58" w:tooltip="Delotterie, 2014 #260" w:history="1">
        <w:r w:rsidR="00DE113E">
          <w:rPr>
            <w:rFonts w:asciiTheme="majorBidi" w:hAnsiTheme="majorBidi" w:cstheme="majorBidi"/>
            <w:noProof/>
            <w:sz w:val="24"/>
            <w:szCs w:val="24"/>
            <w:lang w:val="en-GB" w:bidi="fa-IR"/>
          </w:rPr>
          <w:t>Delotterie, Mathis, Cassel, Dorner‐Ciossek, et al., 2014</w:t>
        </w:r>
      </w:hyperlink>
      <w:r w:rsidR="00F02304">
        <w:rPr>
          <w:rFonts w:asciiTheme="majorBidi" w:hAnsiTheme="majorBidi" w:cstheme="majorBidi"/>
          <w:noProof/>
          <w:sz w:val="24"/>
          <w:szCs w:val="24"/>
          <w:lang w:val="en-GB" w:bidi="fa-IR"/>
        </w:rPr>
        <w:t>)</w:t>
      </w:r>
      <w:r w:rsidR="00644776" w:rsidRPr="00F71F57">
        <w:rPr>
          <w:rFonts w:asciiTheme="majorBidi" w:hAnsiTheme="majorBidi" w:cstheme="majorBidi"/>
          <w:sz w:val="24"/>
          <w:szCs w:val="24"/>
          <w:lang w:val="en-GB" w:bidi="fa-IR"/>
        </w:rPr>
        <w:fldChar w:fldCharType="end"/>
      </w:r>
      <w:r w:rsidR="00644776" w:rsidRPr="00F71F57">
        <w:rPr>
          <w:rFonts w:asciiTheme="majorBidi" w:hAnsiTheme="majorBidi" w:cstheme="majorBidi"/>
          <w:sz w:val="24"/>
          <w:szCs w:val="24"/>
          <w:lang w:val="en-GB" w:bidi="fa-IR"/>
        </w:rPr>
        <w:t>.</w:t>
      </w:r>
      <w:r w:rsidR="00D32303" w:rsidRPr="00F71F57">
        <w:rPr>
          <w:rFonts w:asciiTheme="majorBidi" w:hAnsiTheme="majorBidi" w:cstheme="majorBidi"/>
          <w:sz w:val="24"/>
          <w:szCs w:val="24"/>
          <w:lang w:val="en-GB" w:bidi="fa-IR"/>
        </w:rPr>
        <w:t xml:space="preserve"> </w:t>
      </w:r>
      <w:r w:rsidR="00250477" w:rsidRPr="00F71F57">
        <w:rPr>
          <w:rFonts w:asciiTheme="majorBidi" w:hAnsiTheme="majorBidi" w:cstheme="majorBidi"/>
          <w:sz w:val="24"/>
          <w:szCs w:val="24"/>
          <w:lang w:val="en-GB" w:bidi="fa-IR"/>
        </w:rPr>
        <w:t xml:space="preserve">The translational relevance of these paradigms is particularly emphasized in studies that explore the effects of various interventions on memory performance. For instance, the administration of plant-derived compounds and nutraceuticals has been investigated for their neuroprotective potential in enhancing memory performance in the MWM and PAL tasks. Research has shown that compounds such as naringin exhibit protective effects against cognitive deficits induced by neurotoxic agents, improving performance in spatial and associative tasks </w:t>
      </w:r>
      <w:r w:rsidR="00644776" w:rsidRPr="00F71F57">
        <w:rPr>
          <w:rFonts w:asciiTheme="majorBidi" w:hAnsiTheme="majorBidi" w:cstheme="majorBidi"/>
          <w:sz w:val="24"/>
          <w:szCs w:val="24"/>
          <w:lang w:val="en-GB" w:bidi="fa-IR"/>
        </w:rPr>
        <w:fldChar w:fldCharType="begin"/>
      </w:r>
      <w:r w:rsidR="00375D30" w:rsidRPr="00F71F57">
        <w:rPr>
          <w:rFonts w:asciiTheme="majorBidi" w:hAnsiTheme="majorBidi" w:cstheme="majorBidi"/>
          <w:sz w:val="24"/>
          <w:szCs w:val="24"/>
          <w:lang w:val="en-GB" w:bidi="fa-IR"/>
        </w:rPr>
        <w:instrText xml:space="preserve"> ADDIN EN.CITE &lt;EndNote&gt;&lt;Cite&gt;&lt;Author&gt;Okuyama-Uchimura&lt;/Author&gt;&lt;Year&gt;2015&lt;/Year&gt;&lt;RecNum&gt;261&lt;/RecNum&gt;&lt;DisplayText&gt;(Nithianantharajah et al., 2012; Okuyama-Uchimura &amp;amp; Komai, 2015)&lt;/DisplayText&gt;&lt;record&gt;&lt;rec-number&gt;261&lt;/rec-number&gt;&lt;foreign-keys&gt;&lt;key app="EN" db-id="2ptrtps0adr9vke22dn5tpwzrsfaxtxrfwet" timestamp="1755800126"&gt;261&lt;/key&gt;&lt;/foreign-keys&gt;&lt;ref-type name="Journal Article"&gt;17&lt;/ref-type&gt;&lt;contributors&gt;&lt;authors&gt;&lt;author&gt;Okuyama-Uchimura, Fumi&lt;/author&gt;&lt;author&gt;Komai, Shoji&lt;/author&gt;&lt;/authors&gt;&lt;/contributors&gt;&lt;titles&gt;&lt;title&gt;Mouse Ability to Perceive Subjective Contours&lt;/title&gt;&lt;secondary-title&gt;Perception&lt;/secondary-title&gt;&lt;/titles&gt;&lt;periodical&gt;&lt;full-title&gt;Perception&lt;/full-title&gt;&lt;/periodical&gt;&lt;pages&gt;315-327&lt;/pages&gt;&lt;volume&gt;45&lt;/volume&gt;&lt;number&gt;3&lt;/number&gt;&lt;dates&gt;&lt;year&gt;2015&lt;/year&gt;&lt;/dates&gt;&lt;urls&gt;&lt;/urls&gt;&lt;electronic-resource-num&gt;10.1177/0301006615614440&lt;/electronic-resource-num&gt;&lt;/record&gt;&lt;/Cite&gt;&lt;Cite&gt;&lt;Author&gt;Nithianantharajah&lt;/Author&gt;&lt;Year&gt;2012&lt;/Year&gt;&lt;RecNum&gt;262&lt;/RecNum&gt;&lt;record&gt;&lt;rec-number&gt;262&lt;/rec-number&gt;&lt;foreign-keys&gt;&lt;key app="EN" db-id="2ptrtps0adr9vke22dn5tpwzrsfaxtxrfwet" timestamp="1755800138"&gt;262&lt;/key&gt;&lt;/foreign-keys&gt;&lt;ref-type name="Journal Article"&gt;17&lt;/ref-type&gt;&lt;contributors&gt;&lt;authors&gt;&lt;author&gt;Nithianantharajah, Jess&lt;/author&gt;&lt;author&gt;Komiyama, Noboru H.&lt;/author&gt;&lt;author&gt;McKechanie, Andrew G.&lt;/author&gt;&lt;author&gt;Johnstone, Mandy&lt;/author&gt;&lt;author&gt;Blackwood, Douglas&lt;/author&gt;&lt;author&gt;Clair, David St&lt;/author&gt;&lt;author&gt;Emes, Richard D.&lt;/author&gt;&lt;author&gt;Lagemaat, Louie N. van de&lt;/author&gt;&lt;author&gt;Saksida, Lisa M.&lt;/author&gt;&lt;author&gt;Bussey, Timothy J.&lt;/author&gt;&lt;author&gt;Grant, Seth G. N.&lt;/author&gt;&lt;/authors&gt;&lt;/contributors&gt;&lt;titles&gt;&lt;title&gt;Synaptic Scaffold Evolution Generated Components of Vertebrate Cognitive Complexity&lt;/title&gt;&lt;secondary-title&gt;Nature Neuroscience&lt;/secondary-title&gt;&lt;/titles&gt;&lt;periodical&gt;&lt;full-title&gt;Nature Neuroscience&lt;/full-title&gt;&lt;/periodical&gt;&lt;pages&gt;16-24&lt;/pages&gt;&lt;volume&gt;16&lt;/volume&gt;&lt;number&gt;1&lt;/number&gt;&lt;dates&gt;&lt;year&gt;2012&lt;/year&gt;&lt;/dates&gt;&lt;urls&gt;&lt;/urls&gt;&lt;electronic-resource-num&gt;10.1038/nn.3276&lt;/electronic-resource-num&gt;&lt;/record&gt;&lt;/Cite&gt;&lt;/EndNote&gt;</w:instrText>
      </w:r>
      <w:r w:rsidR="00644776" w:rsidRPr="00F71F57">
        <w:rPr>
          <w:rFonts w:asciiTheme="majorBidi" w:hAnsiTheme="majorBidi" w:cstheme="majorBidi"/>
          <w:sz w:val="24"/>
          <w:szCs w:val="24"/>
          <w:lang w:val="en-GB" w:bidi="fa-IR"/>
        </w:rPr>
        <w:fldChar w:fldCharType="separate"/>
      </w:r>
      <w:r w:rsidR="00375D30" w:rsidRPr="00F71F57">
        <w:rPr>
          <w:rFonts w:asciiTheme="majorBidi" w:hAnsiTheme="majorBidi" w:cstheme="majorBidi"/>
          <w:sz w:val="24"/>
          <w:szCs w:val="24"/>
          <w:lang w:val="en-GB" w:bidi="fa-IR"/>
        </w:rPr>
        <w:t>(</w:t>
      </w:r>
      <w:hyperlink w:anchor="_ENREF_168" w:tooltip="Nithianantharajah, 2012 #262" w:history="1">
        <w:r w:rsidR="00DE113E" w:rsidRPr="00F71F57">
          <w:rPr>
            <w:rFonts w:asciiTheme="majorBidi" w:hAnsiTheme="majorBidi" w:cstheme="majorBidi"/>
            <w:sz w:val="24"/>
            <w:szCs w:val="24"/>
            <w:lang w:val="en-GB" w:bidi="fa-IR"/>
          </w:rPr>
          <w:t>Nithianantharajah et al., 2012</w:t>
        </w:r>
      </w:hyperlink>
      <w:r w:rsidR="00375D30" w:rsidRPr="00F71F57">
        <w:rPr>
          <w:rFonts w:asciiTheme="majorBidi" w:hAnsiTheme="majorBidi" w:cstheme="majorBidi"/>
          <w:sz w:val="24"/>
          <w:szCs w:val="24"/>
          <w:lang w:val="en-GB" w:bidi="fa-IR"/>
        </w:rPr>
        <w:t xml:space="preserve">; </w:t>
      </w:r>
      <w:hyperlink w:anchor="_ENREF_171" w:tooltip="Okuyama-Uchimura, 2015 #261" w:history="1">
        <w:r w:rsidR="00DE113E" w:rsidRPr="00F71F57">
          <w:rPr>
            <w:rFonts w:asciiTheme="majorBidi" w:hAnsiTheme="majorBidi" w:cstheme="majorBidi"/>
            <w:sz w:val="24"/>
            <w:szCs w:val="24"/>
            <w:lang w:val="en-GB" w:bidi="fa-IR"/>
          </w:rPr>
          <w:t xml:space="preserve">Okuyama-Uchimura &amp; Komai, </w:t>
        </w:r>
        <w:r w:rsidR="00DE113E" w:rsidRPr="00F71F57">
          <w:rPr>
            <w:rFonts w:asciiTheme="majorBidi" w:hAnsiTheme="majorBidi" w:cstheme="majorBidi"/>
            <w:sz w:val="24"/>
            <w:szCs w:val="24"/>
            <w:lang w:val="en-GB" w:bidi="fa-IR"/>
          </w:rPr>
          <w:lastRenderedPageBreak/>
          <w:t>2015</w:t>
        </w:r>
      </w:hyperlink>
      <w:r w:rsidR="00375D30" w:rsidRPr="00F71F57">
        <w:rPr>
          <w:rFonts w:asciiTheme="majorBidi" w:hAnsiTheme="majorBidi" w:cstheme="majorBidi"/>
          <w:sz w:val="24"/>
          <w:szCs w:val="24"/>
          <w:lang w:val="en-GB" w:bidi="fa-IR"/>
        </w:rPr>
        <w:t>)</w:t>
      </w:r>
      <w:r w:rsidR="00644776" w:rsidRPr="00F71F57">
        <w:rPr>
          <w:rFonts w:asciiTheme="majorBidi" w:hAnsiTheme="majorBidi" w:cstheme="majorBidi"/>
          <w:sz w:val="24"/>
          <w:szCs w:val="24"/>
          <w:lang w:val="en-GB" w:bidi="fa-IR"/>
        </w:rPr>
        <w:fldChar w:fldCharType="end"/>
      </w:r>
      <w:r w:rsidR="00250477" w:rsidRPr="00F71F57">
        <w:rPr>
          <w:rFonts w:asciiTheme="majorBidi" w:hAnsiTheme="majorBidi" w:cstheme="majorBidi"/>
          <w:sz w:val="24"/>
          <w:szCs w:val="24"/>
          <w:lang w:val="en-GB" w:bidi="fa-IR"/>
        </w:rPr>
        <w:t>.</w:t>
      </w:r>
      <w:r w:rsidR="00307781" w:rsidRPr="00F71F57">
        <w:rPr>
          <w:rFonts w:ascii="Times New Roman" w:eastAsia="Times New Roman" w:hAnsi="Times New Roman" w:cs="Times New Roman"/>
          <w:sz w:val="24"/>
          <w:szCs w:val="24"/>
          <w:lang w:val="en-GB"/>
        </w:rPr>
        <w:t xml:space="preserve"> </w:t>
      </w:r>
      <w:r w:rsidR="00307781" w:rsidRPr="00F71F57">
        <w:rPr>
          <w:rFonts w:asciiTheme="majorBidi" w:hAnsiTheme="majorBidi" w:cstheme="majorBidi"/>
          <w:sz w:val="24"/>
          <w:szCs w:val="24"/>
          <w:lang w:val="en-GB" w:bidi="fa-IR"/>
        </w:rPr>
        <w:t xml:space="preserve">Importantly, recent advances highlight that touchscreen-based cognitive testing provides a unique translational advantage, as tasks can be standardized and implemented across rodents, non-human primates, and humans with nearly identical protocols, thereby improving reproducibility and bridging the gap between preclinical and clinical studies </w:t>
      </w:r>
      <w:r w:rsidR="00307781" w:rsidRPr="00F71F57">
        <w:rPr>
          <w:rFonts w:asciiTheme="majorBidi" w:hAnsiTheme="majorBidi" w:cstheme="majorBidi"/>
          <w:sz w:val="24"/>
          <w:szCs w:val="24"/>
          <w:lang w:val="en-GB" w:bidi="fa-IR"/>
        </w:rPr>
        <w:fldChar w:fldCharType="begin"/>
      </w:r>
      <w:r w:rsidR="00307781" w:rsidRPr="00F71F57">
        <w:rPr>
          <w:rFonts w:asciiTheme="majorBidi" w:hAnsiTheme="majorBidi" w:cstheme="majorBidi"/>
          <w:sz w:val="24"/>
          <w:szCs w:val="24"/>
          <w:lang w:val="en-GB" w:bidi="fa-IR"/>
        </w:rPr>
        <w:instrText xml:space="preserve"> ADDIN EN.CITE &lt;EndNote&gt;&lt;Cite&gt;&lt;Author&gt;Palmer&lt;/Author&gt;&lt;Year&gt;2021&lt;/Year&gt;&lt;RecNum&gt;311&lt;/RecNum&gt;&lt;DisplayText&gt;(Palmer et al., 2021)&lt;/DisplayText&gt;&lt;record&gt;&lt;rec-number&gt;311&lt;/rec-number&gt;&lt;foreign-keys&gt;&lt;key app="EN" db-id="2ptrtps0adr9vke22dn5tpwzrsfaxtxrfwet" timestamp="1756299323"&gt;311&lt;/key&gt;&lt;/foreign-keys&gt;&lt;ref-type name="Journal Article"&gt;17&lt;/ref-type&gt;&lt;contributors&gt;&lt;authors&gt;&lt;author&gt;Palmer, Daniel&lt;/author&gt;&lt;author&gt;Dumont, Julie R.&lt;/author&gt;&lt;author&gt;Dexter, Tyler D.&lt;/author&gt;&lt;author&gt;Prado, Marco A. M.&lt;/author&gt;&lt;author&gt;Finger, Elizabeth&lt;/author&gt;&lt;author&gt;Bussey, Timothy J.&lt;/author&gt;&lt;author&gt;Saksida, Lisa M.&lt;/author&gt;&lt;/authors&gt;&lt;/contributors&gt;&lt;titles&gt;&lt;title&gt;Touchscreen cognitive testing: Cross-species translation and co-clinical trials in neurodegenerative and neuropsychiatric disease&lt;/title&gt;&lt;secondary-title&gt;Neurobiology of Learning and Memory&lt;/secondary-title&gt;&lt;/titles&gt;&lt;periodical&gt;&lt;full-title&gt;Neurobiology of Learning and Memory&lt;/full-title&gt;&lt;/periodical&gt;&lt;pages&gt;107443&lt;/pages&gt;&lt;volume&gt;182&lt;/volume&gt;&lt;keywords&gt;&lt;keyword&gt;Touchscreen cognition&lt;/keyword&gt;&lt;keyword&gt;Co-clinical trials&lt;/keyword&gt;&lt;keyword&gt;Neurodegenerative disease&lt;/keyword&gt;&lt;keyword&gt;Translational neuroscience&lt;/keyword&gt;&lt;/keywords&gt;&lt;dates&gt;&lt;year&gt;2021&lt;/year&gt;&lt;pub-dates&gt;&lt;date&gt;2021/07/01/&lt;/date&gt;&lt;/pub-dates&gt;&lt;/dates&gt;&lt;isbn&gt;1074-7427&lt;/isbn&gt;&lt;urls&gt;&lt;related-urls&gt;&lt;url&gt;https://www.sciencedirect.com/science/article/pii/S1074742721000654&lt;/url&gt;&lt;/related-urls&gt;&lt;/urls&gt;&lt;electronic-resource-num&gt;https://doi.org/10.1016/j.nlm.2021.107443&lt;/electronic-resource-num&gt;&lt;/record&gt;&lt;/Cite&gt;&lt;/EndNote&gt;</w:instrText>
      </w:r>
      <w:r w:rsidR="00307781" w:rsidRPr="00F71F57">
        <w:rPr>
          <w:rFonts w:asciiTheme="majorBidi" w:hAnsiTheme="majorBidi" w:cstheme="majorBidi"/>
          <w:sz w:val="24"/>
          <w:szCs w:val="24"/>
          <w:lang w:val="en-GB" w:bidi="fa-IR"/>
        </w:rPr>
        <w:fldChar w:fldCharType="separate"/>
      </w:r>
      <w:r w:rsidR="00307781" w:rsidRPr="00F71F57">
        <w:rPr>
          <w:rFonts w:asciiTheme="majorBidi" w:hAnsiTheme="majorBidi" w:cstheme="majorBidi"/>
          <w:sz w:val="24"/>
          <w:szCs w:val="24"/>
          <w:lang w:val="en-GB" w:bidi="fa-IR"/>
        </w:rPr>
        <w:t>(</w:t>
      </w:r>
      <w:hyperlink w:anchor="_ENREF_177" w:tooltip="Palmer, 2021 #311" w:history="1">
        <w:r w:rsidR="00DE113E" w:rsidRPr="00F71F57">
          <w:rPr>
            <w:rFonts w:asciiTheme="majorBidi" w:hAnsiTheme="majorBidi" w:cstheme="majorBidi"/>
            <w:sz w:val="24"/>
            <w:szCs w:val="24"/>
            <w:lang w:val="en-GB" w:bidi="fa-IR"/>
          </w:rPr>
          <w:t>Palmer et al., 2021</w:t>
        </w:r>
      </w:hyperlink>
      <w:r w:rsidR="00307781" w:rsidRPr="00F71F57">
        <w:rPr>
          <w:rFonts w:asciiTheme="majorBidi" w:hAnsiTheme="majorBidi" w:cstheme="majorBidi"/>
          <w:sz w:val="24"/>
          <w:szCs w:val="24"/>
          <w:lang w:val="en-GB" w:bidi="fa-IR"/>
        </w:rPr>
        <w:t>)</w:t>
      </w:r>
      <w:r w:rsidR="00307781" w:rsidRPr="00F71F57">
        <w:rPr>
          <w:rFonts w:asciiTheme="majorBidi" w:hAnsiTheme="majorBidi" w:cstheme="majorBidi"/>
          <w:sz w:val="24"/>
          <w:szCs w:val="24"/>
          <w:lang w:val="en-GB" w:bidi="fa-IR"/>
        </w:rPr>
        <w:fldChar w:fldCharType="end"/>
      </w:r>
      <w:r w:rsidR="00307781" w:rsidRPr="00F71F57">
        <w:rPr>
          <w:rFonts w:asciiTheme="majorBidi" w:hAnsiTheme="majorBidi" w:cstheme="majorBidi"/>
          <w:sz w:val="24"/>
          <w:szCs w:val="24"/>
          <w:lang w:val="en-GB" w:bidi="fa-IR"/>
        </w:rPr>
        <w:t>.</w:t>
      </w:r>
    </w:p>
    <w:bookmarkEnd w:id="26"/>
    <w:p w14:paraId="23605726" w14:textId="41FC0214" w:rsidR="00D02631" w:rsidRPr="00F71F57" w:rsidRDefault="00D02631" w:rsidP="00C80A17">
      <w:pPr>
        <w:jc w:val="both"/>
        <w:rPr>
          <w:rFonts w:asciiTheme="majorBidi" w:hAnsiTheme="majorBidi" w:cstheme="majorBidi"/>
          <w:sz w:val="24"/>
          <w:szCs w:val="24"/>
          <w:lang w:val="en-GB" w:bidi="fa-IR"/>
        </w:rPr>
      </w:pPr>
    </w:p>
    <w:p w14:paraId="7BE898B9" w14:textId="466570BA" w:rsidR="00D02631" w:rsidRPr="00F71F57" w:rsidRDefault="00D02631" w:rsidP="00984E32">
      <w:pPr>
        <w:pStyle w:val="Heading4"/>
        <w:rPr>
          <w:lang w:bidi="fa-IR"/>
        </w:rPr>
      </w:pPr>
      <w:bookmarkStart w:id="27" w:name="_Toc214875834"/>
      <w:r w:rsidRPr="00F71F57">
        <w:rPr>
          <w:lang w:bidi="fa-IR"/>
        </w:rPr>
        <w:t>1.2.3.2 Attention and Vigilance Impairments</w:t>
      </w:r>
      <w:bookmarkEnd w:id="27"/>
    </w:p>
    <w:p w14:paraId="45B4C7A7" w14:textId="021C4ABC" w:rsidR="00CC5520" w:rsidRPr="0061070A" w:rsidRDefault="008C5503"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 xml:space="preserve">Research shows that attention deficits are closely linked to neurodegeneration in critical areas such as the frontal lobe and thalamus. The thalamus plays a pivotal role in cognitive functions, including attention and information processing speed. Neurodegeneration affecting thalamic nuclei can result in pronounced cognitive impairments due to disrupted neural pathways </w:t>
      </w:r>
      <w:r w:rsidR="009B198D" w:rsidRPr="00F71F57">
        <w:rPr>
          <w:rFonts w:asciiTheme="majorBidi" w:hAnsiTheme="majorBidi" w:cstheme="majorBidi"/>
          <w:sz w:val="24"/>
          <w:szCs w:val="24"/>
          <w:lang w:val="en-GB" w:bidi="fa-IR"/>
        </w:rPr>
        <w:fldChar w:fldCharType="begin"/>
      </w:r>
      <w:r w:rsidR="009B198D" w:rsidRPr="00F71F57">
        <w:rPr>
          <w:rFonts w:asciiTheme="majorBidi" w:hAnsiTheme="majorBidi" w:cstheme="majorBidi"/>
          <w:sz w:val="24"/>
          <w:szCs w:val="24"/>
          <w:lang w:val="en-GB" w:bidi="fa-IR"/>
        </w:rPr>
        <w:instrText xml:space="preserve"> ADDIN EN.CITE &lt;EndNote&gt;&lt;Cite&gt;&lt;Author&gt;Albuz&lt;/Author&gt;&lt;Year&gt;2024&lt;/Year&gt;&lt;RecNum&gt;158&lt;/RecNum&gt;&lt;DisplayText&gt;(Albuz et al., 2024)&lt;/DisplayText&gt;&lt;record&gt;&lt;rec-number&gt;158&lt;/rec-number&gt;&lt;foreign-keys&gt;&lt;key app="EN" db-id="2ptrtps0adr9vke22dn5tpwzrsfaxtxrfwet" timestamp="1755694294"&gt;158&lt;/key&gt;&lt;/foreign-keys&gt;&lt;ref-type name="Journal Article"&gt;17&lt;/ref-type&gt;&lt;contributors&gt;&lt;authors&gt;&lt;author&gt;Albuz, Özlem Yalınkaya&lt;/author&gt;&lt;author&gt;Acır, İbrahim&lt;/author&gt;&lt;author&gt;Haşimoğlu, Ozan&lt;/author&gt;&lt;author&gt;Suskun, Melis&lt;/author&gt;&lt;author&gt;Hocaoğlu, Elif&lt;/author&gt;&lt;author&gt;Yayla, Vildan&lt;/author&gt;&lt;/authors&gt;&lt;/contributors&gt;&lt;titles&gt;&lt;title&gt;Cranial Volume Measurement With Artificial Intelligence and Cognitive Scales in Patients With Clinically Isolated Syndrome&lt;/title&gt;&lt;secondary-title&gt;Frontiers in Neurology&lt;/secondary-title&gt;&lt;/titles&gt;&lt;periodical&gt;&lt;full-title&gt;Frontiers in Neurology&lt;/full-title&gt;&lt;/periodical&gt;&lt;volume&gt;15&lt;/volume&gt;&lt;dates&gt;&lt;year&gt;2024&lt;/year&gt;&lt;/dates&gt;&lt;urls&gt;&lt;/urls&gt;&lt;electronic-resource-num&gt;10.3389/fneur.2024.1500140&lt;/electronic-resource-num&gt;&lt;/record&gt;&lt;/Cite&gt;&lt;/EndNote&gt;</w:instrText>
      </w:r>
      <w:r w:rsidR="009B198D" w:rsidRPr="00F71F57">
        <w:rPr>
          <w:rFonts w:asciiTheme="majorBidi" w:hAnsiTheme="majorBidi" w:cstheme="majorBidi"/>
          <w:sz w:val="24"/>
          <w:szCs w:val="24"/>
          <w:lang w:val="en-GB" w:bidi="fa-IR"/>
        </w:rPr>
        <w:fldChar w:fldCharType="separate"/>
      </w:r>
      <w:r w:rsidR="009B198D" w:rsidRPr="00F71F57">
        <w:rPr>
          <w:rFonts w:asciiTheme="majorBidi" w:hAnsiTheme="majorBidi" w:cstheme="majorBidi"/>
          <w:sz w:val="24"/>
          <w:szCs w:val="24"/>
          <w:lang w:val="en-GB" w:bidi="fa-IR"/>
        </w:rPr>
        <w:t>(</w:t>
      </w:r>
      <w:hyperlink w:anchor="_ENREF_3" w:tooltip="Albuz, 2024 #158" w:history="1">
        <w:r w:rsidR="00DE113E" w:rsidRPr="00F71F57">
          <w:rPr>
            <w:rFonts w:asciiTheme="majorBidi" w:hAnsiTheme="majorBidi" w:cstheme="majorBidi"/>
            <w:sz w:val="24"/>
            <w:szCs w:val="24"/>
            <w:lang w:val="en-GB" w:bidi="fa-IR"/>
          </w:rPr>
          <w:t>Albuz et al., 2024</w:t>
        </w:r>
      </w:hyperlink>
      <w:r w:rsidR="009B198D" w:rsidRPr="00F71F57">
        <w:rPr>
          <w:rFonts w:asciiTheme="majorBidi" w:hAnsiTheme="majorBidi" w:cstheme="majorBidi"/>
          <w:sz w:val="24"/>
          <w:szCs w:val="24"/>
          <w:lang w:val="en-GB" w:bidi="fa-IR"/>
        </w:rPr>
        <w:t>)</w:t>
      </w:r>
      <w:r w:rsidR="009B198D" w:rsidRPr="00F71F57">
        <w:rPr>
          <w:rFonts w:asciiTheme="majorBidi" w:hAnsiTheme="majorBidi" w:cstheme="majorBidi"/>
          <w:sz w:val="24"/>
          <w:szCs w:val="24"/>
          <w:lang w:val="en-GB" w:bidi="fa-IR"/>
        </w:rPr>
        <w:fldChar w:fldCharType="end"/>
      </w:r>
      <w:r w:rsidR="009B198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Additionally, changes in vigilance state stability — often characterized by fluctuating arousal levels and attention lapses — are frequently observed in patients with neurodegenerative conditions. Such alterations may stem from intrinsic changes in sleep patterns and cognitive load management in patients </w:t>
      </w:r>
      <w:r w:rsidR="009B198D" w:rsidRPr="00F71F57">
        <w:rPr>
          <w:rFonts w:asciiTheme="majorBidi" w:hAnsiTheme="majorBidi" w:cstheme="majorBidi"/>
          <w:sz w:val="24"/>
          <w:szCs w:val="24"/>
          <w:lang w:val="en-GB" w:bidi="fa-IR"/>
        </w:rPr>
        <w:fldChar w:fldCharType="begin"/>
      </w:r>
      <w:r w:rsidR="009B198D" w:rsidRPr="00F71F57">
        <w:rPr>
          <w:rFonts w:asciiTheme="majorBidi" w:hAnsiTheme="majorBidi" w:cstheme="majorBidi"/>
          <w:sz w:val="24"/>
          <w:szCs w:val="24"/>
          <w:lang w:val="en-GB" w:bidi="fa-IR"/>
        </w:rPr>
        <w:instrText xml:space="preserve"> ADDIN EN.CITE &lt;EndNote&gt;&lt;Cite&gt;&lt;Author&gt;Dias&lt;/Author&gt;&lt;Year&gt;2024&lt;/Year&gt;&lt;RecNum&gt;159&lt;/RecNum&gt;&lt;DisplayText&gt;(Dias et al., 2024)&lt;/DisplayText&gt;&lt;record&gt;&lt;rec-number&gt;159&lt;/rec-number&gt;&lt;foreign-keys&gt;&lt;key app="EN" db-id="2ptrtps0adr9vke22dn5tpwzrsfaxtxrfwet" timestamp="1755694339"&gt;159&lt;/key&gt;&lt;/foreign-keys&gt;&lt;ref-type name="Journal Article"&gt;17&lt;/ref-type&gt;&lt;contributors&gt;&lt;authors&gt;&lt;author&gt;Dias, Inês&lt;/author&gt;&lt;author&gt;Baumann, Christian R.&lt;/author&gt;&lt;author&gt;Noaín, Daniela&lt;/author&gt;&lt;/authors&gt;&lt;/contributors&gt;&lt;titles&gt;&lt;title&gt;mCLAS Adaptively Rescues Disease-Specific Sleep and Wake Phenotypes in Neurodegeneration&lt;/title&gt;&lt;/titles&gt;&lt;dates&gt;&lt;year&gt;2024&lt;/year&gt;&lt;/dates&gt;&lt;urls&gt;&lt;/urls&gt;&lt;electronic-resource-num&gt;10.1101/2024.08.20.608757&lt;/electronic-resource-num&gt;&lt;/record&gt;&lt;/Cite&gt;&lt;/EndNote&gt;</w:instrText>
      </w:r>
      <w:r w:rsidR="009B198D" w:rsidRPr="00F71F57">
        <w:rPr>
          <w:rFonts w:asciiTheme="majorBidi" w:hAnsiTheme="majorBidi" w:cstheme="majorBidi"/>
          <w:sz w:val="24"/>
          <w:szCs w:val="24"/>
          <w:lang w:val="en-GB" w:bidi="fa-IR"/>
        </w:rPr>
        <w:fldChar w:fldCharType="separate"/>
      </w:r>
      <w:r w:rsidR="009B198D" w:rsidRPr="00F71F57">
        <w:rPr>
          <w:rFonts w:asciiTheme="majorBidi" w:hAnsiTheme="majorBidi" w:cstheme="majorBidi"/>
          <w:sz w:val="24"/>
          <w:szCs w:val="24"/>
          <w:lang w:val="en-GB" w:bidi="fa-IR"/>
        </w:rPr>
        <w:t>(</w:t>
      </w:r>
      <w:hyperlink w:anchor="_ENREF_63" w:tooltip="Dias, 2024 #159" w:history="1">
        <w:r w:rsidR="00DE113E" w:rsidRPr="00F71F57">
          <w:rPr>
            <w:rFonts w:asciiTheme="majorBidi" w:hAnsiTheme="majorBidi" w:cstheme="majorBidi"/>
            <w:sz w:val="24"/>
            <w:szCs w:val="24"/>
            <w:lang w:val="en-GB" w:bidi="fa-IR"/>
          </w:rPr>
          <w:t>Dias et al., 2024</w:t>
        </w:r>
      </w:hyperlink>
      <w:r w:rsidR="009B198D" w:rsidRPr="00F71F57">
        <w:rPr>
          <w:rFonts w:asciiTheme="majorBidi" w:hAnsiTheme="majorBidi" w:cstheme="majorBidi"/>
          <w:sz w:val="24"/>
          <w:szCs w:val="24"/>
          <w:lang w:val="en-GB" w:bidi="fa-IR"/>
        </w:rPr>
        <w:t>)</w:t>
      </w:r>
      <w:r w:rsidR="009B198D" w:rsidRPr="00F71F57">
        <w:rPr>
          <w:rFonts w:asciiTheme="majorBidi" w:hAnsiTheme="majorBidi" w:cstheme="majorBidi"/>
          <w:sz w:val="24"/>
          <w:szCs w:val="24"/>
          <w:lang w:val="en-GB" w:bidi="fa-IR"/>
        </w:rPr>
        <w:fldChar w:fldCharType="end"/>
      </w:r>
      <w:r w:rsidR="009B198D" w:rsidRPr="00F71F57">
        <w:rPr>
          <w:rFonts w:asciiTheme="majorBidi" w:hAnsiTheme="majorBidi" w:cstheme="majorBidi"/>
          <w:sz w:val="24"/>
          <w:szCs w:val="24"/>
          <w:lang w:val="en-GB" w:bidi="fa-IR"/>
        </w:rPr>
        <w:t>.</w:t>
      </w:r>
      <w:r w:rsidR="00952CC1"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Further complicating the landscape of attention impairments in neurodegeneration is the role of executive functions. Impaired performance on tasks requiring sustained attention, known as the "vigilance decrement," is often observed in aging and cognitive impairment contexts, including mild cognitive impairment and dementia </w:t>
      </w:r>
      <w:r w:rsidR="009B198D" w:rsidRPr="00F71F57">
        <w:rPr>
          <w:rFonts w:asciiTheme="majorBidi" w:hAnsiTheme="majorBidi" w:cstheme="majorBidi"/>
          <w:sz w:val="24"/>
          <w:szCs w:val="24"/>
          <w:lang w:val="en-GB" w:bidi="fa-IR"/>
        </w:rPr>
        <w:fldChar w:fldCharType="begin"/>
      </w:r>
      <w:r w:rsidR="009B198D" w:rsidRPr="00F71F57">
        <w:rPr>
          <w:rFonts w:asciiTheme="majorBidi" w:hAnsiTheme="majorBidi" w:cstheme="majorBidi"/>
          <w:sz w:val="24"/>
          <w:szCs w:val="24"/>
          <w:lang w:val="en-GB" w:bidi="fa-IR"/>
        </w:rPr>
        <w:instrText xml:space="preserve"> ADDIN EN.CITE &lt;EndNote&gt;&lt;Cite&gt;&lt;Author&gt;Dewar&lt;/Author&gt;&lt;Year&gt;2016&lt;/Year&gt;&lt;RecNum&gt;160&lt;/RecNum&gt;&lt;DisplayText&gt;(Dewar et al., 2016; Esterman et al., 2016)&lt;/DisplayText&gt;&lt;record&gt;&lt;rec-number&gt;160&lt;/rec-number&gt;&lt;foreign-keys&gt;&lt;key app="EN" db-id="2ptrtps0adr9vke22dn5tpwzrsfaxtxrfwet" timestamp="1755694394"&gt;160&lt;/key&gt;&lt;/foreign-keys&gt;&lt;ref-type name="Journal Article"&gt;17&lt;/ref-type&gt;&lt;contributors&gt;&lt;authors&gt;&lt;author&gt;Dewar, Alexis R.&lt;/author&gt;&lt;author&gt;Fraulini, Nicholas W.&lt;/author&gt;&lt;author&gt;Claypoole, Victoria L.&lt;/author&gt;&lt;author&gt;Szalma, James L.&lt;/author&gt;&lt;/authors&gt;&lt;/contributors&gt;&lt;titles&gt;&lt;title&gt;Performance in Vigilance Tasks Is Related to Both State and Contextual Motivation&lt;/title&gt;&lt;secondary-title&gt;Proceedings of the Human Factors and Ergonomics Society Annual Meeting&lt;/secondary-title&gt;&lt;/titles&gt;&lt;periodical&gt;&lt;full-title&gt;Proceedings of the Human Factors and Ergonomics Society Annual Meeting&lt;/full-title&gt;&lt;/periodical&gt;&lt;pages&gt;1145-1149&lt;/pages&gt;&lt;volume&gt;60&lt;/volume&gt;&lt;number&gt;1&lt;/number&gt;&lt;dates&gt;&lt;year&gt;2016&lt;/year&gt;&lt;/dates&gt;&lt;urls&gt;&lt;/urls&gt;&lt;electronic-resource-num&gt;10.1177/1541931213601268&lt;/electronic-resource-num&gt;&lt;/record&gt;&lt;/Cite&gt;&lt;Cite&gt;&lt;Author&gt;Esterman&lt;/Author&gt;&lt;Year&gt;2016&lt;/Year&gt;&lt;RecNum&gt;161&lt;/RecNum&gt;&lt;record&gt;&lt;rec-number&gt;161&lt;/rec-number&gt;&lt;foreign-keys&gt;&lt;key app="EN" db-id="2ptrtps0adr9vke22dn5tpwzrsfaxtxrfwet" timestamp="1755694413"&gt;161&lt;/key&gt;&lt;/foreign-keys&gt;&lt;ref-type name="Journal Article"&gt;17&lt;/ref-type&gt;&lt;contributors&gt;&lt;authors&gt;&lt;author&gt;Esterman, Michael&lt;/author&gt;&lt;author&gt;Grosso, Mallory&lt;/author&gt;&lt;author&gt;Liu, Guanyu&lt;/author&gt;&lt;author&gt;Mitko, Alex&lt;/author&gt;&lt;author&gt;Morris, Rachael&lt;/author&gt;&lt;author&gt;DeGutis, Joseph&lt;/author&gt;&lt;/authors&gt;&lt;/contributors&gt;&lt;titles&gt;&lt;title&gt;Anticipation of Monetary Reward Can Attenuate the Vigilance Decrement&lt;/title&gt;&lt;secondary-title&gt;Plos One&lt;/secondary-title&gt;&lt;/titles&gt;&lt;periodical&gt;&lt;full-title&gt;Plos One&lt;/full-title&gt;&lt;/periodical&gt;&lt;pages&gt;e0159741&lt;/pages&gt;&lt;volume&gt;11&lt;/volume&gt;&lt;number&gt;7&lt;/number&gt;&lt;dates&gt;&lt;year&gt;2016&lt;/year&gt;&lt;/dates&gt;&lt;urls&gt;&lt;/urls&gt;&lt;electronic-resource-num&gt;10.1371/journal.pone.0159741&lt;/electronic-resource-num&gt;&lt;/record&gt;&lt;/Cite&gt;&lt;/EndNote&gt;</w:instrText>
      </w:r>
      <w:r w:rsidR="009B198D" w:rsidRPr="00F71F57">
        <w:rPr>
          <w:rFonts w:asciiTheme="majorBidi" w:hAnsiTheme="majorBidi" w:cstheme="majorBidi"/>
          <w:sz w:val="24"/>
          <w:szCs w:val="24"/>
          <w:lang w:val="en-GB" w:bidi="fa-IR"/>
        </w:rPr>
        <w:fldChar w:fldCharType="separate"/>
      </w:r>
      <w:r w:rsidR="009B198D" w:rsidRPr="00F71F57">
        <w:rPr>
          <w:rFonts w:asciiTheme="majorBidi" w:hAnsiTheme="majorBidi" w:cstheme="majorBidi"/>
          <w:sz w:val="24"/>
          <w:szCs w:val="24"/>
          <w:lang w:val="en-GB" w:bidi="fa-IR"/>
        </w:rPr>
        <w:t>(</w:t>
      </w:r>
      <w:hyperlink w:anchor="_ENREF_62" w:tooltip="Dewar, 2016 #160" w:history="1">
        <w:r w:rsidR="00DE113E" w:rsidRPr="00F71F57">
          <w:rPr>
            <w:rFonts w:asciiTheme="majorBidi" w:hAnsiTheme="majorBidi" w:cstheme="majorBidi"/>
            <w:sz w:val="24"/>
            <w:szCs w:val="24"/>
            <w:lang w:val="en-GB" w:bidi="fa-IR"/>
          </w:rPr>
          <w:t>Dewar et al., 2016</w:t>
        </w:r>
      </w:hyperlink>
      <w:r w:rsidR="009B198D" w:rsidRPr="00F71F57">
        <w:rPr>
          <w:rFonts w:asciiTheme="majorBidi" w:hAnsiTheme="majorBidi" w:cstheme="majorBidi"/>
          <w:sz w:val="24"/>
          <w:szCs w:val="24"/>
          <w:lang w:val="en-GB" w:bidi="fa-IR"/>
        </w:rPr>
        <w:t xml:space="preserve">; </w:t>
      </w:r>
      <w:hyperlink w:anchor="_ENREF_74" w:tooltip="Esterman, 2016 #161" w:history="1">
        <w:r w:rsidR="00DE113E" w:rsidRPr="00F71F57">
          <w:rPr>
            <w:rFonts w:asciiTheme="majorBidi" w:hAnsiTheme="majorBidi" w:cstheme="majorBidi"/>
            <w:sz w:val="24"/>
            <w:szCs w:val="24"/>
            <w:lang w:val="en-GB" w:bidi="fa-IR"/>
          </w:rPr>
          <w:t>Esterman et al., 2016</w:t>
        </w:r>
      </w:hyperlink>
      <w:r w:rsidR="009B198D" w:rsidRPr="00F71F57">
        <w:rPr>
          <w:rFonts w:asciiTheme="majorBidi" w:hAnsiTheme="majorBidi" w:cstheme="majorBidi"/>
          <w:sz w:val="24"/>
          <w:szCs w:val="24"/>
          <w:lang w:val="en-GB" w:bidi="fa-IR"/>
        </w:rPr>
        <w:t>)</w:t>
      </w:r>
      <w:r w:rsidR="009B198D" w:rsidRPr="00F71F57">
        <w:rPr>
          <w:rFonts w:asciiTheme="majorBidi" w:hAnsiTheme="majorBidi" w:cstheme="majorBidi"/>
          <w:sz w:val="24"/>
          <w:szCs w:val="24"/>
          <w:lang w:val="en-GB" w:bidi="fa-IR"/>
        </w:rPr>
        <w:fldChar w:fldCharType="end"/>
      </w:r>
      <w:r w:rsidR="009B198D" w:rsidRPr="00F71F57">
        <w:rPr>
          <w:rFonts w:asciiTheme="majorBidi" w:hAnsiTheme="majorBidi" w:cstheme="majorBidi"/>
          <w:sz w:val="24"/>
          <w:szCs w:val="24"/>
          <w:lang w:val="en-GB" w:bidi="fa-IR"/>
        </w:rPr>
        <w:t>.</w:t>
      </w:r>
      <w:r w:rsidR="00B56F3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Conditions like Parkinson’s disease and Alzheimer’s disease exacerbate difficulties in maintaining sustained attention due to dopaminergic and noradrenergic degeneration </w:t>
      </w:r>
      <w:r w:rsidR="009B198D" w:rsidRPr="00F71F57">
        <w:rPr>
          <w:rFonts w:asciiTheme="majorBidi" w:hAnsiTheme="majorBidi" w:cstheme="majorBidi"/>
          <w:sz w:val="24"/>
          <w:szCs w:val="24"/>
          <w:lang w:val="en-GB" w:bidi="fa-IR"/>
        </w:rPr>
        <w:fldChar w:fldCharType="begin"/>
      </w:r>
      <w:r w:rsidR="009B198D" w:rsidRPr="00F71F57">
        <w:rPr>
          <w:rFonts w:asciiTheme="majorBidi" w:hAnsiTheme="majorBidi" w:cstheme="majorBidi"/>
          <w:sz w:val="24"/>
          <w:szCs w:val="24"/>
          <w:lang w:val="en-GB" w:bidi="fa-IR"/>
        </w:rPr>
        <w:instrText xml:space="preserve"> ADDIN EN.CITE &lt;EndNote&gt;&lt;Cite&gt;&lt;Author&gt;Sun&lt;/Author&gt;&lt;Year&gt;2024&lt;/Year&gt;&lt;RecNum&gt;162&lt;/RecNum&gt;&lt;DisplayText&gt;(Sun et al., 2024)&lt;/DisplayText&gt;&lt;record&gt;&lt;rec-number&gt;162&lt;/rec-number&gt;&lt;foreign-keys&gt;&lt;key app="EN" db-id="2ptrtps0adr9vke22dn5tpwzrsfaxtxrfwet" timestamp="1755694455"&gt;162&lt;/key&gt;&lt;/foreign-keys&gt;&lt;ref-type name="Journal Article"&gt;17&lt;/ref-type&gt;&lt;contributors&gt;&lt;authors&gt;&lt;author&gt;Sun, Sophie&lt;/author&gt;&lt;author&gt;Madge, Victoria&lt;/author&gt;&lt;author&gt;Djordjevic, Jelena&lt;/author&gt;&lt;author&gt;Gagnon, Jean‐François&lt;/author&gt;&lt;author&gt;Collins, D. Louis&lt;/author&gt;&lt;author&gt;Dagher, Alain&lt;/author&gt;&lt;author&gt;Sharp, Madeleine&lt;/author&gt;&lt;/authors&gt;&lt;/contributors&gt;&lt;titles&gt;&lt;title&gt;Selective Effects of Dopaminergic and Noradrenergic Degeneration on Cognition in Parkinson’s Disease&lt;/title&gt;&lt;/titles&gt;&lt;dates&gt;&lt;year&gt;2024&lt;/year&gt;&lt;/dates&gt;&lt;urls&gt;&lt;/urls&gt;&lt;electronic-resource-num&gt;10.1101/2024.09.16.24313753&lt;/electronic-resource-num&gt;&lt;/record&gt;&lt;/Cite&gt;&lt;/EndNote&gt;</w:instrText>
      </w:r>
      <w:r w:rsidR="009B198D" w:rsidRPr="00F71F57">
        <w:rPr>
          <w:rFonts w:asciiTheme="majorBidi" w:hAnsiTheme="majorBidi" w:cstheme="majorBidi"/>
          <w:sz w:val="24"/>
          <w:szCs w:val="24"/>
          <w:lang w:val="en-GB" w:bidi="fa-IR"/>
        </w:rPr>
        <w:fldChar w:fldCharType="separate"/>
      </w:r>
      <w:r w:rsidR="009B198D" w:rsidRPr="00F71F57">
        <w:rPr>
          <w:rFonts w:asciiTheme="majorBidi" w:hAnsiTheme="majorBidi" w:cstheme="majorBidi"/>
          <w:sz w:val="24"/>
          <w:szCs w:val="24"/>
          <w:lang w:val="en-GB" w:bidi="fa-IR"/>
        </w:rPr>
        <w:t>(</w:t>
      </w:r>
      <w:hyperlink w:anchor="_ENREF_235" w:tooltip="Sun, 2024 #162" w:history="1">
        <w:r w:rsidR="00DE113E" w:rsidRPr="00F71F57">
          <w:rPr>
            <w:rFonts w:asciiTheme="majorBidi" w:hAnsiTheme="majorBidi" w:cstheme="majorBidi"/>
            <w:sz w:val="24"/>
            <w:szCs w:val="24"/>
            <w:lang w:val="en-GB" w:bidi="fa-IR"/>
          </w:rPr>
          <w:t>Sun et al., 2024</w:t>
        </w:r>
      </w:hyperlink>
      <w:r w:rsidR="009B198D" w:rsidRPr="00F71F57">
        <w:rPr>
          <w:rFonts w:asciiTheme="majorBidi" w:hAnsiTheme="majorBidi" w:cstheme="majorBidi"/>
          <w:sz w:val="24"/>
          <w:szCs w:val="24"/>
          <w:lang w:val="en-GB" w:bidi="fa-IR"/>
        </w:rPr>
        <w:t>)</w:t>
      </w:r>
      <w:r w:rsidR="009B198D"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This neurochemical decline adversely impacts cognitive processes like decision-making and working memory — critical components of sustained attention</w:t>
      </w:r>
      <w:r w:rsidR="009B198D" w:rsidRPr="00F71F57">
        <w:rPr>
          <w:lang w:val="en-GB"/>
        </w:rPr>
        <w:t xml:space="preserve"> </w:t>
      </w:r>
      <w:r w:rsidR="009B198D" w:rsidRPr="00F71F57">
        <w:rPr>
          <w:rFonts w:asciiTheme="majorBidi" w:hAnsiTheme="majorBidi" w:cstheme="majorBidi"/>
          <w:sz w:val="24"/>
          <w:szCs w:val="24"/>
          <w:lang w:val="en-GB" w:bidi="fa-IR"/>
        </w:rPr>
        <w:fldChar w:fldCharType="begin"/>
      </w:r>
      <w:r w:rsidR="009B198D" w:rsidRPr="00F71F57">
        <w:rPr>
          <w:rFonts w:asciiTheme="majorBidi" w:hAnsiTheme="majorBidi" w:cstheme="majorBidi"/>
          <w:sz w:val="24"/>
          <w:szCs w:val="24"/>
          <w:lang w:val="en-GB" w:bidi="fa-IR"/>
        </w:rPr>
        <w:instrText xml:space="preserve"> ADDIN EN.CITE &lt;EndNote&gt;&lt;Cite&gt;&lt;Author&gt;Kirova&lt;/Author&gt;&lt;Year&gt;2015&lt;/Year&gt;&lt;RecNum&gt;163&lt;/RecNum&gt;&lt;DisplayText&gt;(Kirova et al., 2015)&lt;/DisplayText&gt;&lt;record&gt;&lt;rec-number&gt;163&lt;/rec-number&gt;&lt;foreign-keys&gt;&lt;key app="EN" db-id="2ptrtps0adr9vke22dn5tpwzrsfaxtxrfwet" timestamp="1755694486"&gt;163&lt;/key&gt;&lt;/foreign-keys&gt;&lt;ref-type name="Journal Article"&gt;17&lt;/ref-type&gt;&lt;contributors&gt;&lt;authors&gt;&lt;author&gt;Kirova, Anna-Mariya&lt;/author&gt;&lt;author&gt;Bays, Rebecca B.&lt;/author&gt;&lt;author&gt;Lagalwar, Sarita&lt;/author&gt;&lt;/authors&gt;&lt;/contributors&gt;&lt;titles&gt;&lt;title&gt;Working Memory and Executive Function Decline Across Normal Aging, Mild Cognitive Impairment, and Alzheimer’s Disease&lt;/title&gt;&lt;secondary-title&gt;Biomed Research International&lt;/secondary-title&gt;&lt;/titles&gt;&lt;periodical&gt;&lt;full-title&gt;Biomed Research International&lt;/full-title&gt;&lt;/periodical&gt;&lt;pages&gt;1-9&lt;/pages&gt;&lt;volume&gt;2015&lt;/volume&gt;&lt;dates&gt;&lt;year&gt;2015&lt;/year&gt;&lt;/dates&gt;&lt;urls&gt;&lt;/urls&gt;&lt;electronic-resource-num&gt;10.1155/2015/748212&lt;/electronic-resource-num&gt;&lt;/record&gt;&lt;/Cite&gt;&lt;/EndNote&gt;</w:instrText>
      </w:r>
      <w:r w:rsidR="009B198D" w:rsidRPr="00F71F57">
        <w:rPr>
          <w:rFonts w:asciiTheme="majorBidi" w:hAnsiTheme="majorBidi" w:cstheme="majorBidi"/>
          <w:sz w:val="24"/>
          <w:szCs w:val="24"/>
          <w:lang w:val="en-GB" w:bidi="fa-IR"/>
        </w:rPr>
        <w:fldChar w:fldCharType="separate"/>
      </w:r>
      <w:r w:rsidR="009B198D" w:rsidRPr="00F71F57">
        <w:rPr>
          <w:rFonts w:asciiTheme="majorBidi" w:hAnsiTheme="majorBidi" w:cstheme="majorBidi"/>
          <w:sz w:val="24"/>
          <w:szCs w:val="24"/>
          <w:lang w:val="en-GB" w:bidi="fa-IR"/>
        </w:rPr>
        <w:t>(</w:t>
      </w:r>
      <w:hyperlink w:anchor="_ENREF_132" w:tooltip="Kirova, 2015 #163" w:history="1">
        <w:r w:rsidR="00DE113E" w:rsidRPr="00F71F57">
          <w:rPr>
            <w:rFonts w:asciiTheme="majorBidi" w:hAnsiTheme="majorBidi" w:cstheme="majorBidi"/>
            <w:sz w:val="24"/>
            <w:szCs w:val="24"/>
            <w:lang w:val="en-GB" w:bidi="fa-IR"/>
          </w:rPr>
          <w:t>Kirova et al., 2015</w:t>
        </w:r>
      </w:hyperlink>
      <w:r w:rsidR="009B198D" w:rsidRPr="00F71F57">
        <w:rPr>
          <w:rFonts w:asciiTheme="majorBidi" w:hAnsiTheme="majorBidi" w:cstheme="majorBidi"/>
          <w:sz w:val="24"/>
          <w:szCs w:val="24"/>
          <w:lang w:val="en-GB" w:bidi="fa-IR"/>
        </w:rPr>
        <w:t>)</w:t>
      </w:r>
      <w:r w:rsidR="009B198D" w:rsidRPr="00F71F57">
        <w:rPr>
          <w:rFonts w:asciiTheme="majorBidi" w:hAnsiTheme="majorBidi" w:cstheme="majorBidi"/>
          <w:sz w:val="24"/>
          <w:szCs w:val="24"/>
          <w:lang w:val="en-GB" w:bidi="fa-IR"/>
        </w:rPr>
        <w:fldChar w:fldCharType="end"/>
      </w:r>
      <w:r w:rsidR="009B198D" w:rsidRPr="00F71F57">
        <w:rPr>
          <w:rFonts w:asciiTheme="majorBidi" w:hAnsiTheme="majorBidi" w:cstheme="majorBidi"/>
          <w:sz w:val="24"/>
          <w:szCs w:val="24"/>
          <w:lang w:val="en-GB" w:bidi="fa-IR"/>
        </w:rPr>
        <w:t>.</w:t>
      </w:r>
      <w:r w:rsidR="00952CC1"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 link between attention and cognitive tasks has prompted investigations into various intervention strategies aimed at mitigating attention deficits. For instance, using rewards to enhance </w:t>
      </w:r>
      <w:r w:rsidRPr="00F71F57">
        <w:rPr>
          <w:rFonts w:asciiTheme="majorBidi" w:hAnsiTheme="majorBidi" w:cstheme="majorBidi"/>
          <w:sz w:val="24"/>
          <w:szCs w:val="24"/>
          <w:lang w:val="en-GB" w:bidi="fa-IR"/>
        </w:rPr>
        <w:lastRenderedPageBreak/>
        <w:t xml:space="preserve">motivation has demonstrated significant effects on sustaining attention performance, suggesting possible avenues for therapeutic approaches </w:t>
      </w:r>
      <w:r w:rsidR="009B198D" w:rsidRPr="00F71F57">
        <w:rPr>
          <w:rFonts w:asciiTheme="majorBidi" w:hAnsiTheme="majorBidi" w:cstheme="majorBidi"/>
          <w:sz w:val="24"/>
          <w:szCs w:val="24"/>
          <w:lang w:val="en-GB" w:bidi="fa-IR"/>
        </w:rPr>
        <w:fldChar w:fldCharType="begin"/>
      </w:r>
      <w:r w:rsidR="009B198D" w:rsidRPr="00F71F57">
        <w:rPr>
          <w:rFonts w:asciiTheme="majorBidi" w:hAnsiTheme="majorBidi" w:cstheme="majorBidi"/>
          <w:sz w:val="24"/>
          <w:szCs w:val="24"/>
          <w:lang w:val="en-GB" w:bidi="fa-IR"/>
        </w:rPr>
        <w:instrText xml:space="preserve"> ADDIN EN.CITE &lt;EndNote&gt;&lt;Cite&gt;&lt;Author&gt;Esterman&lt;/Author&gt;&lt;Year&gt;2016&lt;/Year&gt;&lt;RecNum&gt;161&lt;/RecNum&gt;&lt;DisplayText&gt;(Esterman et al., 2016; Trach et al., 2022)&lt;/DisplayText&gt;&lt;record&gt;&lt;rec-number&gt;161&lt;/rec-number&gt;&lt;foreign-keys&gt;&lt;key app="EN" db-id="2ptrtps0adr9vke22dn5tpwzrsfaxtxrfwet" timestamp="1755694413"&gt;161&lt;/key&gt;&lt;/foreign-keys&gt;&lt;ref-type name="Journal Article"&gt;17&lt;/ref-type&gt;&lt;contributors&gt;&lt;authors&gt;&lt;author&gt;Esterman, Michael&lt;/author&gt;&lt;author&gt;Grosso, Mallory&lt;/author&gt;&lt;author&gt;Liu, Guanyu&lt;/author&gt;&lt;author&gt;Mitko, Alex&lt;/author&gt;&lt;author&gt;Morris, Rachael&lt;/author&gt;&lt;author&gt;DeGutis, Joseph&lt;/author&gt;&lt;/authors&gt;&lt;/contributors&gt;&lt;titles&gt;&lt;title&gt;Anticipation of Monetary Reward Can Attenuate the Vigilance Decrement&lt;/title&gt;&lt;secondary-title&gt;Plos One&lt;/secondary-title&gt;&lt;/titles&gt;&lt;periodical&gt;&lt;full-title&gt;Plos One&lt;/full-title&gt;&lt;/periodical&gt;&lt;pages&gt;e0159741&lt;/pages&gt;&lt;volume&gt;11&lt;/volume&gt;&lt;number&gt;7&lt;/number&gt;&lt;dates&gt;&lt;year&gt;2016&lt;/year&gt;&lt;/dates&gt;&lt;urls&gt;&lt;/urls&gt;&lt;electronic-resource-num&gt;10.1371/journal.pone.0159741&lt;/electronic-resource-num&gt;&lt;/record&gt;&lt;/Cite&gt;&lt;Cite&gt;&lt;Author&gt;Trach&lt;/Author&gt;&lt;Year&gt;2022&lt;/Year&gt;&lt;RecNum&gt;164&lt;/RecNum&gt;&lt;record&gt;&lt;rec-number&gt;164&lt;/rec-number&gt;&lt;foreign-keys&gt;&lt;key app="EN" db-id="2ptrtps0adr9vke22dn5tpwzrsfaxtxrfwet" timestamp="1755694568"&gt;164&lt;/key&gt;&lt;/foreign-keys&gt;&lt;ref-type name="Journal Article"&gt;17&lt;/ref-type&gt;&lt;contributors&gt;&lt;authors&gt;&lt;author&gt;Trach, Juliana&lt;/author&gt;&lt;author&gt;deBettencourt, Megan T.&lt;/author&gt;&lt;author&gt;Radulescu, Angela&lt;/author&gt;&lt;author&gt;McDougle, Samuel D.&lt;/author&gt;&lt;/authors&gt;&lt;/contributors&gt;&lt;titles&gt;&lt;title&gt;Reward Feedback Enhances Sustained Attention on Short Timescales&lt;/title&gt;&lt;/titles&gt;&lt;dates&gt;&lt;year&gt;2022&lt;/year&gt;&lt;/dates&gt;&lt;urls&gt;&lt;/urls&gt;&lt;electronic-resource-num&gt;10.31234/osf.io/c8zq7&lt;/electronic-resource-num&gt;&lt;/record&gt;&lt;/Cite&gt;&lt;/EndNote&gt;</w:instrText>
      </w:r>
      <w:r w:rsidR="009B198D" w:rsidRPr="00F71F57">
        <w:rPr>
          <w:rFonts w:asciiTheme="majorBidi" w:hAnsiTheme="majorBidi" w:cstheme="majorBidi"/>
          <w:sz w:val="24"/>
          <w:szCs w:val="24"/>
          <w:lang w:val="en-GB" w:bidi="fa-IR"/>
        </w:rPr>
        <w:fldChar w:fldCharType="separate"/>
      </w:r>
      <w:r w:rsidR="009B198D" w:rsidRPr="00F71F57">
        <w:rPr>
          <w:rFonts w:asciiTheme="majorBidi" w:hAnsiTheme="majorBidi" w:cstheme="majorBidi"/>
          <w:sz w:val="24"/>
          <w:szCs w:val="24"/>
          <w:lang w:val="en-GB" w:bidi="fa-IR"/>
        </w:rPr>
        <w:t>(</w:t>
      </w:r>
      <w:hyperlink w:anchor="_ENREF_74" w:tooltip="Esterman, 2016 #161" w:history="1">
        <w:r w:rsidR="00DE113E" w:rsidRPr="00F71F57">
          <w:rPr>
            <w:rFonts w:asciiTheme="majorBidi" w:hAnsiTheme="majorBidi" w:cstheme="majorBidi"/>
            <w:sz w:val="24"/>
            <w:szCs w:val="24"/>
            <w:lang w:val="en-GB" w:bidi="fa-IR"/>
          </w:rPr>
          <w:t>Esterman et al., 2016</w:t>
        </w:r>
      </w:hyperlink>
      <w:r w:rsidR="009B198D" w:rsidRPr="00F71F57">
        <w:rPr>
          <w:rFonts w:asciiTheme="majorBidi" w:hAnsiTheme="majorBidi" w:cstheme="majorBidi"/>
          <w:sz w:val="24"/>
          <w:szCs w:val="24"/>
          <w:lang w:val="en-GB" w:bidi="fa-IR"/>
        </w:rPr>
        <w:t xml:space="preserve">; </w:t>
      </w:r>
      <w:hyperlink w:anchor="_ENREF_250" w:tooltip="Trach, 2022 #164" w:history="1">
        <w:r w:rsidR="00DE113E" w:rsidRPr="00F71F57">
          <w:rPr>
            <w:rFonts w:asciiTheme="majorBidi" w:hAnsiTheme="majorBidi" w:cstheme="majorBidi"/>
            <w:sz w:val="24"/>
            <w:szCs w:val="24"/>
            <w:lang w:val="en-GB" w:bidi="fa-IR"/>
          </w:rPr>
          <w:t>Trach et al., 2022</w:t>
        </w:r>
      </w:hyperlink>
      <w:r w:rsidR="009B198D" w:rsidRPr="00F71F57">
        <w:rPr>
          <w:rFonts w:asciiTheme="majorBidi" w:hAnsiTheme="majorBidi" w:cstheme="majorBidi"/>
          <w:sz w:val="24"/>
          <w:szCs w:val="24"/>
          <w:lang w:val="en-GB" w:bidi="fa-IR"/>
        </w:rPr>
        <w:t>)</w:t>
      </w:r>
      <w:r w:rsidR="009B198D" w:rsidRPr="00F71F57">
        <w:rPr>
          <w:rFonts w:asciiTheme="majorBidi" w:hAnsiTheme="majorBidi" w:cstheme="majorBidi"/>
          <w:sz w:val="24"/>
          <w:szCs w:val="24"/>
          <w:lang w:val="en-GB" w:bidi="fa-IR"/>
        </w:rPr>
        <w:fldChar w:fldCharType="end"/>
      </w:r>
      <w:r w:rsidR="009B198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In experimental settings, </w:t>
      </w:r>
      <w:r w:rsidR="009B198D" w:rsidRPr="00F71F57">
        <w:rPr>
          <w:rFonts w:asciiTheme="majorBidi" w:hAnsiTheme="majorBidi" w:cstheme="majorBidi"/>
          <w:sz w:val="24"/>
          <w:szCs w:val="24"/>
          <w:lang w:val="en-GB" w:bidi="fa-IR"/>
        </w:rPr>
        <w:t>goal setting</w:t>
      </w:r>
      <w:r w:rsidRPr="00F71F57">
        <w:rPr>
          <w:rFonts w:asciiTheme="majorBidi" w:hAnsiTheme="majorBidi" w:cstheme="majorBidi"/>
          <w:sz w:val="24"/>
          <w:szCs w:val="24"/>
          <w:lang w:val="en-GB" w:bidi="fa-IR"/>
        </w:rPr>
        <w:t xml:space="preserve"> and feedback mechanisms have also been shown to effectively maintain vigilance across longer tasks </w:t>
      </w:r>
      <w:r w:rsidR="009B198D" w:rsidRPr="00F71F57">
        <w:rPr>
          <w:rFonts w:asciiTheme="majorBidi" w:hAnsiTheme="majorBidi" w:cstheme="majorBidi"/>
          <w:sz w:val="24"/>
          <w:szCs w:val="24"/>
          <w:lang w:val="en-GB" w:bidi="fa-IR"/>
        </w:rPr>
        <w:fldChar w:fldCharType="begin"/>
      </w:r>
      <w:r w:rsidR="009B198D" w:rsidRPr="00F71F57">
        <w:rPr>
          <w:rFonts w:asciiTheme="majorBidi" w:hAnsiTheme="majorBidi" w:cstheme="majorBidi"/>
          <w:sz w:val="24"/>
          <w:szCs w:val="24"/>
          <w:lang w:val="en-GB" w:bidi="fa-IR"/>
        </w:rPr>
        <w:instrText xml:space="preserve"> ADDIN EN.CITE &lt;EndNote&gt;&lt;Cite&gt;&lt;Author&gt;Robison&lt;/Author&gt;&lt;Year&gt;2021&lt;/Year&gt;&lt;RecNum&gt;165&lt;/RecNum&gt;&lt;DisplayText&gt;(Robison et al., 2021)&lt;/DisplayText&gt;&lt;record&gt;&lt;rec-number&gt;165&lt;/rec-number&gt;&lt;foreign-keys&gt;&lt;key app="EN" db-id="2ptrtps0adr9vke22dn5tpwzrsfaxtxrfwet" timestamp="1755694604"&gt;165&lt;/key&gt;&lt;/foreign-keys&gt;&lt;ref-type name="Journal Article"&gt;17&lt;/ref-type&gt;&lt;contributors&gt;&lt;authors&gt;&lt;author&gt;Robison, Matthew K.&lt;/author&gt;&lt;author&gt;Unsworth, Nash&lt;/author&gt;&lt;author&gt;Brewer, Gene A.&lt;/author&gt;&lt;/authors&gt;&lt;/contributors&gt;&lt;titles&gt;&lt;title&gt;Examining the Effects of Goal-Setting, Feedback, and Incentives on Sustained Attention&lt;/title&gt;&lt;secondary-title&gt;Journal of Experimental Psychology Human Perception &amp;amp; Performance&lt;/secondary-title&gt;&lt;/titles&gt;&lt;periodical&gt;&lt;full-title&gt;Journal of Experimental Psychology Human Perception &amp;amp; Performance&lt;/full-title&gt;&lt;/periodical&gt;&lt;pages&gt;869-891&lt;/pages&gt;&lt;volume&gt;47&lt;/volume&gt;&lt;number&gt;6&lt;/number&gt;&lt;dates&gt;&lt;year&gt;2021&lt;/year&gt;&lt;/dates&gt;&lt;urls&gt;&lt;/urls&gt;&lt;electronic-resource-num&gt;10.1037/xhp0000926&lt;/electronic-resource-num&gt;&lt;/record&gt;&lt;/Cite&gt;&lt;/EndNote&gt;</w:instrText>
      </w:r>
      <w:r w:rsidR="009B198D" w:rsidRPr="00F71F57">
        <w:rPr>
          <w:rFonts w:asciiTheme="majorBidi" w:hAnsiTheme="majorBidi" w:cstheme="majorBidi"/>
          <w:sz w:val="24"/>
          <w:szCs w:val="24"/>
          <w:lang w:val="en-GB" w:bidi="fa-IR"/>
        </w:rPr>
        <w:fldChar w:fldCharType="separate"/>
      </w:r>
      <w:r w:rsidR="009B198D" w:rsidRPr="00F71F57">
        <w:rPr>
          <w:rFonts w:asciiTheme="majorBidi" w:hAnsiTheme="majorBidi" w:cstheme="majorBidi"/>
          <w:sz w:val="24"/>
          <w:szCs w:val="24"/>
          <w:lang w:val="en-GB" w:bidi="fa-IR"/>
        </w:rPr>
        <w:t>(</w:t>
      </w:r>
      <w:hyperlink w:anchor="_ENREF_199" w:tooltip="Robison, 2021 #165" w:history="1">
        <w:r w:rsidR="00DE113E" w:rsidRPr="00F71F57">
          <w:rPr>
            <w:rFonts w:asciiTheme="majorBidi" w:hAnsiTheme="majorBidi" w:cstheme="majorBidi"/>
            <w:sz w:val="24"/>
            <w:szCs w:val="24"/>
            <w:lang w:val="en-GB" w:bidi="fa-IR"/>
          </w:rPr>
          <w:t>Robison et al., 2021</w:t>
        </w:r>
      </w:hyperlink>
      <w:r w:rsidR="009B198D" w:rsidRPr="00F71F57">
        <w:rPr>
          <w:rFonts w:asciiTheme="majorBidi" w:hAnsiTheme="majorBidi" w:cstheme="majorBidi"/>
          <w:sz w:val="24"/>
          <w:szCs w:val="24"/>
          <w:lang w:val="en-GB" w:bidi="fa-IR"/>
        </w:rPr>
        <w:t>)</w:t>
      </w:r>
      <w:r w:rsidR="009B198D" w:rsidRPr="00F71F57">
        <w:rPr>
          <w:rFonts w:asciiTheme="majorBidi" w:hAnsiTheme="majorBidi" w:cstheme="majorBidi"/>
          <w:sz w:val="24"/>
          <w:szCs w:val="24"/>
          <w:lang w:val="en-GB" w:bidi="fa-IR"/>
        </w:rPr>
        <w:fldChar w:fldCharType="end"/>
      </w:r>
      <w:r w:rsidR="009B198D" w:rsidRPr="00F71F57">
        <w:rPr>
          <w:rFonts w:asciiTheme="majorBidi" w:hAnsiTheme="majorBidi" w:cstheme="majorBidi"/>
          <w:sz w:val="24"/>
          <w:szCs w:val="24"/>
          <w:lang w:val="en-GB" w:bidi="fa-IR"/>
        </w:rPr>
        <w:t>.</w:t>
      </w:r>
      <w:r w:rsidR="00952CC1"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Moreover, neural activity studies, including fMRI analyses, have highlighted how cognitive network disruptions relate to attention performance. Specifically, areas related to executive functioning, particularly the prefrontal cortex and parietal regions, show altered activation patterns due to neurodegeneration, impairing decision-making and attentional control </w:t>
      </w:r>
      <w:r w:rsidR="00952CC1" w:rsidRPr="00F71F57">
        <w:rPr>
          <w:rFonts w:asciiTheme="majorBidi" w:hAnsiTheme="majorBidi" w:cstheme="majorBidi"/>
          <w:sz w:val="24"/>
          <w:szCs w:val="24"/>
          <w:lang w:val="en-GB" w:bidi="fa-IR"/>
        </w:rPr>
        <w:fldChar w:fldCharType="begin"/>
      </w:r>
      <w:r w:rsidR="00952CC1" w:rsidRPr="00F71F57">
        <w:rPr>
          <w:rFonts w:asciiTheme="majorBidi" w:hAnsiTheme="majorBidi" w:cstheme="majorBidi"/>
          <w:sz w:val="24"/>
          <w:szCs w:val="24"/>
          <w:lang w:val="en-GB" w:bidi="fa-IR"/>
        </w:rPr>
        <w:instrText xml:space="preserve"> ADDIN EN.CITE &lt;EndNote&gt;&lt;Cite&gt;&lt;Author&gt;Celone&lt;/Author&gt;&lt;Year&gt;2006&lt;/Year&gt;&lt;RecNum&gt;166&lt;/RecNum&gt;&lt;DisplayText&gt;(Celone et al., 2006)&lt;/DisplayText&gt;&lt;record&gt;&lt;rec-number&gt;166&lt;/rec-number&gt;&lt;foreign-keys&gt;&lt;key app="EN" db-id="2ptrtps0adr9vke22dn5tpwzrsfaxtxrfwet" timestamp="1755694690"&gt;166&lt;/key&gt;&lt;/foreign-keys&gt;&lt;ref-type name="Journal Article"&gt;17&lt;/ref-type&gt;&lt;contributors&gt;&lt;authors&gt;&lt;author&gt;Celone, Kim&lt;/author&gt;&lt;author&gt;Calhoun, Vince D.&lt;/author&gt;&lt;author&gt;Dickerson, Bradford C.&lt;/author&gt;&lt;author&gt;Atri, Alireza&lt;/author&gt;&lt;author&gt;Chua, Elizabeth F.&lt;/author&gt;&lt;author&gt;Miller, Saul L.&lt;/author&gt;&lt;author&gt;DePeau, Kristina M.&lt;/author&gt;&lt;author&gt;Rentz, Doreen&lt;/author&gt;&lt;author&gt;Selkoe, Dennis J.&lt;/author&gt;&lt;author&gt;Blacker, Deborah&lt;/author&gt;&lt;author&gt;Albert, Marilyn&lt;/author&gt;&lt;author&gt;Sperling, Reisa A.&lt;/author&gt;&lt;/authors&gt;&lt;/contributors&gt;&lt;titles&gt;&lt;title&gt;Alterations in Memory Networks in Mild Cognitive Impairment and Alzheimer&amp;apos;s Disease: An Independent Component Analysis&lt;/title&gt;&lt;secondary-title&gt;Journal of Neuroscience&lt;/secondary-title&gt;&lt;/titles&gt;&lt;periodical&gt;&lt;full-title&gt;Journal of Neuroscience&lt;/full-title&gt;&lt;/periodical&gt;&lt;pages&gt;10222-10231&lt;/pages&gt;&lt;volume&gt;26&lt;/volume&gt;&lt;number&gt;40&lt;/number&gt;&lt;dates&gt;&lt;year&gt;2006&lt;/year&gt;&lt;/dates&gt;&lt;urls&gt;&lt;/urls&gt;&lt;electronic-resource-num&gt;10.1523/jneurosci.2250-06.2006&lt;/electronic-resource-num&gt;&lt;/record&gt;&lt;/Cite&gt;&lt;/EndNote&gt;</w:instrText>
      </w:r>
      <w:r w:rsidR="00952CC1" w:rsidRPr="00F71F57">
        <w:rPr>
          <w:rFonts w:asciiTheme="majorBidi" w:hAnsiTheme="majorBidi" w:cstheme="majorBidi"/>
          <w:sz w:val="24"/>
          <w:szCs w:val="24"/>
          <w:lang w:val="en-GB" w:bidi="fa-IR"/>
        </w:rPr>
        <w:fldChar w:fldCharType="separate"/>
      </w:r>
      <w:r w:rsidR="00952CC1" w:rsidRPr="00F71F57">
        <w:rPr>
          <w:rFonts w:asciiTheme="majorBidi" w:hAnsiTheme="majorBidi" w:cstheme="majorBidi"/>
          <w:sz w:val="24"/>
          <w:szCs w:val="24"/>
          <w:lang w:val="en-GB" w:bidi="fa-IR"/>
        </w:rPr>
        <w:t>(</w:t>
      </w:r>
      <w:hyperlink w:anchor="_ENREF_40" w:tooltip="Celone, 2006 #166" w:history="1">
        <w:r w:rsidR="00DE113E" w:rsidRPr="00F71F57">
          <w:rPr>
            <w:rFonts w:asciiTheme="majorBidi" w:hAnsiTheme="majorBidi" w:cstheme="majorBidi"/>
            <w:sz w:val="24"/>
            <w:szCs w:val="24"/>
            <w:lang w:val="en-GB" w:bidi="fa-IR"/>
          </w:rPr>
          <w:t>Celone et al., 2006</w:t>
        </w:r>
      </w:hyperlink>
      <w:r w:rsidR="00952CC1" w:rsidRPr="00F71F57">
        <w:rPr>
          <w:rFonts w:asciiTheme="majorBidi" w:hAnsiTheme="majorBidi" w:cstheme="majorBidi"/>
          <w:sz w:val="24"/>
          <w:szCs w:val="24"/>
          <w:lang w:val="en-GB" w:bidi="fa-IR"/>
        </w:rPr>
        <w:t>)</w:t>
      </w:r>
      <w:r w:rsidR="00952CC1" w:rsidRPr="00F71F57">
        <w:rPr>
          <w:rFonts w:asciiTheme="majorBidi" w:hAnsiTheme="majorBidi" w:cstheme="majorBidi"/>
          <w:sz w:val="24"/>
          <w:szCs w:val="24"/>
          <w:lang w:val="en-GB" w:bidi="fa-IR"/>
        </w:rPr>
        <w:fldChar w:fldCharType="end"/>
      </w:r>
      <w:r w:rsidR="00952CC1" w:rsidRPr="00F71F57">
        <w:rPr>
          <w:rFonts w:asciiTheme="majorBidi" w:hAnsiTheme="majorBidi" w:cstheme="majorBidi"/>
          <w:sz w:val="24"/>
          <w:szCs w:val="24"/>
          <w:lang w:val="en-GB" w:bidi="fa-IR"/>
        </w:rPr>
        <w:t xml:space="preserve">. </w:t>
      </w:r>
      <w:r w:rsidR="009B198D" w:rsidRPr="00F71F57">
        <w:rPr>
          <w:rFonts w:asciiTheme="majorBidi" w:hAnsiTheme="majorBidi" w:cstheme="majorBidi"/>
          <w:sz w:val="24"/>
          <w:szCs w:val="24"/>
          <w:lang w:val="en-GB" w:bidi="fa-IR"/>
        </w:rPr>
        <w:t>A</w:t>
      </w:r>
      <w:r w:rsidRPr="00F71F57">
        <w:rPr>
          <w:rFonts w:asciiTheme="majorBidi" w:hAnsiTheme="majorBidi" w:cstheme="majorBidi"/>
          <w:sz w:val="24"/>
          <w:szCs w:val="24"/>
          <w:lang w:val="en-GB" w:bidi="fa-IR"/>
        </w:rPr>
        <w:t xml:space="preserve">ttention and vigilance impairments are crucial behavioral manifestations of neurodegeneration, influenced by both direct neuroanatomical changes and resultant functional connectivity alterations. </w:t>
      </w:r>
      <w:r w:rsidR="00556A76" w:rsidRPr="00F71F57">
        <w:rPr>
          <w:rFonts w:asciiTheme="majorBidi" w:hAnsiTheme="majorBidi" w:cstheme="majorBidi"/>
          <w:sz w:val="24"/>
          <w:szCs w:val="24"/>
          <w:lang w:val="en-GB" w:bidi="fa-IR"/>
        </w:rPr>
        <w:t>Also, these areas</w:t>
      </w:r>
      <w:r w:rsidR="000B2F4A" w:rsidRPr="00F71F57">
        <w:rPr>
          <w:rFonts w:asciiTheme="majorBidi" w:hAnsiTheme="majorBidi" w:cstheme="majorBidi"/>
          <w:sz w:val="24"/>
          <w:szCs w:val="24"/>
          <w:lang w:val="en-GB" w:bidi="fa-IR"/>
        </w:rPr>
        <w:t xml:space="preserve"> are critical features in rodent models of neurodegeneration, shedding light on cognitive dysfunctions analogous to those observed in human neurodegenerative conditions. This section focuses on behavioral paradigms used to assess these impairments, specifically the Five-Choice Serial Reaction Time Task (5-CSRTT), the rodent Continuous Performance Test (rCPT), and touchscreen-based attention tasks, evaluating their strengths, limitations, and translational relevance.</w:t>
      </w:r>
      <w:r w:rsidR="00D32303" w:rsidRPr="00F71F57">
        <w:rPr>
          <w:rFonts w:asciiTheme="majorBidi" w:hAnsiTheme="majorBidi" w:cstheme="majorBidi"/>
          <w:sz w:val="24"/>
          <w:szCs w:val="24"/>
          <w:lang w:val="en-GB" w:bidi="fa-IR"/>
        </w:rPr>
        <w:t xml:space="preserve"> </w:t>
      </w:r>
      <w:r w:rsidR="000B2F4A" w:rsidRPr="00F71F57">
        <w:rPr>
          <w:rFonts w:asciiTheme="majorBidi" w:hAnsiTheme="majorBidi" w:cstheme="majorBidi"/>
          <w:sz w:val="24"/>
          <w:szCs w:val="24"/>
          <w:lang w:val="en-GB" w:bidi="fa-IR"/>
        </w:rPr>
        <w:t xml:space="preserve">The 5-CSRTT is a widely utilized test to assess sustained attention and impulsivity in rodents. In this task, animals must respond to a brief light stimulus presented in one of five apertures to receive a food reward. This paradigm effectively measures various aspects of cognitive control, including attention, response inhibition, and working memory </w:t>
      </w:r>
      <w:r w:rsidR="00372BF5" w:rsidRPr="00F71F57">
        <w:rPr>
          <w:rFonts w:asciiTheme="majorBidi" w:hAnsiTheme="majorBidi" w:cstheme="majorBidi"/>
          <w:sz w:val="24"/>
          <w:szCs w:val="24"/>
          <w:lang w:val="en-GB" w:bidi="fa-IR"/>
        </w:rPr>
        <w:fldChar w:fldCharType="begin">
          <w:fldData xml:space="preserve">PEVuZE5vdGU+PENpdGU+PEF1dGhvcj5Xb3JiZTwvQXV0aG9yPjxZZWFyPjIwMTQ8L1llYXI+PFJl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</w:fldData>
        </w:fldChar>
      </w:r>
      <w:r w:rsidR="00372BF5" w:rsidRPr="00F71F57">
        <w:rPr>
          <w:rFonts w:asciiTheme="majorBidi" w:hAnsiTheme="majorBidi" w:cstheme="majorBidi"/>
          <w:sz w:val="24"/>
          <w:szCs w:val="24"/>
          <w:lang w:val="en-GB" w:bidi="fa-IR"/>
        </w:rPr>
        <w:instrText xml:space="preserve"> ADDIN EN.CITE </w:instrText>
      </w:r>
      <w:r w:rsidR="00372BF5" w:rsidRPr="00F71F57">
        <w:rPr>
          <w:rFonts w:asciiTheme="majorBidi" w:hAnsiTheme="majorBidi" w:cstheme="majorBidi"/>
          <w:sz w:val="24"/>
          <w:szCs w:val="24"/>
          <w:lang w:val="en-GB" w:bidi="fa-IR"/>
        </w:rPr>
        <w:fldChar w:fldCharType="begin">
          <w:fldData xml:space="preserve">PEVuZE5vdGU+PENpdGU+PEF1dGhvcj5Xb3JiZTwvQXV0aG9yPjxZZWFyPjIwMTQ8L1llYXI+PFJl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</w:fldData>
        </w:fldChar>
      </w:r>
      <w:r w:rsidR="00372BF5" w:rsidRPr="00F71F57">
        <w:rPr>
          <w:rFonts w:asciiTheme="majorBidi" w:hAnsiTheme="majorBidi" w:cstheme="majorBidi"/>
          <w:sz w:val="24"/>
          <w:szCs w:val="24"/>
          <w:lang w:val="en-GB" w:bidi="fa-IR"/>
        </w:rPr>
        <w:instrText xml:space="preserve"> ADDIN EN.CITE.DATA </w:instrText>
      </w:r>
      <w:r w:rsidR="00372BF5" w:rsidRPr="00F71F57">
        <w:rPr>
          <w:rFonts w:asciiTheme="majorBidi" w:hAnsiTheme="majorBidi" w:cstheme="majorBidi"/>
          <w:sz w:val="24"/>
          <w:szCs w:val="24"/>
          <w:lang w:val="en-GB" w:bidi="fa-IR"/>
        </w:rPr>
      </w:r>
      <w:r w:rsidR="00372BF5" w:rsidRPr="00F71F57">
        <w:rPr>
          <w:rFonts w:asciiTheme="majorBidi" w:hAnsiTheme="majorBidi" w:cstheme="majorBidi"/>
          <w:sz w:val="24"/>
          <w:szCs w:val="24"/>
          <w:lang w:val="en-GB" w:bidi="fa-IR"/>
        </w:rPr>
        <w:fldChar w:fldCharType="end"/>
      </w:r>
      <w:r w:rsidR="00372BF5" w:rsidRPr="00F71F57">
        <w:rPr>
          <w:rFonts w:asciiTheme="majorBidi" w:hAnsiTheme="majorBidi" w:cstheme="majorBidi"/>
          <w:sz w:val="24"/>
          <w:szCs w:val="24"/>
          <w:lang w:val="en-GB" w:bidi="fa-IR"/>
        </w:rPr>
      </w:r>
      <w:r w:rsidR="00372BF5" w:rsidRPr="00F71F57">
        <w:rPr>
          <w:rFonts w:asciiTheme="majorBidi" w:hAnsiTheme="majorBidi" w:cstheme="majorBidi"/>
          <w:sz w:val="24"/>
          <w:szCs w:val="24"/>
          <w:lang w:val="en-GB" w:bidi="fa-IR"/>
        </w:rPr>
        <w:fldChar w:fldCharType="separate"/>
      </w:r>
      <w:r w:rsidR="00372BF5" w:rsidRPr="00F71F57">
        <w:rPr>
          <w:rFonts w:asciiTheme="majorBidi" w:hAnsiTheme="majorBidi" w:cstheme="majorBidi"/>
          <w:sz w:val="24"/>
          <w:szCs w:val="24"/>
          <w:lang w:val="en-GB" w:bidi="fa-IR"/>
        </w:rPr>
        <w:t>(</w:t>
      </w:r>
      <w:hyperlink w:anchor="_ENREF_14" w:tooltip="Barnes, 2012 #265" w:history="1">
        <w:r w:rsidR="00DE113E" w:rsidRPr="00F71F57">
          <w:rPr>
            <w:rFonts w:asciiTheme="majorBidi" w:hAnsiTheme="majorBidi" w:cstheme="majorBidi"/>
            <w:sz w:val="24"/>
            <w:szCs w:val="24"/>
            <w:lang w:val="en-GB" w:bidi="fa-IR"/>
          </w:rPr>
          <w:t>Barnes et al., 2012</w:t>
        </w:r>
      </w:hyperlink>
      <w:r w:rsidR="00372BF5" w:rsidRPr="00F71F57">
        <w:rPr>
          <w:rFonts w:asciiTheme="majorBidi" w:hAnsiTheme="majorBidi" w:cstheme="majorBidi"/>
          <w:sz w:val="24"/>
          <w:szCs w:val="24"/>
          <w:lang w:val="en-GB" w:bidi="fa-IR"/>
        </w:rPr>
        <w:t xml:space="preserve">; </w:t>
      </w:r>
      <w:hyperlink w:anchor="_ENREF_22" w:tooltip="Bhakta, 2017 #270" w:history="1">
        <w:r w:rsidR="00DE113E" w:rsidRPr="00F71F57">
          <w:rPr>
            <w:rFonts w:asciiTheme="majorBidi" w:hAnsiTheme="majorBidi" w:cstheme="majorBidi"/>
            <w:sz w:val="24"/>
            <w:szCs w:val="24"/>
            <w:lang w:val="en-GB" w:bidi="fa-IR"/>
          </w:rPr>
          <w:t>Bhakta &amp; Young, 2017</w:t>
        </w:r>
      </w:hyperlink>
      <w:r w:rsidR="00372BF5" w:rsidRPr="00F71F57">
        <w:rPr>
          <w:rFonts w:asciiTheme="majorBidi" w:hAnsiTheme="majorBidi" w:cstheme="majorBidi"/>
          <w:sz w:val="24"/>
          <w:szCs w:val="24"/>
          <w:lang w:val="en-GB" w:bidi="fa-IR"/>
        </w:rPr>
        <w:t xml:space="preserve">; </w:t>
      </w:r>
      <w:hyperlink w:anchor="_ENREF_263" w:tooltip="Worbe, 2014 #269" w:history="1">
        <w:r w:rsidR="00DE113E" w:rsidRPr="00F71F57">
          <w:rPr>
            <w:rFonts w:asciiTheme="majorBidi" w:hAnsiTheme="majorBidi" w:cstheme="majorBidi"/>
            <w:sz w:val="24"/>
            <w:szCs w:val="24"/>
            <w:lang w:val="en-GB" w:bidi="fa-IR"/>
          </w:rPr>
          <w:t>Worbe et al., 2014</w:t>
        </w:r>
      </w:hyperlink>
      <w:r w:rsidR="00372BF5" w:rsidRPr="00F71F57">
        <w:rPr>
          <w:rFonts w:asciiTheme="majorBidi" w:hAnsiTheme="majorBidi" w:cstheme="majorBidi"/>
          <w:sz w:val="24"/>
          <w:szCs w:val="24"/>
          <w:lang w:val="en-GB" w:bidi="fa-IR"/>
        </w:rPr>
        <w:t>)</w:t>
      </w:r>
      <w:r w:rsidR="00372BF5" w:rsidRPr="00F71F57">
        <w:rPr>
          <w:rFonts w:asciiTheme="majorBidi" w:hAnsiTheme="majorBidi" w:cstheme="majorBidi"/>
          <w:sz w:val="24"/>
          <w:szCs w:val="24"/>
          <w:lang w:val="en-GB" w:bidi="fa-IR"/>
        </w:rPr>
        <w:fldChar w:fldCharType="end"/>
      </w:r>
      <w:r w:rsidR="00372BF5" w:rsidRPr="00F71F57">
        <w:rPr>
          <w:rFonts w:asciiTheme="majorBidi" w:hAnsiTheme="majorBidi" w:cstheme="majorBidi"/>
          <w:sz w:val="24"/>
          <w:szCs w:val="24"/>
          <w:lang w:val="en-GB" w:bidi="fa-IR"/>
        </w:rPr>
        <w:t xml:space="preserve">. </w:t>
      </w:r>
      <w:r w:rsidR="000B2F4A" w:rsidRPr="00F71F57">
        <w:rPr>
          <w:rFonts w:asciiTheme="majorBidi" w:hAnsiTheme="majorBidi" w:cstheme="majorBidi"/>
          <w:sz w:val="24"/>
          <w:szCs w:val="24"/>
          <w:lang w:val="en-GB" w:bidi="fa-IR"/>
        </w:rPr>
        <w:t xml:space="preserve">Research indicates that alterations in neurotransmitter systems, particularly the GABAergic pathways, significantly influence performance in the 5-CSRTT. For instance, disruptions caused by pharmacological agents mimic attention deficits seen in clinical populations such as schizophrenia </w:t>
      </w:r>
      <w:r w:rsidR="00372BF5" w:rsidRPr="00F71F57">
        <w:rPr>
          <w:rFonts w:asciiTheme="majorBidi" w:hAnsiTheme="majorBidi" w:cstheme="majorBidi"/>
          <w:sz w:val="24"/>
          <w:szCs w:val="24"/>
          <w:lang w:val="en-GB" w:bidi="fa-IR"/>
        </w:rPr>
        <w:fldChar w:fldCharType="begin"/>
      </w:r>
      <w:r w:rsidR="00372BF5" w:rsidRPr="00F71F57">
        <w:rPr>
          <w:rFonts w:asciiTheme="majorBidi" w:hAnsiTheme="majorBidi" w:cstheme="majorBidi"/>
          <w:sz w:val="24"/>
          <w:szCs w:val="24"/>
          <w:lang w:val="en-GB" w:bidi="fa-IR"/>
        </w:rPr>
        <w:instrText xml:space="preserve"> ADDIN EN.CITE &lt;EndNote&gt;&lt;Cite&gt;&lt;Author&gt;Barnes&lt;/Author&gt;&lt;Year&gt;2012&lt;/Year&gt;&lt;RecNum&gt;266&lt;/RecNum&gt;&lt;DisplayText&gt;(Barnes et al., 2012)&lt;/DisplayText&gt;&lt;record&gt;&lt;rec-number&gt;266&lt;/rec-number&gt;&lt;foreign-keys&gt;&lt;key app="EN" db-id="2ptrtps0adr9vke22dn5tpwzrsfaxtxrfwet" timestamp="1755801802"&gt;266&lt;/key&gt;&lt;/foreign-keys&gt;&lt;ref-type name="Journal Article"&gt;17&lt;/ref-type&gt;&lt;contributors&gt;&lt;authors&gt;&lt;author&gt;Barnes, Sam A.&lt;/author&gt;&lt;author&gt;Young, Jared W.&lt;/author&gt;&lt;author&gt;Neill, Joanna C.&lt;/author&gt;&lt;/authors&gt;&lt;/contributors&gt;&lt;titles&gt;&lt;title&gt;Rats Tested After a Washout Period From Sub-Chronic PCP Administration Exhibited Impaired Performance in the 5-Choice Continuous Performance Test (5c-Cpt) When the Attentional Load Was Increased&lt;/title&gt;&lt;secondary-title&gt;Neuropharmacology&lt;/secondary-title&gt;&lt;/titles&gt;&lt;periodical&gt;&lt;full-title&gt;Neuropharmacology&lt;/full-title&gt;&lt;/periodical&gt;&lt;pages&gt;1432-1441&lt;/pages&gt;&lt;volume&gt;62&lt;/volume&gt;&lt;number&gt;3&lt;/number&gt;&lt;dates&gt;&lt;year&gt;2012&lt;/year&gt;&lt;/dates&gt;&lt;urls&gt;&lt;/urls&gt;&lt;electronic-resource-num&gt;10.1016/j.neuropharm.2011.04.024&lt;/electronic-resource-num&gt;&lt;/record&gt;&lt;/Cite&gt;&lt;/EndNote&gt;</w:instrText>
      </w:r>
      <w:r w:rsidR="00372BF5" w:rsidRPr="00F71F57">
        <w:rPr>
          <w:rFonts w:asciiTheme="majorBidi" w:hAnsiTheme="majorBidi" w:cstheme="majorBidi"/>
          <w:sz w:val="24"/>
          <w:szCs w:val="24"/>
          <w:lang w:val="en-GB" w:bidi="fa-IR"/>
        </w:rPr>
        <w:fldChar w:fldCharType="separate"/>
      </w:r>
      <w:r w:rsidR="00372BF5" w:rsidRPr="00F71F57">
        <w:rPr>
          <w:rFonts w:asciiTheme="majorBidi" w:hAnsiTheme="majorBidi" w:cstheme="majorBidi"/>
          <w:sz w:val="24"/>
          <w:szCs w:val="24"/>
          <w:lang w:val="en-GB" w:bidi="fa-IR"/>
        </w:rPr>
        <w:t>(</w:t>
      </w:r>
      <w:hyperlink w:anchor="_ENREF_14" w:tooltip="Barnes, 2012 #265" w:history="1">
        <w:r w:rsidR="00DE113E" w:rsidRPr="00F71F57">
          <w:rPr>
            <w:rFonts w:asciiTheme="majorBidi" w:hAnsiTheme="majorBidi" w:cstheme="majorBidi"/>
            <w:sz w:val="24"/>
            <w:szCs w:val="24"/>
            <w:lang w:val="en-GB" w:bidi="fa-IR"/>
          </w:rPr>
          <w:t>Barnes et al., 2012</w:t>
        </w:r>
      </w:hyperlink>
      <w:r w:rsidR="00372BF5" w:rsidRPr="00F71F57">
        <w:rPr>
          <w:rFonts w:asciiTheme="majorBidi" w:hAnsiTheme="majorBidi" w:cstheme="majorBidi"/>
          <w:sz w:val="24"/>
          <w:szCs w:val="24"/>
          <w:lang w:val="en-GB" w:bidi="fa-IR"/>
        </w:rPr>
        <w:t>)</w:t>
      </w:r>
      <w:r w:rsidR="00372BF5" w:rsidRPr="00F71F57">
        <w:rPr>
          <w:rFonts w:asciiTheme="majorBidi" w:hAnsiTheme="majorBidi" w:cstheme="majorBidi"/>
          <w:sz w:val="24"/>
          <w:szCs w:val="24"/>
          <w:lang w:val="en-GB" w:bidi="fa-IR"/>
        </w:rPr>
        <w:fldChar w:fldCharType="end"/>
      </w:r>
      <w:r w:rsidR="000B2F4A" w:rsidRPr="00F71F57">
        <w:rPr>
          <w:rFonts w:asciiTheme="majorBidi" w:hAnsiTheme="majorBidi" w:cstheme="majorBidi"/>
          <w:sz w:val="24"/>
          <w:szCs w:val="24"/>
          <w:lang w:val="en-GB" w:bidi="fa-IR"/>
        </w:rPr>
        <w:t xml:space="preserve">. However, the 5-CSRTT requires careful control of environmental </w:t>
      </w:r>
      <w:r w:rsidR="000B2F4A" w:rsidRPr="00F71F57">
        <w:rPr>
          <w:rFonts w:asciiTheme="majorBidi" w:hAnsiTheme="majorBidi" w:cstheme="majorBidi"/>
          <w:sz w:val="24"/>
          <w:szCs w:val="24"/>
          <w:lang w:val="en-GB" w:bidi="fa-IR"/>
        </w:rPr>
        <w:lastRenderedPageBreak/>
        <w:t xml:space="preserve">variables, as heightened attentional load can lead to impairments that may not accurately reflect underlying neurodegenerative processes but rather confound performance due to task strain </w:t>
      </w:r>
      <w:r w:rsidR="00372BF5" w:rsidRPr="00F71F57">
        <w:rPr>
          <w:rFonts w:asciiTheme="majorBidi" w:hAnsiTheme="majorBidi" w:cstheme="majorBidi"/>
          <w:sz w:val="24"/>
          <w:szCs w:val="24"/>
          <w:lang w:val="en-GB" w:bidi="fa-IR"/>
        </w:rPr>
        <w:fldChar w:fldCharType="begin">
          <w:fldData xml:space="preserve">PEVuZE5vdGU+PENpdGU+PEF1dGhvcj5TYWxtb248L0F1dGhvcj48WWVhcj4yMDI0PC9ZZWFyPjxS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==
</w:fldData>
        </w:fldChar>
      </w:r>
      <w:r w:rsidR="0022359A" w:rsidRPr="00F71F57">
        <w:rPr>
          <w:rFonts w:asciiTheme="majorBidi" w:hAnsiTheme="majorBidi" w:cstheme="majorBidi"/>
          <w:sz w:val="24"/>
          <w:szCs w:val="24"/>
          <w:lang w:val="en-GB" w:bidi="fa-IR"/>
        </w:rPr>
        <w:instrText xml:space="preserve"> ADDIN EN.CITE </w:instrText>
      </w:r>
      <w:r w:rsidR="0022359A" w:rsidRPr="00F71F57">
        <w:rPr>
          <w:rFonts w:asciiTheme="majorBidi" w:hAnsiTheme="majorBidi" w:cstheme="majorBidi"/>
          <w:sz w:val="24"/>
          <w:szCs w:val="24"/>
          <w:lang w:val="en-GB" w:bidi="fa-IR"/>
        </w:rPr>
        <w:fldChar w:fldCharType="begin">
          <w:fldData xml:space="preserve">PEVuZE5vdGU+PENpdGU+PEF1dGhvcj5TYWxtb248L0F1dGhvcj48WWVhcj4yMDI0PC9ZZWFyPjxS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==
</w:fldData>
        </w:fldChar>
      </w:r>
      <w:r w:rsidR="0022359A" w:rsidRPr="00F71F57">
        <w:rPr>
          <w:rFonts w:asciiTheme="majorBidi" w:hAnsiTheme="majorBidi" w:cstheme="majorBidi"/>
          <w:sz w:val="24"/>
          <w:szCs w:val="24"/>
          <w:lang w:val="en-GB" w:bidi="fa-IR"/>
        </w:rPr>
        <w:instrText xml:space="preserve"> ADDIN EN.CITE.DATA </w:instrText>
      </w:r>
      <w:r w:rsidR="0022359A" w:rsidRPr="00F71F57">
        <w:rPr>
          <w:rFonts w:asciiTheme="majorBidi" w:hAnsiTheme="majorBidi" w:cstheme="majorBidi"/>
          <w:sz w:val="24"/>
          <w:szCs w:val="24"/>
          <w:lang w:val="en-GB" w:bidi="fa-IR"/>
        </w:rPr>
      </w:r>
      <w:r w:rsidR="0022359A" w:rsidRPr="00F71F57">
        <w:rPr>
          <w:rFonts w:asciiTheme="majorBidi" w:hAnsiTheme="majorBidi" w:cstheme="majorBidi"/>
          <w:sz w:val="24"/>
          <w:szCs w:val="24"/>
          <w:lang w:val="en-GB" w:bidi="fa-IR"/>
        </w:rPr>
        <w:fldChar w:fldCharType="end"/>
      </w:r>
      <w:r w:rsidR="00372BF5" w:rsidRPr="00F71F57">
        <w:rPr>
          <w:rFonts w:asciiTheme="majorBidi" w:hAnsiTheme="majorBidi" w:cstheme="majorBidi"/>
          <w:sz w:val="24"/>
          <w:szCs w:val="24"/>
          <w:lang w:val="en-GB" w:bidi="fa-IR"/>
        </w:rPr>
      </w:r>
      <w:r w:rsidR="00372BF5" w:rsidRPr="00F71F57">
        <w:rPr>
          <w:rFonts w:asciiTheme="majorBidi" w:hAnsiTheme="majorBidi" w:cstheme="majorBidi"/>
          <w:sz w:val="24"/>
          <w:szCs w:val="24"/>
          <w:lang w:val="en-GB" w:bidi="fa-IR"/>
        </w:rPr>
        <w:fldChar w:fldCharType="separate"/>
      </w:r>
      <w:r w:rsidR="0022359A" w:rsidRPr="00F71F57">
        <w:rPr>
          <w:rFonts w:asciiTheme="majorBidi" w:hAnsiTheme="majorBidi" w:cstheme="majorBidi"/>
          <w:sz w:val="24"/>
          <w:szCs w:val="24"/>
          <w:lang w:val="en-GB" w:bidi="fa-IR"/>
        </w:rPr>
        <w:t>(</w:t>
      </w:r>
      <w:hyperlink w:anchor="_ENREF_140" w:tooltip="Liu, 2024 #268" w:history="1">
        <w:r w:rsidR="00DE113E" w:rsidRPr="00F71F57">
          <w:rPr>
            <w:rFonts w:asciiTheme="majorBidi" w:hAnsiTheme="majorBidi" w:cstheme="majorBidi"/>
            <w:sz w:val="24"/>
            <w:szCs w:val="24"/>
            <w:lang w:val="en-GB" w:bidi="fa-IR"/>
          </w:rPr>
          <w:t>Yujing Liu et al., 2024</w:t>
        </w:r>
      </w:hyperlink>
      <w:r w:rsidR="0022359A" w:rsidRPr="00F71F57">
        <w:rPr>
          <w:rFonts w:asciiTheme="majorBidi" w:hAnsiTheme="majorBidi" w:cstheme="majorBidi"/>
          <w:sz w:val="24"/>
          <w:szCs w:val="24"/>
          <w:lang w:val="en-GB" w:bidi="fa-IR"/>
        </w:rPr>
        <w:t xml:space="preserve">; </w:t>
      </w:r>
      <w:hyperlink w:anchor="_ENREF_212" w:tooltip="Salmon, 2024 #272" w:history="1">
        <w:r w:rsidR="00DE113E" w:rsidRPr="00F71F57">
          <w:rPr>
            <w:rFonts w:asciiTheme="majorBidi" w:hAnsiTheme="majorBidi" w:cstheme="majorBidi"/>
            <w:sz w:val="24"/>
            <w:szCs w:val="24"/>
            <w:lang w:val="en-GB" w:bidi="fa-IR"/>
          </w:rPr>
          <w:t>Salmon et al., 2024</w:t>
        </w:r>
      </w:hyperlink>
      <w:r w:rsidR="0022359A" w:rsidRPr="00F71F57">
        <w:rPr>
          <w:rFonts w:asciiTheme="majorBidi" w:hAnsiTheme="majorBidi" w:cstheme="majorBidi"/>
          <w:sz w:val="24"/>
          <w:szCs w:val="24"/>
          <w:lang w:val="en-GB" w:bidi="fa-IR"/>
        </w:rPr>
        <w:t>)</w:t>
      </w:r>
      <w:r w:rsidR="00372BF5" w:rsidRPr="00F71F57">
        <w:rPr>
          <w:rFonts w:asciiTheme="majorBidi" w:hAnsiTheme="majorBidi" w:cstheme="majorBidi"/>
          <w:sz w:val="24"/>
          <w:szCs w:val="24"/>
          <w:lang w:val="en-GB" w:bidi="fa-IR"/>
        </w:rPr>
        <w:fldChar w:fldCharType="end"/>
      </w:r>
      <w:r w:rsidR="000B2F4A" w:rsidRPr="00F71F57">
        <w:rPr>
          <w:rFonts w:asciiTheme="majorBidi" w:hAnsiTheme="majorBidi" w:cstheme="majorBidi"/>
          <w:sz w:val="24"/>
          <w:szCs w:val="24"/>
          <w:lang w:val="en-GB" w:bidi="fa-IR"/>
        </w:rPr>
        <w:t xml:space="preserve">. Its translational relevance is bolstered by similarities to human cognitive tasks, promoting the interpretation of results across species </w:t>
      </w:r>
      <w:r w:rsidR="00372BF5" w:rsidRPr="00F71F57">
        <w:rPr>
          <w:rFonts w:asciiTheme="majorBidi" w:hAnsiTheme="majorBidi" w:cstheme="majorBidi"/>
          <w:sz w:val="24"/>
          <w:szCs w:val="24"/>
          <w:lang w:val="en-GB" w:bidi="fa-IR"/>
        </w:rPr>
        <w:fldChar w:fldCharType="begin"/>
      </w:r>
      <w:r w:rsidR="00BD4A0E" w:rsidRPr="00F71F57">
        <w:rPr>
          <w:rFonts w:asciiTheme="majorBidi" w:hAnsiTheme="majorBidi" w:cstheme="majorBidi"/>
          <w:sz w:val="24"/>
          <w:szCs w:val="24"/>
          <w:lang w:val="en-GB" w:bidi="fa-IR"/>
        </w:rPr>
        <w:instrText xml:space="preserve"> ADDIN EN.CITE &lt;EndNote&gt;&lt;Cite&gt;&lt;Author&gt;Worbe&lt;/Author&gt;&lt;Year&gt;2014&lt;/Year&gt;&lt;RecNum&gt;269&lt;/RecNum&gt;&lt;DisplayText&gt;(Bhakta &amp;amp; Young, 2017; Worbe et al., 2014)&lt;/DisplayText&gt;&lt;record&gt;&lt;rec-number&gt;269&lt;/rec-number&gt;&lt;foreign-keys&gt;&lt;key app="EN" db-id="2ptrtps0adr9vke22dn5tpwzrsfaxtxrfwet" timestamp="1755801908"&gt;269&lt;/key&gt;&lt;/foreign-keys&gt;&lt;ref-type name="Journal Article"&gt;17&lt;/ref-type&gt;&lt;contributors&gt;&lt;authors&gt;&lt;author&gt;Worbe, Yulia&lt;/author&gt;&lt;author&gt;Savulich, George&lt;/author&gt;&lt;author&gt;Voon, Valerie&lt;/author&gt;&lt;author&gt;Fernández-Egea, Emilio&lt;/author&gt;&lt;author&gt;Robbins, Trevor W.&lt;/author&gt;&lt;/authors&gt;&lt;/contributors&gt;&lt;titles&gt;&lt;title&gt;Serotonin Depletion Induces ‘Waiting Impulsivity’ on the Human Four-Choice Serial Reaction Time Task: Cross-Species Translational Significance&lt;/title&gt;&lt;secondary-title&gt;Neuropsychopharmacology&lt;/secondary-title&gt;&lt;/titles&gt;&lt;periodical&gt;&lt;full-title&gt;Neuropsychopharmacology&lt;/full-title&gt;&lt;/periodical&gt;&lt;pages&gt;1519-1526&lt;/pages&gt;&lt;volume&gt;39&lt;/volume&gt;&lt;number&gt;6&lt;/number&gt;&lt;dates&gt;&lt;year&gt;2014&lt;/year&gt;&lt;/dates&gt;&lt;urls&gt;&lt;/urls&gt;&lt;electronic-resource-num&gt;10.1038/npp.2013.351&lt;/electronic-resource-num&gt;&lt;/record&gt;&lt;/Cite&gt;&lt;Cite&gt;&lt;Author&gt;Bhakta&lt;/Author&gt;&lt;Year&gt;2017&lt;/Year&gt;&lt;RecNum&gt;270&lt;/RecNum&gt;&lt;record&gt;&lt;rec-number&gt;270&lt;/rec-number&gt;&lt;foreign-keys&gt;&lt;key app="EN" db-id="2ptrtps0adr9vke22dn5tpwzrsfaxtxrfwet" timestamp="1755801923"&gt;270&lt;/key&gt;&lt;/foreign-keys&gt;&lt;ref-type name="Journal Article"&gt;17&lt;/ref-type&gt;&lt;contributors&gt;&lt;authors&gt;&lt;author&gt;Bhakta, Savita G.&lt;/author&gt;&lt;author&gt;Young, Jared W.&lt;/author&gt;&lt;/authors&gt;&lt;/contributors&gt;&lt;titles&gt;&lt;title&gt;The 5 Choice Continuous Performance Test (5c-Cpt): A Novel Tool to Assess Cognitive Control Across Species&lt;/title&gt;&lt;secondary-title&gt;Journal of Neuroscience Methods&lt;/secondary-title&gt;&lt;/titles&gt;&lt;periodical&gt;&lt;full-title&gt;Journal of Neuroscience Methods&lt;/full-title&gt;&lt;/periodical&gt;&lt;pages&gt;53-60&lt;/pages&gt;&lt;volume&gt;292&lt;/volume&gt;&lt;dates&gt;&lt;year&gt;2017&lt;/year&gt;&lt;/dates&gt;&lt;urls&gt;&lt;/urls&gt;&lt;electronic-resource-num&gt;10.1016/j.jneumeth.2017.07.011&lt;/electronic-resource-num&gt;&lt;/record&gt;&lt;/Cite&gt;&lt;/EndNote&gt;</w:instrText>
      </w:r>
      <w:r w:rsidR="00372BF5" w:rsidRPr="00F71F57">
        <w:rPr>
          <w:rFonts w:asciiTheme="majorBidi" w:hAnsiTheme="majorBidi" w:cstheme="majorBidi"/>
          <w:sz w:val="24"/>
          <w:szCs w:val="24"/>
          <w:lang w:val="en-GB" w:bidi="fa-IR"/>
        </w:rPr>
        <w:fldChar w:fldCharType="separate"/>
      </w:r>
      <w:r w:rsidR="00BD4A0E" w:rsidRPr="00F71F57">
        <w:rPr>
          <w:rFonts w:asciiTheme="majorBidi" w:hAnsiTheme="majorBidi" w:cstheme="majorBidi"/>
          <w:sz w:val="24"/>
          <w:szCs w:val="24"/>
          <w:lang w:val="en-GB" w:bidi="fa-IR"/>
        </w:rPr>
        <w:t>(</w:t>
      </w:r>
      <w:hyperlink w:anchor="_ENREF_22" w:tooltip="Bhakta, 2017 #270" w:history="1">
        <w:r w:rsidR="00DE113E" w:rsidRPr="00F71F57">
          <w:rPr>
            <w:rFonts w:asciiTheme="majorBidi" w:hAnsiTheme="majorBidi" w:cstheme="majorBidi"/>
            <w:sz w:val="24"/>
            <w:szCs w:val="24"/>
            <w:lang w:val="en-GB" w:bidi="fa-IR"/>
          </w:rPr>
          <w:t>Bhakta &amp; Young, 2017</w:t>
        </w:r>
      </w:hyperlink>
      <w:r w:rsidR="00BD4A0E" w:rsidRPr="00F71F57">
        <w:rPr>
          <w:rFonts w:asciiTheme="majorBidi" w:hAnsiTheme="majorBidi" w:cstheme="majorBidi"/>
          <w:sz w:val="24"/>
          <w:szCs w:val="24"/>
          <w:lang w:val="en-GB" w:bidi="fa-IR"/>
        </w:rPr>
        <w:t xml:space="preserve">; </w:t>
      </w:r>
      <w:hyperlink w:anchor="_ENREF_263" w:tooltip="Worbe, 2014 #269" w:history="1">
        <w:r w:rsidR="00DE113E" w:rsidRPr="00F71F57">
          <w:rPr>
            <w:rFonts w:asciiTheme="majorBidi" w:hAnsiTheme="majorBidi" w:cstheme="majorBidi"/>
            <w:sz w:val="24"/>
            <w:szCs w:val="24"/>
            <w:lang w:val="en-GB" w:bidi="fa-IR"/>
          </w:rPr>
          <w:t>Worbe et al., 2014</w:t>
        </w:r>
      </w:hyperlink>
      <w:r w:rsidR="00BD4A0E" w:rsidRPr="00F71F57">
        <w:rPr>
          <w:rFonts w:asciiTheme="majorBidi" w:hAnsiTheme="majorBidi" w:cstheme="majorBidi"/>
          <w:sz w:val="24"/>
          <w:szCs w:val="24"/>
          <w:lang w:val="en-GB" w:bidi="fa-IR"/>
        </w:rPr>
        <w:t>)</w:t>
      </w:r>
      <w:r w:rsidR="00372BF5" w:rsidRPr="00F71F57">
        <w:rPr>
          <w:rFonts w:asciiTheme="majorBidi" w:hAnsiTheme="majorBidi" w:cstheme="majorBidi"/>
          <w:sz w:val="24"/>
          <w:szCs w:val="24"/>
          <w:lang w:val="en-GB" w:bidi="fa-IR"/>
        </w:rPr>
        <w:fldChar w:fldCharType="end"/>
      </w:r>
      <w:r w:rsidR="00A25E0D" w:rsidRPr="00F71F57">
        <w:rPr>
          <w:rFonts w:asciiTheme="majorBidi" w:hAnsiTheme="majorBidi" w:cstheme="majorBidi"/>
          <w:sz w:val="24"/>
          <w:szCs w:val="24"/>
          <w:lang w:val="en-GB" w:bidi="fa-IR"/>
        </w:rPr>
        <w:t xml:space="preserve">. </w:t>
      </w:r>
      <w:r w:rsidR="000B2F4A" w:rsidRPr="00F71F57">
        <w:rPr>
          <w:rFonts w:asciiTheme="majorBidi" w:hAnsiTheme="majorBidi" w:cstheme="majorBidi"/>
          <w:sz w:val="24"/>
          <w:szCs w:val="24"/>
          <w:lang w:val="en-GB" w:bidi="fa-IR"/>
        </w:rPr>
        <w:t xml:space="preserve">The rCPT offers another method for assessing attention, designed to evaluate sustained attention and vigilance over extended periods. The rCPT involves monitoring a rodent's ability to detect target stimuli while suppressing responses to non-targets, replicating cognitive tasks used in human assessments. The sensitivity of this task to neurotoxic effects and its established correlations with human performance make it a valuable tool. However, as with the 5-CSRTT, the rCPT faces challenges of task sensitivity, as rodents may exhibit different cognitive strategies that complicate performance interpretation, highlighting potential limitations in direct translation. Moreover, differences in task execution between rodents and humans necessitate cautious examination when drawing parallels between species </w:t>
      </w:r>
      <w:r w:rsidR="00BD4A0E" w:rsidRPr="00F71F57">
        <w:rPr>
          <w:rFonts w:asciiTheme="majorBidi" w:hAnsiTheme="majorBidi" w:cstheme="majorBidi"/>
          <w:sz w:val="24"/>
          <w:szCs w:val="24"/>
          <w:lang w:val="en-GB" w:bidi="fa-IR"/>
        </w:rPr>
        <w:fldChar w:fldCharType="begin"/>
      </w:r>
      <w:r w:rsidR="00BD4A0E" w:rsidRPr="00F71F57">
        <w:rPr>
          <w:rFonts w:asciiTheme="majorBidi" w:hAnsiTheme="majorBidi" w:cstheme="majorBidi"/>
          <w:sz w:val="24"/>
          <w:szCs w:val="24"/>
          <w:lang w:val="en-GB" w:bidi="fa-IR"/>
        </w:rPr>
        <w:instrText xml:space="preserve"> ADDIN EN.CITE &lt;EndNote&gt;&lt;Cite&gt;&lt;Author&gt;Salmon&lt;/Author&gt;&lt;Year&gt;2024&lt;/Year&gt;&lt;RecNum&gt;272&lt;/RecNum&gt;&lt;DisplayText&gt;(Burrows et al., 2021; Salmon et al., 2024)&lt;/DisplayText&gt;&lt;record&gt;&lt;rec-number&gt;272&lt;/rec-number&gt;&lt;foreign-keys&gt;&lt;key app="EN" db-id="2ptrtps0adr9vke22dn5tpwzrsfaxtxrfwet" timestamp="1755802013"&gt;272&lt;/key&gt;&lt;/foreign-keys&gt;&lt;ref-type name="Journal Article"&gt;17&lt;/ref-type&gt;&lt;contributors&gt;&lt;authors&gt;&lt;author&gt;Salmon, Claire&lt;/author&gt;&lt;author&gt;Li, Shuting&lt;/author&gt;&lt;author&gt;Burrows, Emma L.&lt;/author&gt;&lt;author&gt;Johnson, Katherine A.&lt;/author&gt;&lt;/authors&gt;&lt;/contributors&gt;&lt;titles&gt;&lt;title&gt;Translational Validity of Neuropsychological Tasks of Sustained Attention Between Rodents and Humans: A Systematic Review of Three Rodent Tasks&lt;/title&gt;&lt;secondary-title&gt;Journal of Neurochemistry&lt;/secondary-title&gt;&lt;/titles&gt;&lt;periodical&gt;&lt;full-title&gt;Journal of Neurochemistry&lt;/full-title&gt;&lt;/periodical&gt;&lt;pages&gt;2170-2189&lt;/pages&gt;&lt;volume&gt;168&lt;/volume&gt;&lt;number&gt;9&lt;/number&gt;&lt;dates&gt;&lt;year&gt;2024&lt;/year&gt;&lt;/dates&gt;&lt;urls&gt;&lt;/urls&gt;&lt;electronic-resource-num&gt;10.1111/jnc.16117&lt;/electronic-resource-num&gt;&lt;/record&gt;&lt;/Cite&gt;&lt;Cite&gt;&lt;Author&gt;Burrows&lt;/Author&gt;&lt;Year&gt;2021&lt;/Year&gt;&lt;RecNum&gt;273&lt;/RecNum&gt;&lt;record&gt;&lt;rec-number&gt;273&lt;/rec-number&gt;&lt;foreign-keys&gt;&lt;key app="EN" db-id="2ptrtps0adr9vke22dn5tpwzrsfaxtxrfwet" timestamp="1755802088"&gt;273&lt;/key&gt;&lt;/foreign-keys&gt;&lt;ref-type name="Journal Article"&gt;17&lt;/ref-type&gt;&lt;contributors&gt;&lt;authors&gt;&lt;author&gt;Burrows, Emma L.&lt;/author&gt;&lt;author&gt;May, Carlos&lt;/author&gt;&lt;author&gt;Hill, Thomas&lt;/author&gt;&lt;author&gt;Churliov, Leonid&lt;/author&gt;&lt;author&gt;Johnson, Katherine A.&lt;/author&gt;&lt;author&gt;Hannan, Anthony J.&lt;/author&gt;&lt;/authors&gt;&lt;/contributors&gt;&lt;titles&gt;&lt;title&gt;Mice With an Autism‐associated &amp;lt;scp&amp;gt;R451C&amp;lt;/Scp&amp;gt; Mutation in Neuroligin‐3 Show a Cautious but Accurate Response Style in Touchscreen Attention Tasks&lt;/title&gt;&lt;secondary-title&gt;Genes Brain &amp;amp; Behavior&lt;/secondary-title&gt;&lt;/titles&gt;&lt;periodical&gt;&lt;full-title&gt;Genes Brain &amp;amp; Behavior&lt;/full-title&gt;&lt;/periodical&gt;&lt;volume&gt;21&lt;/volume&gt;&lt;number&gt;1&lt;/number&gt;&lt;dates&gt;&lt;year&gt;2021&lt;/year&gt;&lt;/dates&gt;&lt;urls&gt;&lt;/urls&gt;&lt;electronic-resource-num&gt;10.1111/gbb.12757&lt;/electronic-resource-num&gt;&lt;/record&gt;&lt;/Cite&gt;&lt;/EndNote&gt;</w:instrText>
      </w:r>
      <w:r w:rsidR="00BD4A0E" w:rsidRPr="00F71F57">
        <w:rPr>
          <w:rFonts w:asciiTheme="majorBidi" w:hAnsiTheme="majorBidi" w:cstheme="majorBidi"/>
          <w:sz w:val="24"/>
          <w:szCs w:val="24"/>
          <w:lang w:val="en-GB" w:bidi="fa-IR"/>
        </w:rPr>
        <w:fldChar w:fldCharType="separate"/>
      </w:r>
      <w:r w:rsidR="00BD4A0E" w:rsidRPr="00F71F57">
        <w:rPr>
          <w:rFonts w:asciiTheme="majorBidi" w:hAnsiTheme="majorBidi" w:cstheme="majorBidi"/>
          <w:sz w:val="24"/>
          <w:szCs w:val="24"/>
          <w:lang w:val="en-GB" w:bidi="fa-IR"/>
        </w:rPr>
        <w:t>(</w:t>
      </w:r>
      <w:hyperlink w:anchor="_ENREF_32" w:tooltip="Burrows, 2021 #273" w:history="1">
        <w:r w:rsidR="00DE113E" w:rsidRPr="00F71F57">
          <w:rPr>
            <w:rFonts w:asciiTheme="majorBidi" w:hAnsiTheme="majorBidi" w:cstheme="majorBidi"/>
            <w:sz w:val="24"/>
            <w:szCs w:val="24"/>
            <w:lang w:val="en-GB" w:bidi="fa-IR"/>
          </w:rPr>
          <w:t>Burrows et al., 2021</w:t>
        </w:r>
      </w:hyperlink>
      <w:r w:rsidR="00BD4A0E" w:rsidRPr="00F71F57">
        <w:rPr>
          <w:rFonts w:asciiTheme="majorBidi" w:hAnsiTheme="majorBidi" w:cstheme="majorBidi"/>
          <w:sz w:val="24"/>
          <w:szCs w:val="24"/>
          <w:lang w:val="en-GB" w:bidi="fa-IR"/>
        </w:rPr>
        <w:t xml:space="preserve">; </w:t>
      </w:r>
      <w:hyperlink w:anchor="_ENREF_212" w:tooltip="Salmon, 2024 #272" w:history="1">
        <w:r w:rsidR="00DE113E" w:rsidRPr="00F71F57">
          <w:rPr>
            <w:rFonts w:asciiTheme="majorBidi" w:hAnsiTheme="majorBidi" w:cstheme="majorBidi"/>
            <w:sz w:val="24"/>
            <w:szCs w:val="24"/>
            <w:lang w:val="en-GB" w:bidi="fa-IR"/>
          </w:rPr>
          <w:t>Salmon et al., 2024</w:t>
        </w:r>
      </w:hyperlink>
      <w:r w:rsidR="00BD4A0E" w:rsidRPr="00F71F57">
        <w:rPr>
          <w:rFonts w:asciiTheme="majorBidi" w:hAnsiTheme="majorBidi" w:cstheme="majorBidi"/>
          <w:sz w:val="24"/>
          <w:szCs w:val="24"/>
          <w:lang w:val="en-GB" w:bidi="fa-IR"/>
        </w:rPr>
        <w:t>)</w:t>
      </w:r>
      <w:r w:rsidR="00BD4A0E" w:rsidRPr="00F71F57">
        <w:rPr>
          <w:rFonts w:asciiTheme="majorBidi" w:hAnsiTheme="majorBidi" w:cstheme="majorBidi"/>
          <w:sz w:val="24"/>
          <w:szCs w:val="24"/>
          <w:lang w:val="en-GB" w:bidi="fa-IR"/>
        </w:rPr>
        <w:fldChar w:fldCharType="end"/>
      </w:r>
      <w:r w:rsidR="000B2F4A" w:rsidRPr="00F71F57">
        <w:rPr>
          <w:rFonts w:asciiTheme="majorBidi" w:hAnsiTheme="majorBidi" w:cstheme="majorBidi"/>
          <w:sz w:val="24"/>
          <w:szCs w:val="24"/>
          <w:lang w:val="en-GB" w:bidi="fa-IR"/>
        </w:rPr>
        <w:t>.</w:t>
      </w:r>
      <w:r w:rsidR="00A25E0D" w:rsidRPr="00F71F57">
        <w:rPr>
          <w:rFonts w:asciiTheme="majorBidi" w:hAnsiTheme="majorBidi" w:cstheme="majorBidi"/>
          <w:sz w:val="24"/>
          <w:szCs w:val="24"/>
          <w:lang w:val="en-GB" w:bidi="fa-IR"/>
        </w:rPr>
        <w:t xml:space="preserve"> </w:t>
      </w:r>
      <w:r w:rsidR="000B2F4A" w:rsidRPr="00F71F57">
        <w:rPr>
          <w:rFonts w:asciiTheme="majorBidi" w:hAnsiTheme="majorBidi" w:cstheme="majorBidi"/>
          <w:sz w:val="24"/>
          <w:szCs w:val="24"/>
          <w:lang w:val="en-GB" w:bidi="fa-IR"/>
        </w:rPr>
        <w:t>Touchscreen-based attention tasks present a burgeoning area of exploration, allowing for the assessment of cognitive functions through computerized systems that closely mirror human tasks. These paradigms facilitate various attention-based assessments, such as multisensory integration and response selection, offering improved data acquisition and control over experimental conditions</w:t>
      </w:r>
      <w:r w:rsidR="00BD4A0E" w:rsidRPr="00F71F57">
        <w:rPr>
          <w:lang w:val="en-GB"/>
        </w:rPr>
        <w:t xml:space="preserve"> </w:t>
      </w:r>
      <w:r w:rsidR="00BD4A0E" w:rsidRPr="00F71F57">
        <w:rPr>
          <w:rFonts w:asciiTheme="majorBidi" w:hAnsiTheme="majorBidi" w:cstheme="majorBidi"/>
          <w:sz w:val="24"/>
          <w:szCs w:val="24"/>
          <w:lang w:val="en-GB" w:bidi="fa-IR"/>
        </w:rPr>
        <w:fldChar w:fldCharType="begin">
          <w:fldData xml:space="preserve">PEVuZE5vdGU+PENpdGU+PEF1dGhvcj5Idm9zbGVm4oCQRWlkZTwvQXV0aG9yPjxZZWFyPjIwMTU8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</w:fldData>
        </w:fldChar>
      </w:r>
      <w:r w:rsidR="00BD4A0E" w:rsidRPr="00F71F57">
        <w:rPr>
          <w:rFonts w:asciiTheme="majorBidi" w:hAnsiTheme="majorBidi" w:cstheme="majorBidi"/>
          <w:sz w:val="24"/>
          <w:szCs w:val="24"/>
          <w:lang w:val="en-GB" w:bidi="fa-IR"/>
        </w:rPr>
        <w:instrText xml:space="preserve"> ADDIN EN.CITE </w:instrText>
      </w:r>
      <w:r w:rsidR="00BD4A0E" w:rsidRPr="00F71F57">
        <w:rPr>
          <w:rFonts w:asciiTheme="majorBidi" w:hAnsiTheme="majorBidi" w:cstheme="majorBidi"/>
          <w:sz w:val="24"/>
          <w:szCs w:val="24"/>
          <w:lang w:val="en-GB" w:bidi="fa-IR"/>
        </w:rPr>
        <w:fldChar w:fldCharType="begin">
          <w:fldData xml:space="preserve">PEVuZE5vdGU+PENpdGU+PEF1dGhvcj5Idm9zbGVm4oCQRWlkZTwvQXV0aG9yPjxZZWFyPjIwMTU8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</w:fldData>
        </w:fldChar>
      </w:r>
      <w:r w:rsidR="00BD4A0E" w:rsidRPr="00F71F57">
        <w:rPr>
          <w:rFonts w:asciiTheme="majorBidi" w:hAnsiTheme="majorBidi" w:cstheme="majorBidi"/>
          <w:sz w:val="24"/>
          <w:szCs w:val="24"/>
          <w:lang w:val="en-GB" w:bidi="fa-IR"/>
        </w:rPr>
        <w:instrText xml:space="preserve"> ADDIN EN.CITE.DATA </w:instrText>
      </w:r>
      <w:r w:rsidR="00BD4A0E" w:rsidRPr="00F71F57">
        <w:rPr>
          <w:rFonts w:asciiTheme="majorBidi" w:hAnsiTheme="majorBidi" w:cstheme="majorBidi"/>
          <w:sz w:val="24"/>
          <w:szCs w:val="24"/>
          <w:lang w:val="en-GB" w:bidi="fa-IR"/>
        </w:rPr>
      </w:r>
      <w:r w:rsidR="00BD4A0E" w:rsidRPr="00F71F57">
        <w:rPr>
          <w:rFonts w:asciiTheme="majorBidi" w:hAnsiTheme="majorBidi" w:cstheme="majorBidi"/>
          <w:sz w:val="24"/>
          <w:szCs w:val="24"/>
          <w:lang w:val="en-GB" w:bidi="fa-IR"/>
        </w:rPr>
        <w:fldChar w:fldCharType="end"/>
      </w:r>
      <w:r w:rsidR="00BD4A0E" w:rsidRPr="00F71F57">
        <w:rPr>
          <w:rFonts w:asciiTheme="majorBidi" w:hAnsiTheme="majorBidi" w:cstheme="majorBidi"/>
          <w:sz w:val="24"/>
          <w:szCs w:val="24"/>
          <w:lang w:val="en-GB" w:bidi="fa-IR"/>
        </w:rPr>
      </w:r>
      <w:r w:rsidR="00BD4A0E" w:rsidRPr="00F71F57">
        <w:rPr>
          <w:rFonts w:asciiTheme="majorBidi" w:hAnsiTheme="majorBidi" w:cstheme="majorBidi"/>
          <w:sz w:val="24"/>
          <w:szCs w:val="24"/>
          <w:lang w:val="en-GB" w:bidi="fa-IR"/>
        </w:rPr>
        <w:fldChar w:fldCharType="separate"/>
      </w:r>
      <w:r w:rsidR="00BD4A0E" w:rsidRPr="00F71F57">
        <w:rPr>
          <w:rFonts w:asciiTheme="majorBidi" w:hAnsiTheme="majorBidi" w:cstheme="majorBidi"/>
          <w:sz w:val="24"/>
          <w:szCs w:val="24"/>
          <w:lang w:val="en-GB" w:bidi="fa-IR"/>
        </w:rPr>
        <w:t>(</w:t>
      </w:r>
      <w:hyperlink w:anchor="_ENREF_19" w:tooltip="Beraldo, 2019 #255" w:history="1">
        <w:r w:rsidR="00DE113E" w:rsidRPr="00F71F57">
          <w:rPr>
            <w:rFonts w:asciiTheme="majorBidi" w:hAnsiTheme="majorBidi" w:cstheme="majorBidi"/>
            <w:sz w:val="24"/>
            <w:szCs w:val="24"/>
            <w:lang w:val="en-GB" w:bidi="fa-IR"/>
          </w:rPr>
          <w:t>Beraldo et al., 2019</w:t>
        </w:r>
      </w:hyperlink>
      <w:r w:rsidR="00BD4A0E" w:rsidRPr="00F71F57">
        <w:rPr>
          <w:rFonts w:asciiTheme="majorBidi" w:hAnsiTheme="majorBidi" w:cstheme="majorBidi"/>
          <w:sz w:val="24"/>
          <w:szCs w:val="24"/>
          <w:lang w:val="en-GB" w:bidi="fa-IR"/>
        </w:rPr>
        <w:t xml:space="preserve">; </w:t>
      </w:r>
      <w:hyperlink w:anchor="_ENREF_108" w:tooltip="Hvoslef‐Eide, 2015 #274" w:history="1">
        <w:r w:rsidR="00DE113E" w:rsidRPr="00F71F57">
          <w:rPr>
            <w:rFonts w:asciiTheme="majorBidi" w:hAnsiTheme="majorBidi" w:cstheme="majorBidi"/>
            <w:sz w:val="24"/>
            <w:szCs w:val="24"/>
            <w:lang w:val="en-GB" w:bidi="fa-IR"/>
          </w:rPr>
          <w:t>Hvoslef‐Eide et al., 2015</w:t>
        </w:r>
      </w:hyperlink>
      <w:r w:rsidR="00BD4A0E" w:rsidRPr="00F71F57">
        <w:rPr>
          <w:rFonts w:asciiTheme="majorBidi" w:hAnsiTheme="majorBidi" w:cstheme="majorBidi"/>
          <w:sz w:val="24"/>
          <w:szCs w:val="24"/>
          <w:lang w:val="en-GB" w:bidi="fa-IR"/>
        </w:rPr>
        <w:t xml:space="preserve">; </w:t>
      </w:r>
      <w:hyperlink w:anchor="_ENREF_233" w:tooltip="Sullivan, 2020 #275" w:history="1">
        <w:r w:rsidR="00DE113E" w:rsidRPr="00F71F57">
          <w:rPr>
            <w:rFonts w:asciiTheme="majorBidi" w:hAnsiTheme="majorBidi" w:cstheme="majorBidi"/>
            <w:sz w:val="24"/>
            <w:szCs w:val="24"/>
            <w:lang w:val="en-GB" w:bidi="fa-IR"/>
          </w:rPr>
          <w:t>Sullivan et al., 2020</w:t>
        </w:r>
      </w:hyperlink>
      <w:r w:rsidR="00BD4A0E" w:rsidRPr="00F71F57">
        <w:rPr>
          <w:rFonts w:asciiTheme="majorBidi" w:hAnsiTheme="majorBidi" w:cstheme="majorBidi"/>
          <w:sz w:val="24"/>
          <w:szCs w:val="24"/>
          <w:lang w:val="en-GB" w:bidi="fa-IR"/>
        </w:rPr>
        <w:t>)</w:t>
      </w:r>
      <w:r w:rsidR="00BD4A0E" w:rsidRPr="00F71F57">
        <w:rPr>
          <w:rFonts w:asciiTheme="majorBidi" w:hAnsiTheme="majorBidi" w:cstheme="majorBidi"/>
          <w:sz w:val="24"/>
          <w:szCs w:val="24"/>
          <w:lang w:val="en-GB" w:bidi="fa-IR"/>
        </w:rPr>
        <w:fldChar w:fldCharType="end"/>
      </w:r>
      <w:r w:rsidR="00BD4A0E" w:rsidRPr="00F71F57">
        <w:rPr>
          <w:rFonts w:asciiTheme="majorBidi" w:hAnsiTheme="majorBidi" w:cstheme="majorBidi"/>
          <w:sz w:val="24"/>
          <w:szCs w:val="24"/>
          <w:lang w:val="en-GB" w:bidi="fa-IR"/>
        </w:rPr>
        <w:t xml:space="preserve">. </w:t>
      </w:r>
      <w:r w:rsidR="000B2F4A" w:rsidRPr="00F71F57">
        <w:rPr>
          <w:rFonts w:asciiTheme="majorBidi" w:hAnsiTheme="majorBidi" w:cstheme="majorBidi"/>
          <w:sz w:val="24"/>
          <w:szCs w:val="24"/>
          <w:lang w:val="en-GB" w:bidi="fa-IR"/>
        </w:rPr>
        <w:t>Touchscreen designs enable researchers to systematically manipulate task parameters, thus refining assessments of various attention deficits as they relate to specific neurobiological mechanisms</w:t>
      </w:r>
      <w:r w:rsidR="00BD4A0E" w:rsidRPr="00F71F57">
        <w:rPr>
          <w:rFonts w:asciiTheme="majorBidi" w:hAnsiTheme="majorBidi" w:cstheme="majorBidi"/>
          <w:sz w:val="24"/>
          <w:szCs w:val="24"/>
          <w:lang w:val="en-GB" w:bidi="fa-IR"/>
        </w:rPr>
        <w:t>.</w:t>
      </w:r>
    </w:p>
    <w:p w14:paraId="70AB7D3C" w14:textId="7E045ED5" w:rsidR="000654B1" w:rsidRDefault="000654B1" w:rsidP="005114DA">
      <w:pPr>
        <w:jc w:val="both"/>
        <w:rPr>
          <w:rFonts w:asciiTheme="majorBidi" w:hAnsiTheme="majorBidi" w:cstheme="majorBidi"/>
          <w:b/>
          <w:bCs/>
          <w:sz w:val="24"/>
          <w:szCs w:val="24"/>
          <w:lang w:val="en-GB" w:bidi="fa-IR"/>
        </w:rPr>
      </w:pPr>
    </w:p>
    <w:p w14:paraId="08B6FD81" w14:textId="77777777" w:rsidR="00915596" w:rsidRPr="00F71F57" w:rsidRDefault="00915596" w:rsidP="005114DA">
      <w:pPr>
        <w:jc w:val="both"/>
        <w:rPr>
          <w:rFonts w:asciiTheme="majorBidi" w:hAnsiTheme="majorBidi" w:cstheme="majorBidi"/>
          <w:b/>
          <w:bCs/>
          <w:sz w:val="24"/>
          <w:szCs w:val="24"/>
          <w:lang w:val="en-GB" w:bidi="fa-IR"/>
        </w:rPr>
      </w:pPr>
    </w:p>
    <w:p w14:paraId="65A18CA7" w14:textId="50CF8F2E" w:rsidR="004B5E72" w:rsidRPr="00F71F57" w:rsidRDefault="00B56F3A" w:rsidP="00984E32">
      <w:pPr>
        <w:pStyle w:val="Heading4"/>
        <w:rPr>
          <w:rtl/>
          <w:lang w:bidi="fa-IR"/>
        </w:rPr>
      </w:pPr>
      <w:bookmarkStart w:id="28" w:name="_Toc214875835"/>
      <w:r w:rsidRPr="00F71F57">
        <w:rPr>
          <w:lang w:bidi="fa-IR"/>
        </w:rPr>
        <w:lastRenderedPageBreak/>
        <w:t>1.2.3.3 Cognitive Flexibility and Inhibitory Control</w:t>
      </w:r>
      <w:bookmarkEnd w:id="28"/>
    </w:p>
    <w:p w14:paraId="2915240B" w14:textId="4B239889" w:rsidR="00A25E0D" w:rsidRPr="00F71F57" w:rsidRDefault="00044D50"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 xml:space="preserve">Cognitive flexibility and inhibitory control are essential </w:t>
      </w:r>
      <w:r w:rsidR="00514A2F" w:rsidRPr="00F71F57">
        <w:rPr>
          <w:rFonts w:asciiTheme="majorBidi" w:hAnsiTheme="majorBidi" w:cstheme="majorBidi"/>
          <w:sz w:val="24"/>
          <w:szCs w:val="24"/>
          <w:lang w:val="en-GB" w:bidi="fa-IR"/>
        </w:rPr>
        <w:t>to</w:t>
      </w:r>
      <w:r w:rsidRPr="00F71F57">
        <w:rPr>
          <w:rFonts w:asciiTheme="majorBidi" w:hAnsiTheme="majorBidi" w:cstheme="majorBidi"/>
          <w:sz w:val="24"/>
          <w:szCs w:val="24"/>
          <w:lang w:val="en-GB" w:bidi="fa-IR"/>
        </w:rPr>
        <w:t xml:space="preserve"> executive function, allowing individuals to adapt their thoughts and </w:t>
      </w:r>
      <w:r w:rsidR="005114DA" w:rsidRPr="00F71F57">
        <w:rPr>
          <w:rFonts w:asciiTheme="majorBidi" w:hAnsiTheme="majorBidi" w:cstheme="majorBidi"/>
          <w:sz w:val="24"/>
          <w:szCs w:val="24"/>
          <w:lang w:val="en-GB" w:bidi="fa-IR"/>
        </w:rPr>
        <w:t>behaviours</w:t>
      </w:r>
      <w:r w:rsidRPr="00F71F57">
        <w:rPr>
          <w:rFonts w:asciiTheme="majorBidi" w:hAnsiTheme="majorBidi" w:cstheme="majorBidi"/>
          <w:sz w:val="24"/>
          <w:szCs w:val="24"/>
          <w:lang w:val="en-GB" w:bidi="fa-IR"/>
        </w:rPr>
        <w:t xml:space="preserve"> in response to changing circumstances. Impairments in these cognitive domains are common manifestations in neurodegenerative diseases, significantly affecting daily functioning and quality of life. Several studies have elucidated the neurobiological underpinnings and behavioral implications of deficits in cognitive flexibility and inhibitory control.</w:t>
      </w:r>
      <w:r w:rsidR="007F47C7"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Cognitive flexibility, defined as the capacity to switch between thinking about different concepts or multiple concepts simultaneously, is crucial in adapting to new or unexpected conditions. Research indicates that neurochemical pathways, particularly involving dopamine, play a significant role in cognitive flexibility. For example, studies have shown that </w:t>
      </w:r>
      <w:r w:rsidR="00793C2B" w:rsidRPr="00F71F57">
        <w:rPr>
          <w:rFonts w:asciiTheme="majorBidi" w:hAnsiTheme="majorBidi" w:cstheme="majorBidi"/>
          <w:sz w:val="24"/>
          <w:szCs w:val="24"/>
          <w:lang w:val="en-GB" w:bidi="fa-IR"/>
        </w:rPr>
        <w:t>manipulating</w:t>
      </w:r>
      <w:r w:rsidRPr="00F71F57">
        <w:rPr>
          <w:rFonts w:asciiTheme="majorBidi" w:hAnsiTheme="majorBidi" w:cstheme="majorBidi"/>
          <w:sz w:val="24"/>
          <w:szCs w:val="24"/>
          <w:lang w:val="en-GB" w:bidi="fa-IR"/>
        </w:rPr>
        <w:t xml:space="preserve"> adenosine A2A receptors in the accumbens can enhance cognitive flexibility by facilitating strategy shifting in rodent models </w:t>
      </w:r>
      <w:r w:rsidR="00FB68BD" w:rsidRPr="00F71F57">
        <w:rPr>
          <w:rFonts w:asciiTheme="majorBidi" w:hAnsiTheme="majorBidi" w:cstheme="majorBidi"/>
          <w:sz w:val="24"/>
          <w:szCs w:val="24"/>
          <w:lang w:val="en-GB" w:bidi="fa-IR"/>
        </w:rPr>
        <w:fldChar w:fldCharType="begin"/>
      </w:r>
      <w:r w:rsidR="00FB68BD" w:rsidRPr="00F71F57">
        <w:rPr>
          <w:rFonts w:asciiTheme="majorBidi" w:hAnsiTheme="majorBidi" w:cstheme="majorBidi"/>
          <w:sz w:val="24"/>
          <w:szCs w:val="24"/>
          <w:lang w:val="en-GB" w:bidi="fa-IR"/>
        </w:rPr>
        <w:instrText xml:space="preserve"> ADDIN EN.CITE &lt;EndNote&gt;&lt;Cite&gt;&lt;Author&gt;Zhou&lt;/Author&gt;&lt;Year&gt;2019&lt;/Year&gt;&lt;RecNum&gt;168&lt;/RecNum&gt;&lt;DisplayText&gt;(Zhou et al., 2019)&lt;/DisplayText&gt;&lt;record&gt;&lt;rec-number&gt;168&lt;/rec-number&gt;&lt;foreign-keys&gt;&lt;key app="EN" db-id="2ptrtps0adr9vke22dn5tpwzrsfaxtxrfwet" timestamp="1755696149"&gt;168&lt;/key&gt;&lt;/foreign-keys&gt;&lt;ref-type name="Journal Article"&gt;17&lt;/ref-type&gt;&lt;contributors&gt;&lt;authors&gt;&lt;author&gt;Zhou,Jianhong&lt;/author&gt;&lt;author&gt;Wu,Beibei&lt;/author&gt;&lt;author&gt;Lin,Xiangxiang&lt;/author&gt;&lt;author&gt;Dai,Yuwei&lt;/author&gt;&lt;author&gt;Li,Tingting&lt;/author&gt;&lt;author&gt;Zheng,Wu&lt;/author&gt;&lt;author&gt;Guo,Wei&lt;/author&gt;&lt;author&gt;Vakal,Sergii&lt;/author&gt;&lt;author&gt;Chen,Xingjun&lt;/author&gt;&lt;author&gt;Chen,Jiang-Fan&lt;/author&gt;&lt;/authors&gt;&lt;/contributors&gt;&lt;titles&gt;&lt;title&gt;Accumbal Adenosine A2A Receptors Enhance Cognitive Flexibility by Facilitating Strategy Shifting&lt;/title&gt;&lt;secondary-title&gt;Frontiers in Cellular Neuroscience&lt;/secondary-title&gt;&lt;short-title&gt;NAc A2ARs enhance attentional set-shifting,reversal learning and motivation&lt;/short-title&gt;&lt;/titles&gt;&lt;periodical&gt;&lt;full-title&gt;Frontiers in Cellular Neuroscience&lt;/full-title&gt;&lt;/periodical&gt;&lt;volume&gt;Volume 13 - 2019&lt;/volume&gt;&lt;keywords&gt;&lt;keyword&gt;adenosine A2AR receptors,Nucleus Accumbens,dorsomedial striatum,Attentional set-shifting,Reversal Learning,Motivation,Attention&lt;/keyword&gt;&lt;/keywords&gt;&lt;dates&gt;&lt;year&gt;2019&lt;/year&gt;&lt;pub-dates&gt;&lt;date&gt;2019-April-11&lt;/date&gt;&lt;/pub-dates&gt;&lt;/dates&gt;&lt;isbn&gt;1662-5102&lt;/isbn&gt;&lt;work-type&gt;Original Research&lt;/work-type&gt;&lt;urls&gt;&lt;related-urls&gt;&lt;url&gt;https://www.frontiersin.org/journals/cellular-neuroscience/articles/10.3389/fncel.2019.00130&lt;/url&gt;&lt;/related-urls&gt;&lt;/urls&gt;&lt;electronic-resource-num&gt;10.3389/fncel.2019.00130&lt;/electronic-resource-num&gt;&lt;language&gt;English&lt;/language&gt;&lt;/record&gt;&lt;/Cite&gt;&lt;/EndNote&gt;</w:instrText>
      </w:r>
      <w:r w:rsidR="00FB68BD" w:rsidRPr="00F71F57">
        <w:rPr>
          <w:rFonts w:asciiTheme="majorBidi" w:hAnsiTheme="majorBidi" w:cstheme="majorBidi"/>
          <w:sz w:val="24"/>
          <w:szCs w:val="24"/>
          <w:lang w:val="en-GB" w:bidi="fa-IR"/>
        </w:rPr>
        <w:fldChar w:fldCharType="separate"/>
      </w:r>
      <w:r w:rsidR="00FB68BD" w:rsidRPr="00F71F57">
        <w:rPr>
          <w:rFonts w:asciiTheme="majorBidi" w:hAnsiTheme="majorBidi" w:cstheme="majorBidi"/>
          <w:sz w:val="24"/>
          <w:szCs w:val="24"/>
          <w:lang w:val="en-GB" w:bidi="fa-IR"/>
        </w:rPr>
        <w:t>(</w:t>
      </w:r>
      <w:hyperlink w:anchor="_ENREF_272" w:tooltip="Zhou, 2019 #168" w:history="1">
        <w:r w:rsidR="00DE113E" w:rsidRPr="00F71F57">
          <w:rPr>
            <w:rFonts w:asciiTheme="majorBidi" w:hAnsiTheme="majorBidi" w:cstheme="majorBidi"/>
            <w:sz w:val="24"/>
            <w:szCs w:val="24"/>
            <w:lang w:val="en-GB" w:bidi="fa-IR"/>
          </w:rPr>
          <w:t>Zhou et al., 2019</w:t>
        </w:r>
      </w:hyperlink>
      <w:r w:rsidR="00FB68BD" w:rsidRPr="00F71F57">
        <w:rPr>
          <w:rFonts w:asciiTheme="majorBidi" w:hAnsiTheme="majorBidi" w:cstheme="majorBidi"/>
          <w:sz w:val="24"/>
          <w:szCs w:val="24"/>
          <w:lang w:val="en-GB" w:bidi="fa-IR"/>
        </w:rPr>
        <w:t>)</w:t>
      </w:r>
      <w:r w:rsidR="00FB68BD" w:rsidRPr="00F71F57">
        <w:rPr>
          <w:rFonts w:asciiTheme="majorBidi" w:hAnsiTheme="majorBidi" w:cstheme="majorBidi"/>
          <w:sz w:val="24"/>
          <w:szCs w:val="24"/>
          <w:lang w:val="en-GB" w:bidi="fa-IR"/>
        </w:rPr>
        <w:fldChar w:fldCharType="end"/>
      </w:r>
      <w:r w:rsidR="00FB68BD" w:rsidRPr="00F71F57">
        <w:rPr>
          <w:rFonts w:asciiTheme="majorBidi" w:hAnsiTheme="majorBidi" w:cstheme="majorBidi"/>
          <w:sz w:val="24"/>
          <w:szCs w:val="24"/>
          <w:rtl/>
          <w:lang w:val="en-GB" w:bidi="fa-IR"/>
        </w:rPr>
        <w:t xml:space="preserve">. </w:t>
      </w:r>
      <w:r w:rsidRPr="00F71F57">
        <w:rPr>
          <w:rFonts w:asciiTheme="majorBidi" w:hAnsiTheme="majorBidi" w:cstheme="majorBidi"/>
          <w:sz w:val="24"/>
          <w:szCs w:val="24"/>
          <w:lang w:val="en-GB" w:bidi="fa-IR"/>
        </w:rPr>
        <w:t>This suggests potential therapeutic targets for enhancing cognitive flexibility in neurodegenerative conditions.</w:t>
      </w:r>
      <w:r w:rsidR="00FB68BD" w:rsidRPr="00F71F57">
        <w:rPr>
          <w:rFonts w:asciiTheme="majorBidi" w:hAnsiTheme="majorBidi" w:cstheme="majorBidi"/>
          <w:sz w:val="24"/>
          <w:szCs w:val="24"/>
          <w:rtl/>
          <w:lang w:val="en-GB" w:bidi="fa-IR"/>
        </w:rPr>
        <w:t xml:space="preserve"> </w:t>
      </w:r>
      <w:r w:rsidRPr="00F71F57">
        <w:rPr>
          <w:rFonts w:asciiTheme="majorBidi" w:hAnsiTheme="majorBidi" w:cstheme="majorBidi"/>
          <w:sz w:val="24"/>
          <w:szCs w:val="24"/>
          <w:lang w:val="en-GB" w:bidi="fa-IR"/>
        </w:rPr>
        <w:t xml:space="preserve">Inhibitory control, the ability to suppress responses that are inappropriate or not useful, also deteriorates with neurodegeneration. Dysfunctional inhibitory control is evidenced in various disorders, including Alzheimer's disease and Parkinson’s disease, where individuals often exhibit difficulty in disengaging from habitual responses or suppressing unwanted thoughts. Such deficits are not only linked to neurodegenerative processes but also influenced by individual differences in cognitive performance prior to the onset of disease symptoms. For instance, premorbid cognitive ability has been shown to affect how individuals cope with neurological degeneration, leading to varying degrees of executive dysfunction severity </w:t>
      </w:r>
      <w:r w:rsidR="00FB68BD" w:rsidRPr="00F71F57">
        <w:rPr>
          <w:rFonts w:asciiTheme="majorBidi" w:hAnsiTheme="majorBidi" w:cstheme="majorBidi"/>
          <w:sz w:val="24"/>
          <w:szCs w:val="24"/>
          <w:lang w:val="en-GB" w:bidi="fa-IR"/>
        </w:rPr>
        <w:fldChar w:fldCharType="begin"/>
      </w:r>
      <w:r w:rsidR="00FB68BD" w:rsidRPr="00F71F57">
        <w:rPr>
          <w:rFonts w:asciiTheme="majorBidi" w:hAnsiTheme="majorBidi" w:cstheme="majorBidi"/>
          <w:sz w:val="24"/>
          <w:szCs w:val="24"/>
          <w:lang w:val="en-GB" w:bidi="fa-IR"/>
        </w:rPr>
        <w:instrText xml:space="preserve"> ADDIN EN.CITE &lt;EndNote&gt;&lt;Cite&gt;&lt;Author&gt;Decourt&lt;/Author&gt;&lt;Year&gt;2023&lt;/Year&gt;&lt;RecNum&gt;169&lt;/RecNum&gt;&lt;DisplayText&gt;(Decourt et al., 2023)&lt;/DisplayText&gt;&lt;record&gt;&lt;rec-number&gt;169&lt;/rec-number&gt;&lt;foreign-keys&gt;&lt;key app="EN" db-id="2ptrtps0adr9vke22dn5tpwzrsfaxtxrfwet" timestamp="1755696251"&gt;169&lt;/key&gt;&lt;/foreign-keys&gt;&lt;ref-type name="Journal Article"&gt;17&lt;/ref-type&gt;&lt;contributors&gt;&lt;authors&gt;&lt;author&gt;Decourt, Mélina&lt;/author&gt;&lt;author&gt;Balado, Éric&lt;/author&gt;&lt;author&gt;Francheteau, Maureen&lt;/author&gt;&lt;author&gt;Solinas, Marcello&lt;/author&gt;&lt;author&gt;Benoit‐Marand, Marianne&lt;/author&gt;&lt;author&gt;Fernagut, Pierre‐Olivier&lt;/author&gt;&lt;/authors&gt;&lt;/contributors&gt;&lt;titles&gt;&lt;title&gt;Premorbid Performances Determine the Deleterious Effects of Nigrostriatal Degeneration and Pramipexole on Behavioural Flexibility&lt;/title&gt;&lt;secondary-title&gt;NPJ Parkinson S Disease&lt;/secondary-title&gt;&lt;/titles&gt;&lt;periodical&gt;&lt;full-title&gt;NPJ Parkinson S Disease&lt;/full-title&gt;&lt;/periodical&gt;&lt;volume&gt;9&lt;/volume&gt;&lt;number&gt;1&lt;/number&gt;&lt;dates&gt;&lt;year&gt;2023&lt;/year&gt;&lt;/dates&gt;&lt;urls&gt;&lt;/urls&gt;&lt;electronic-resource-num&gt;10.1038/s41531-023-00475-3&lt;/electronic-resource-num&gt;&lt;/record&gt;&lt;/Cite&gt;&lt;/EndNote&gt;</w:instrText>
      </w:r>
      <w:r w:rsidR="00FB68BD" w:rsidRPr="00F71F57">
        <w:rPr>
          <w:rFonts w:asciiTheme="majorBidi" w:hAnsiTheme="majorBidi" w:cstheme="majorBidi"/>
          <w:sz w:val="24"/>
          <w:szCs w:val="24"/>
          <w:lang w:val="en-GB" w:bidi="fa-IR"/>
        </w:rPr>
        <w:fldChar w:fldCharType="separate"/>
      </w:r>
      <w:r w:rsidR="00FB68BD" w:rsidRPr="00F71F57">
        <w:rPr>
          <w:rFonts w:asciiTheme="majorBidi" w:hAnsiTheme="majorBidi" w:cstheme="majorBidi"/>
          <w:sz w:val="24"/>
          <w:szCs w:val="24"/>
          <w:lang w:val="en-GB" w:bidi="fa-IR"/>
        </w:rPr>
        <w:t>(</w:t>
      </w:r>
      <w:hyperlink w:anchor="_ENREF_57" w:tooltip="Decourt, 2023 #169" w:history="1">
        <w:r w:rsidR="00DE113E" w:rsidRPr="00F71F57">
          <w:rPr>
            <w:rFonts w:asciiTheme="majorBidi" w:hAnsiTheme="majorBidi" w:cstheme="majorBidi"/>
            <w:sz w:val="24"/>
            <w:szCs w:val="24"/>
            <w:lang w:val="en-GB" w:bidi="fa-IR"/>
          </w:rPr>
          <w:t>Decourt et al., 2023</w:t>
        </w:r>
      </w:hyperlink>
      <w:r w:rsidR="00FB68BD" w:rsidRPr="00F71F57">
        <w:rPr>
          <w:rFonts w:asciiTheme="majorBidi" w:hAnsiTheme="majorBidi" w:cstheme="majorBidi"/>
          <w:sz w:val="24"/>
          <w:szCs w:val="24"/>
          <w:lang w:val="en-GB" w:bidi="fa-IR"/>
        </w:rPr>
        <w:t>)</w:t>
      </w:r>
      <w:r w:rsidR="00FB68BD" w:rsidRPr="00F71F57">
        <w:rPr>
          <w:rFonts w:asciiTheme="majorBidi" w:hAnsiTheme="majorBidi" w:cstheme="majorBidi"/>
          <w:sz w:val="24"/>
          <w:szCs w:val="24"/>
          <w:lang w:val="en-GB" w:bidi="fa-IR"/>
        </w:rPr>
        <w:fldChar w:fldCharType="end"/>
      </w:r>
      <w:r w:rsidR="00FB68BD" w:rsidRPr="00F71F57">
        <w:rPr>
          <w:rFonts w:asciiTheme="majorBidi" w:hAnsiTheme="majorBidi" w:cstheme="majorBidi"/>
          <w:sz w:val="24"/>
          <w:szCs w:val="24"/>
          <w:rtl/>
          <w:lang w:val="en-GB" w:bidi="fa-IR"/>
        </w:rPr>
        <w:t>.</w:t>
      </w:r>
      <w:r w:rsidR="007F47C7"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 relationship between cognitive flexibility and attentional processes has been highlighted through various studies. For example, bilingual children show enhanced cognitive flexibility, which may be partly attributed to their unique attentional demands in managing two linguistic systems </w:t>
      </w:r>
      <w:r w:rsidR="0002082B" w:rsidRPr="00F71F57">
        <w:rPr>
          <w:rFonts w:asciiTheme="majorBidi" w:hAnsiTheme="majorBidi" w:cstheme="majorBidi"/>
          <w:sz w:val="24"/>
          <w:szCs w:val="24"/>
          <w:lang w:val="en-GB" w:bidi="fa-IR"/>
        </w:rPr>
        <w:fldChar w:fldCharType="begin"/>
      </w:r>
      <w:r w:rsidR="0002082B" w:rsidRPr="00F71F57">
        <w:rPr>
          <w:rFonts w:asciiTheme="majorBidi" w:hAnsiTheme="majorBidi" w:cstheme="majorBidi"/>
          <w:sz w:val="24"/>
          <w:szCs w:val="24"/>
          <w:lang w:val="en-GB" w:bidi="fa-IR"/>
        </w:rPr>
        <w:instrText xml:space="preserve"> ADDIN EN.CITE &lt;EndNote&gt;&lt;Cite&gt;&lt;Author&gt;Haft&lt;/Author&gt;&lt;Year&gt;2019&lt;/Year&gt;&lt;RecNum&gt;170&lt;/RecNum&gt;&lt;DisplayText&gt;(Haft et al., 2019)&lt;/DisplayText&gt;&lt;record&gt;&lt;rec-number&gt;170&lt;/rec-number&gt;&lt;foreign-keys&gt;&lt;key app="EN" db-id="2ptrtps0adr9vke22dn5tpwzrsfaxtxrfwet" timestamp="1755696565"&gt;170&lt;/key&gt;&lt;/foreign-keys&gt;&lt;ref-type name="Journal Article"&gt;17&lt;/ref-type&gt;&lt;contributors&gt;&lt;authors&gt;&lt;author&gt;Haft, Stephanie L.&lt;/author&gt;&lt;author&gt;Kepinska, Olga&lt;/author&gt;&lt;author&gt;Caballero, Jocelyn&lt;/author&gt;&lt;author&gt;Carreiras, Manuel&lt;/author&gt;&lt;author&gt;Hoeft, Fumiko&lt;/author&gt;&lt;/authors&gt;&lt;/contributors&gt;&lt;titles&gt;&lt;title&gt;Attentional Fluctuations, Cognitive Flexibility, and Bilingualism in Kindergarteners&lt;/title&gt;&lt;secondary-title&gt;Behavioral Sciences&lt;/secondary-title&gt;&lt;/titles&gt;&lt;periodical&gt;&lt;full-title&gt;Behavioral Sciences&lt;/full-title&gt;&lt;/periodical&gt;&lt;pages&gt;58&lt;/pages&gt;&lt;volume&gt;9&lt;/volume&gt;&lt;number&gt;5&lt;/number&gt;&lt;dates&gt;&lt;year&gt;2019&lt;/year&gt;&lt;/dates&gt;&lt;urls&gt;&lt;/urls&gt;&lt;electronic-resource-num&gt;10.3390/bs9050058&lt;/electronic-resource-num&gt;&lt;/record&gt;&lt;/Cite&gt;&lt;/EndNote&gt;</w:instrText>
      </w:r>
      <w:r w:rsidR="0002082B" w:rsidRPr="00F71F57">
        <w:rPr>
          <w:rFonts w:asciiTheme="majorBidi" w:hAnsiTheme="majorBidi" w:cstheme="majorBidi"/>
          <w:sz w:val="24"/>
          <w:szCs w:val="24"/>
          <w:lang w:val="en-GB" w:bidi="fa-IR"/>
        </w:rPr>
        <w:fldChar w:fldCharType="separate"/>
      </w:r>
      <w:r w:rsidR="0002082B" w:rsidRPr="00F71F57">
        <w:rPr>
          <w:rFonts w:asciiTheme="majorBidi" w:hAnsiTheme="majorBidi" w:cstheme="majorBidi"/>
          <w:sz w:val="24"/>
          <w:szCs w:val="24"/>
          <w:lang w:val="en-GB" w:bidi="fa-IR"/>
        </w:rPr>
        <w:t>(</w:t>
      </w:r>
      <w:hyperlink w:anchor="_ENREF_96" w:tooltip="Haft, 2019 #170" w:history="1">
        <w:r w:rsidR="00DE113E" w:rsidRPr="00F71F57">
          <w:rPr>
            <w:rFonts w:asciiTheme="majorBidi" w:hAnsiTheme="majorBidi" w:cstheme="majorBidi"/>
            <w:sz w:val="24"/>
            <w:szCs w:val="24"/>
            <w:lang w:val="en-GB" w:bidi="fa-IR"/>
          </w:rPr>
          <w:t>Haft et al., 2019</w:t>
        </w:r>
      </w:hyperlink>
      <w:r w:rsidR="0002082B" w:rsidRPr="00F71F57">
        <w:rPr>
          <w:rFonts w:asciiTheme="majorBidi" w:hAnsiTheme="majorBidi" w:cstheme="majorBidi"/>
          <w:sz w:val="24"/>
          <w:szCs w:val="24"/>
          <w:lang w:val="en-GB" w:bidi="fa-IR"/>
        </w:rPr>
        <w:t>)</w:t>
      </w:r>
      <w:r w:rsidR="0002082B" w:rsidRPr="00F71F57">
        <w:rPr>
          <w:rFonts w:asciiTheme="majorBidi" w:hAnsiTheme="majorBidi" w:cstheme="majorBidi"/>
          <w:sz w:val="24"/>
          <w:szCs w:val="24"/>
          <w:lang w:val="en-GB" w:bidi="fa-IR"/>
        </w:rPr>
        <w:fldChar w:fldCharType="end"/>
      </w:r>
      <w:r w:rsidR="0002082B" w:rsidRPr="00F71F57">
        <w:rPr>
          <w:rFonts w:asciiTheme="majorBidi" w:hAnsiTheme="majorBidi" w:cstheme="majorBidi"/>
          <w:sz w:val="24"/>
          <w:szCs w:val="24"/>
          <w:rtl/>
          <w:lang w:val="en-GB" w:bidi="fa-IR"/>
        </w:rPr>
        <w:t xml:space="preserve">. </w:t>
      </w:r>
      <w:r w:rsidRPr="00F71F57">
        <w:rPr>
          <w:rFonts w:asciiTheme="majorBidi" w:hAnsiTheme="majorBidi" w:cstheme="majorBidi"/>
          <w:sz w:val="24"/>
          <w:szCs w:val="24"/>
          <w:lang w:val="en-GB" w:bidi="fa-IR"/>
        </w:rPr>
        <w:t xml:space="preserve">Furthermore, attentional </w:t>
      </w:r>
      <w:r w:rsidRPr="00F71F57">
        <w:rPr>
          <w:rFonts w:asciiTheme="majorBidi" w:hAnsiTheme="majorBidi" w:cstheme="majorBidi"/>
          <w:sz w:val="24"/>
          <w:szCs w:val="24"/>
          <w:lang w:val="en-GB" w:bidi="fa-IR"/>
        </w:rPr>
        <w:lastRenderedPageBreak/>
        <w:t xml:space="preserve">fluctuations, which can impact task accuracy and overall cognitive performance, are significant predictors of cognitive flexibility. Research has demonstrated that fluctuations in attention correlate with performance in cognitive flexibility tasks in both children and adults, indicating that sustained attention contributes to higher cognitive function </w:t>
      </w:r>
      <w:r w:rsidR="007F47C7" w:rsidRPr="00F71F57">
        <w:rPr>
          <w:rFonts w:asciiTheme="majorBidi" w:hAnsiTheme="majorBidi" w:cstheme="majorBidi"/>
          <w:sz w:val="24"/>
          <w:szCs w:val="24"/>
          <w:lang w:val="en-GB" w:bidi="fa-IR"/>
        </w:rPr>
        <w:fldChar w:fldCharType="begin">
          <w:fldData xml:space="preserve">PEVuZE5vdGU+PENpdGU+PEF1dGhvcj5Jc2JlbGw8L0F1dGhvcj48WWVhcj4yMDE4PC9ZZWFyPjxS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</w:fldData>
        </w:fldChar>
      </w:r>
      <w:r w:rsidR="007F47C7" w:rsidRPr="00F71F57">
        <w:rPr>
          <w:rFonts w:asciiTheme="majorBidi" w:hAnsiTheme="majorBidi" w:cstheme="majorBidi"/>
          <w:sz w:val="24"/>
          <w:szCs w:val="24"/>
          <w:lang w:val="en-GB" w:bidi="fa-IR"/>
        </w:rPr>
        <w:instrText xml:space="preserve"> ADDIN EN.CITE </w:instrText>
      </w:r>
      <w:r w:rsidR="007F47C7" w:rsidRPr="00F71F57">
        <w:rPr>
          <w:rFonts w:asciiTheme="majorBidi" w:hAnsiTheme="majorBidi" w:cstheme="majorBidi"/>
          <w:sz w:val="24"/>
          <w:szCs w:val="24"/>
          <w:lang w:val="en-GB" w:bidi="fa-IR"/>
        </w:rPr>
        <w:fldChar w:fldCharType="begin">
          <w:fldData xml:space="preserve">PEVuZE5vdGU+PENpdGU+PEF1dGhvcj5Jc2JlbGw8L0F1dGhvcj48WWVhcj4yMDE4PC9ZZWFyPjxS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</w:fldData>
        </w:fldChar>
      </w:r>
      <w:r w:rsidR="007F47C7" w:rsidRPr="00F71F57">
        <w:rPr>
          <w:rFonts w:asciiTheme="majorBidi" w:hAnsiTheme="majorBidi" w:cstheme="majorBidi"/>
          <w:sz w:val="24"/>
          <w:szCs w:val="24"/>
          <w:lang w:val="en-GB" w:bidi="fa-IR"/>
        </w:rPr>
        <w:instrText xml:space="preserve"> ADDIN EN.CITE.DATA </w:instrText>
      </w:r>
      <w:r w:rsidR="007F47C7" w:rsidRPr="00F71F57">
        <w:rPr>
          <w:rFonts w:asciiTheme="majorBidi" w:hAnsiTheme="majorBidi" w:cstheme="majorBidi"/>
          <w:sz w:val="24"/>
          <w:szCs w:val="24"/>
          <w:lang w:val="en-GB" w:bidi="fa-IR"/>
        </w:rPr>
      </w:r>
      <w:r w:rsidR="007F47C7" w:rsidRPr="00F71F57">
        <w:rPr>
          <w:rFonts w:asciiTheme="majorBidi" w:hAnsiTheme="majorBidi" w:cstheme="majorBidi"/>
          <w:sz w:val="24"/>
          <w:szCs w:val="24"/>
          <w:lang w:val="en-GB" w:bidi="fa-IR"/>
        </w:rPr>
        <w:fldChar w:fldCharType="end"/>
      </w:r>
      <w:r w:rsidR="007F47C7" w:rsidRPr="00F71F57">
        <w:rPr>
          <w:rFonts w:asciiTheme="majorBidi" w:hAnsiTheme="majorBidi" w:cstheme="majorBidi"/>
          <w:sz w:val="24"/>
          <w:szCs w:val="24"/>
          <w:lang w:val="en-GB" w:bidi="fa-IR"/>
        </w:rPr>
      </w:r>
      <w:r w:rsidR="007F47C7" w:rsidRPr="00F71F57">
        <w:rPr>
          <w:rFonts w:asciiTheme="majorBidi" w:hAnsiTheme="majorBidi" w:cstheme="majorBidi"/>
          <w:sz w:val="24"/>
          <w:szCs w:val="24"/>
          <w:lang w:val="en-GB" w:bidi="fa-IR"/>
        </w:rPr>
        <w:fldChar w:fldCharType="separate"/>
      </w:r>
      <w:r w:rsidR="007F47C7" w:rsidRPr="00F71F57">
        <w:rPr>
          <w:rFonts w:asciiTheme="majorBidi" w:hAnsiTheme="majorBidi" w:cstheme="majorBidi"/>
          <w:sz w:val="24"/>
          <w:szCs w:val="24"/>
          <w:lang w:val="en-GB" w:bidi="fa-IR"/>
        </w:rPr>
        <w:t>(</w:t>
      </w:r>
      <w:hyperlink w:anchor="_ENREF_23" w:tooltip="Blekić, 2022 #171" w:history="1">
        <w:r w:rsidR="00DE113E" w:rsidRPr="00F71F57">
          <w:rPr>
            <w:rFonts w:asciiTheme="majorBidi" w:hAnsiTheme="majorBidi" w:cstheme="majorBidi"/>
            <w:sz w:val="24"/>
            <w:szCs w:val="24"/>
            <w:lang w:val="en-GB" w:bidi="fa-IR"/>
          </w:rPr>
          <w:t>Blekić et al., 2022</w:t>
        </w:r>
      </w:hyperlink>
      <w:r w:rsidR="007F47C7" w:rsidRPr="00F71F57">
        <w:rPr>
          <w:rFonts w:asciiTheme="majorBidi" w:hAnsiTheme="majorBidi" w:cstheme="majorBidi"/>
          <w:sz w:val="24"/>
          <w:szCs w:val="24"/>
          <w:lang w:val="en-GB" w:bidi="fa-IR"/>
        </w:rPr>
        <w:t xml:space="preserve">; </w:t>
      </w:r>
      <w:hyperlink w:anchor="_ENREF_111" w:tooltip="Isbell, 2018 #172" w:history="1">
        <w:r w:rsidR="00DE113E" w:rsidRPr="00F71F57">
          <w:rPr>
            <w:rFonts w:asciiTheme="majorBidi" w:hAnsiTheme="majorBidi" w:cstheme="majorBidi"/>
            <w:sz w:val="24"/>
            <w:szCs w:val="24"/>
            <w:lang w:val="en-GB" w:bidi="fa-IR"/>
          </w:rPr>
          <w:t>Isbell et al., 2018</w:t>
        </w:r>
      </w:hyperlink>
      <w:r w:rsidR="007F47C7" w:rsidRPr="00F71F57">
        <w:rPr>
          <w:rFonts w:asciiTheme="majorBidi" w:hAnsiTheme="majorBidi" w:cstheme="majorBidi"/>
          <w:sz w:val="24"/>
          <w:szCs w:val="24"/>
          <w:lang w:val="en-GB" w:bidi="fa-IR"/>
        </w:rPr>
        <w:t>)</w:t>
      </w:r>
      <w:r w:rsidR="007F47C7"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7F47C7"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Moreover, the neuroanatomical basis of these cognitive processes involves specific brain regions. For instance, the prefrontal cortex is critically involved in both cognitive flexibility and inhibitory control. Dysfunctional </w:t>
      </w:r>
      <w:r w:rsidR="005114DA" w:rsidRPr="00F71F57">
        <w:rPr>
          <w:rFonts w:asciiTheme="majorBidi" w:hAnsiTheme="majorBidi" w:cstheme="majorBidi"/>
          <w:sz w:val="24"/>
          <w:szCs w:val="24"/>
          <w:lang w:val="en-GB" w:bidi="fa-IR"/>
        </w:rPr>
        <w:t>signalling</w:t>
      </w:r>
      <w:r w:rsidRPr="00F71F57">
        <w:rPr>
          <w:rFonts w:asciiTheme="majorBidi" w:hAnsiTheme="majorBidi" w:cstheme="majorBidi"/>
          <w:sz w:val="24"/>
          <w:szCs w:val="24"/>
          <w:lang w:val="en-GB" w:bidi="fa-IR"/>
        </w:rPr>
        <w:t xml:space="preserve"> in the prefrontal cortex, due to tau pathology and amyloid accumulation prevalent in Alzheimer’s disease, might contribute to the observed cognitive impairments </w:t>
      </w:r>
      <w:r w:rsidR="007F47C7" w:rsidRPr="00F71F57">
        <w:rPr>
          <w:rFonts w:asciiTheme="majorBidi" w:hAnsiTheme="majorBidi" w:cstheme="majorBidi"/>
          <w:sz w:val="24"/>
          <w:szCs w:val="24"/>
          <w:lang w:val="en-GB" w:bidi="fa-IR"/>
        </w:rPr>
        <w:fldChar w:fldCharType="begin"/>
      </w:r>
      <w:r w:rsidR="007F47C7" w:rsidRPr="00F71F57">
        <w:rPr>
          <w:rFonts w:asciiTheme="majorBidi" w:hAnsiTheme="majorBidi" w:cstheme="majorBidi"/>
          <w:sz w:val="24"/>
          <w:szCs w:val="24"/>
          <w:lang w:val="en-GB" w:bidi="fa-IR"/>
        </w:rPr>
        <w:instrText xml:space="preserve"> ADDIN EN.CITE &lt;EndNote&gt;&lt;Cite&gt;&lt;Author&gt;Aschenbrenner&lt;/Author&gt;&lt;Year&gt;2018&lt;/Year&gt;&lt;RecNum&gt;173&lt;/RecNum&gt;&lt;DisplayText&gt;(Aschenbrenner et al., 2018)&lt;/DisplayText&gt;&lt;record&gt;&lt;rec-number&gt;173&lt;/rec-number&gt;&lt;foreign-keys&gt;&lt;key app="EN" db-id="2ptrtps0adr9vke22dn5tpwzrsfaxtxrfwet" timestamp="1755763026"&gt;173&lt;/key&gt;&lt;/foreign-keys&gt;&lt;ref-type name="Journal Article"&gt;17&lt;/ref-type&gt;&lt;contributors&gt;&lt;authors&gt;&lt;author&gt;Aschenbrenner, Andrew J.&lt;/author&gt;&lt;author&gt;Gordon, Brian A.&lt;/author&gt;&lt;author&gt;Benzinger, Tammie L. S.&lt;/author&gt;&lt;author&gt;Morris, John C.&lt;/author&gt;&lt;author&gt;Hassenstab, Jason J.&lt;/author&gt;&lt;/authors&gt;&lt;/contributors&gt;&lt;titles&gt;&lt;title&gt;Influence of Tau PET, Amyloid PET, and Hippocampal Volume on Cognition in Alzheimer Disease&lt;/title&gt;&lt;secondary-title&gt;Neurology&lt;/secondary-title&gt;&lt;/titles&gt;&lt;periodical&gt;&lt;full-title&gt;Neurology&lt;/full-title&gt;&lt;/periodical&gt;&lt;volume&gt;91&lt;/volume&gt;&lt;number&gt;9&lt;/number&gt;&lt;dates&gt;&lt;year&gt;2018&lt;/year&gt;&lt;/dates&gt;&lt;urls&gt;&lt;/urls&gt;&lt;electronic-resource-num&gt;10.1212/wnl.0000000000006075&lt;/electronic-resource-num&gt;&lt;/record&gt;&lt;/Cite&gt;&lt;/EndNote&gt;</w:instrText>
      </w:r>
      <w:r w:rsidR="007F47C7" w:rsidRPr="00F71F57">
        <w:rPr>
          <w:rFonts w:asciiTheme="majorBidi" w:hAnsiTheme="majorBidi" w:cstheme="majorBidi"/>
          <w:sz w:val="24"/>
          <w:szCs w:val="24"/>
          <w:lang w:val="en-GB" w:bidi="fa-IR"/>
        </w:rPr>
        <w:fldChar w:fldCharType="separate"/>
      </w:r>
      <w:r w:rsidR="007F47C7" w:rsidRPr="00F71F57">
        <w:rPr>
          <w:rFonts w:asciiTheme="majorBidi" w:hAnsiTheme="majorBidi" w:cstheme="majorBidi"/>
          <w:sz w:val="24"/>
          <w:szCs w:val="24"/>
          <w:lang w:val="en-GB" w:bidi="fa-IR"/>
        </w:rPr>
        <w:t>(</w:t>
      </w:r>
      <w:hyperlink w:anchor="_ENREF_10" w:tooltip="Aschenbrenner, 2018 #173" w:history="1">
        <w:r w:rsidR="00DE113E" w:rsidRPr="00F71F57">
          <w:rPr>
            <w:rFonts w:asciiTheme="majorBidi" w:hAnsiTheme="majorBidi" w:cstheme="majorBidi"/>
            <w:sz w:val="24"/>
            <w:szCs w:val="24"/>
            <w:lang w:val="en-GB" w:bidi="fa-IR"/>
          </w:rPr>
          <w:t>Aschenbrenner et al., 2018</w:t>
        </w:r>
      </w:hyperlink>
      <w:r w:rsidR="007F47C7" w:rsidRPr="00F71F57">
        <w:rPr>
          <w:rFonts w:asciiTheme="majorBidi" w:hAnsiTheme="majorBidi" w:cstheme="majorBidi"/>
          <w:sz w:val="24"/>
          <w:szCs w:val="24"/>
          <w:lang w:val="en-GB" w:bidi="fa-IR"/>
        </w:rPr>
        <w:t>)</w:t>
      </w:r>
      <w:r w:rsidR="007F47C7"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Inhibitory interneuron dysfunctions have also been implicated as early indicators of neurodegeneration, potentially mediating changes in cerebral networks that underlie executive functions </w:t>
      </w:r>
      <w:r w:rsidR="007F47C7" w:rsidRPr="00F71F57">
        <w:rPr>
          <w:rFonts w:asciiTheme="majorBidi" w:hAnsiTheme="majorBidi" w:cstheme="majorBidi"/>
          <w:sz w:val="24"/>
          <w:szCs w:val="24"/>
          <w:lang w:val="en-GB" w:bidi="fa-IR"/>
        </w:rPr>
        <w:fldChar w:fldCharType="begin"/>
      </w:r>
      <w:r w:rsidR="007F47C7" w:rsidRPr="00F71F57">
        <w:rPr>
          <w:rFonts w:asciiTheme="majorBidi" w:hAnsiTheme="majorBidi" w:cstheme="majorBidi"/>
          <w:sz w:val="24"/>
          <w:szCs w:val="24"/>
          <w:lang w:val="en-GB" w:bidi="fa-IR"/>
        </w:rPr>
        <w:instrText xml:space="preserve"> ADDIN EN.CITE &lt;EndNote&gt;&lt;Cite&gt;&lt;Author&gt;Vargová&lt;/Author&gt;&lt;Year&gt;2018&lt;/Year&gt;&lt;RecNum&gt;174&lt;/RecNum&gt;&lt;DisplayText&gt;(Vargová et al., 2018)&lt;/DisplayText&gt;&lt;record&gt;&lt;rec-number&gt;174&lt;/rec-number&gt;&lt;foreign-keys&gt;&lt;key app="EN" db-id="2ptrtps0adr9vke22dn5tpwzrsfaxtxrfwet" timestamp="1755763059"&gt;174&lt;/key&gt;&lt;/foreign-keys&gt;&lt;ref-type name="Journal Article"&gt;17&lt;/ref-type&gt;&lt;contributors&gt;&lt;authors&gt;&lt;author&gt;Vargová, Gréta&lt;/author&gt;&lt;author&gt;Vogels, Thomas&lt;/author&gt;&lt;author&gt;Kostecká, Zuzana&lt;/author&gt;&lt;author&gt;Hromádka, Tomáš&lt;/author&gt;&lt;/authors&gt;&lt;/contributors&gt;&lt;titles&gt;&lt;title&gt;Inhibitory Interneurons in Alzheimer’s Disease&lt;/title&gt;&lt;secondary-title&gt;Bratislava Medical Journal&lt;/secondary-title&gt;&lt;/titles&gt;&lt;periodical&gt;&lt;full-title&gt;Bratislava Medical Journal&lt;/full-title&gt;&lt;/periodical&gt;&lt;pages&gt;205-209&lt;/pages&gt;&lt;volume&gt;119&lt;/volume&gt;&lt;number&gt;04&lt;/number&gt;&lt;dates&gt;&lt;year&gt;2018&lt;/year&gt;&lt;/dates&gt;&lt;urls&gt;&lt;/urls&gt;&lt;electronic-resource-num&gt;10.4149/bll_2018_038&lt;/electronic-resource-num&gt;&lt;/record&gt;&lt;/Cite&gt;&lt;/EndNote&gt;</w:instrText>
      </w:r>
      <w:r w:rsidR="007F47C7" w:rsidRPr="00F71F57">
        <w:rPr>
          <w:rFonts w:asciiTheme="majorBidi" w:hAnsiTheme="majorBidi" w:cstheme="majorBidi"/>
          <w:sz w:val="24"/>
          <w:szCs w:val="24"/>
          <w:lang w:val="en-GB" w:bidi="fa-IR"/>
        </w:rPr>
        <w:fldChar w:fldCharType="separate"/>
      </w:r>
      <w:r w:rsidR="007F47C7" w:rsidRPr="00F71F57">
        <w:rPr>
          <w:rFonts w:asciiTheme="majorBidi" w:hAnsiTheme="majorBidi" w:cstheme="majorBidi"/>
          <w:sz w:val="24"/>
          <w:szCs w:val="24"/>
          <w:lang w:val="en-GB" w:bidi="fa-IR"/>
        </w:rPr>
        <w:t>(</w:t>
      </w:r>
      <w:hyperlink w:anchor="_ENREF_251" w:tooltip="Vargová, 2018 #174" w:history="1">
        <w:r w:rsidR="00DE113E" w:rsidRPr="00F71F57">
          <w:rPr>
            <w:rFonts w:asciiTheme="majorBidi" w:hAnsiTheme="majorBidi" w:cstheme="majorBidi"/>
            <w:sz w:val="24"/>
            <w:szCs w:val="24"/>
            <w:lang w:val="en-GB" w:bidi="fa-IR"/>
          </w:rPr>
          <w:t>Vargová et al., 2018</w:t>
        </w:r>
      </w:hyperlink>
      <w:r w:rsidR="007F47C7" w:rsidRPr="00F71F57">
        <w:rPr>
          <w:rFonts w:asciiTheme="majorBidi" w:hAnsiTheme="majorBidi" w:cstheme="majorBidi"/>
          <w:sz w:val="24"/>
          <w:szCs w:val="24"/>
          <w:lang w:val="en-GB" w:bidi="fa-IR"/>
        </w:rPr>
        <w:t>)</w:t>
      </w:r>
      <w:r w:rsidR="007F47C7"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7F47C7" w:rsidRPr="00F71F57">
        <w:rPr>
          <w:rFonts w:asciiTheme="majorBidi" w:hAnsiTheme="majorBidi" w:cstheme="majorBidi"/>
          <w:sz w:val="24"/>
          <w:szCs w:val="24"/>
          <w:lang w:val="en-GB" w:bidi="fa-IR"/>
        </w:rPr>
        <w:t xml:space="preserve"> </w:t>
      </w:r>
      <w:r w:rsidR="00A25E0D" w:rsidRPr="00F71F57">
        <w:rPr>
          <w:rFonts w:asciiTheme="majorBidi" w:hAnsiTheme="majorBidi" w:cstheme="majorBidi"/>
          <w:sz w:val="24"/>
          <w:szCs w:val="24"/>
          <w:lang w:val="en-GB" w:bidi="fa-IR"/>
        </w:rPr>
        <w:t xml:space="preserve"> Cognitive flexibility and inhibitory control are essential components of executive function that are often impaired in rodent models of neurodegeneration. Behavioral paradigms such as reversal learning, and </w:t>
      </w:r>
      <w:r w:rsidR="008832E9">
        <w:rPr>
          <w:rFonts w:asciiTheme="majorBidi" w:hAnsiTheme="majorBidi" w:cstheme="majorBidi"/>
          <w:sz w:val="24"/>
          <w:szCs w:val="24"/>
          <w:lang w:val="en-GB" w:bidi="fa-IR"/>
        </w:rPr>
        <w:t>P</w:t>
      </w:r>
      <w:r w:rsidR="00A25E0D" w:rsidRPr="00F71F57">
        <w:rPr>
          <w:rFonts w:asciiTheme="majorBidi" w:hAnsiTheme="majorBidi" w:cstheme="majorBidi"/>
          <w:sz w:val="24"/>
          <w:szCs w:val="24"/>
          <w:lang w:val="en-GB" w:bidi="fa-IR"/>
        </w:rPr>
        <w:t xml:space="preserve">airwise </w:t>
      </w:r>
      <w:r w:rsidR="008832E9">
        <w:rPr>
          <w:rFonts w:asciiTheme="majorBidi" w:hAnsiTheme="majorBidi" w:cstheme="majorBidi"/>
          <w:sz w:val="24"/>
          <w:szCs w:val="24"/>
          <w:lang w:val="en-GB" w:bidi="fa-IR"/>
        </w:rPr>
        <w:t>V</w:t>
      </w:r>
      <w:r w:rsidR="00A25E0D" w:rsidRPr="00F71F57">
        <w:rPr>
          <w:rFonts w:asciiTheme="majorBidi" w:hAnsiTheme="majorBidi" w:cstheme="majorBidi"/>
          <w:sz w:val="24"/>
          <w:szCs w:val="24"/>
          <w:lang w:val="en-GB" w:bidi="fa-IR"/>
        </w:rPr>
        <w:t xml:space="preserve">isual </w:t>
      </w:r>
      <w:r w:rsidR="008832E9">
        <w:rPr>
          <w:rFonts w:asciiTheme="majorBidi" w:hAnsiTheme="majorBidi" w:cstheme="majorBidi"/>
          <w:sz w:val="24"/>
          <w:szCs w:val="24"/>
          <w:lang w:val="en-GB" w:bidi="fa-IR"/>
        </w:rPr>
        <w:t>D</w:t>
      </w:r>
      <w:r w:rsidR="00A25E0D" w:rsidRPr="00F71F57">
        <w:rPr>
          <w:rFonts w:asciiTheme="majorBidi" w:hAnsiTheme="majorBidi" w:cstheme="majorBidi"/>
          <w:sz w:val="24"/>
          <w:szCs w:val="24"/>
          <w:lang w:val="en-GB" w:bidi="fa-IR"/>
        </w:rPr>
        <w:t>iscrimination (PVD) tasks conducted in touchscreen chambers have been instrumental in studying these deficits.</w:t>
      </w:r>
      <w:r w:rsidR="00514A2F" w:rsidRPr="00F71F57">
        <w:rPr>
          <w:rFonts w:asciiTheme="majorBidi" w:hAnsiTheme="majorBidi" w:cstheme="majorBidi"/>
          <w:sz w:val="24"/>
          <w:szCs w:val="24"/>
          <w:lang w:val="en-GB" w:bidi="fa-IR"/>
        </w:rPr>
        <w:t xml:space="preserve"> </w:t>
      </w:r>
      <w:r w:rsidR="00A25E0D" w:rsidRPr="00F71F57">
        <w:rPr>
          <w:rFonts w:asciiTheme="majorBidi" w:hAnsiTheme="majorBidi" w:cstheme="majorBidi"/>
          <w:sz w:val="24"/>
          <w:szCs w:val="24"/>
          <w:lang w:val="en-GB" w:bidi="fa-IR"/>
        </w:rPr>
        <w:t xml:space="preserve">Reversal learning is a behavioral paradigm that evaluates an animal's ability to adapt to changes in reward contingencies. Initially, a rodent learns to associate a specific stimulus with a reward; upon shifting the reward to an alternate stimulus, the animal's ability to modify its previously rewarded behavior is assessed. This task strongly correlates with cognitive flexibility, which involves the capacity to switch between different tasks or mental operations </w:t>
      </w:r>
      <w:r w:rsidR="00A25E0D" w:rsidRPr="00F71F57">
        <w:rPr>
          <w:rFonts w:asciiTheme="majorBidi" w:hAnsiTheme="majorBidi" w:cstheme="majorBidi"/>
          <w:sz w:val="24"/>
          <w:szCs w:val="24"/>
          <w:lang w:val="en-GB" w:bidi="fa-IR"/>
        </w:rPr>
        <w:fldChar w:fldCharType="begin"/>
      </w:r>
      <w:r w:rsidR="00E748A6" w:rsidRPr="00F71F57">
        <w:rPr>
          <w:rFonts w:asciiTheme="majorBidi" w:hAnsiTheme="majorBidi" w:cstheme="majorBidi"/>
          <w:sz w:val="24"/>
          <w:szCs w:val="24"/>
          <w:lang w:val="en-GB" w:bidi="fa-IR"/>
        </w:rPr>
        <w:instrText xml:space="preserve"> ADDIN EN.CITE &lt;EndNote&gt;&lt;Cite&gt;&lt;Author&gt;Brigman&lt;/Author&gt;&lt;Year&gt;2008&lt;/Year&gt;&lt;RecNum&gt;277&lt;/RecNum&gt;&lt;DisplayText&gt;(Brigman et al., 2008; Piiponniemi et al., 2017)&lt;/DisplayText&gt;&lt;record&gt;&lt;rec-number&gt;277&lt;/rec-number&gt;&lt;foreign-keys&gt;&lt;key app="EN" db-id="2ptrtps0adr9vke22dn5tpwzrsfaxtxrfwet" timestamp="1755804173"&gt;277&lt;/key&gt;&lt;/foreign-keys&gt;&lt;ref-type name="Journal Article"&gt;17&lt;/ref-type&gt;&lt;contributors&gt;&lt;authors&gt;&lt;author&gt;Brigman, Jonathan L.&lt;/author&gt;&lt;author&gt;Feyder, Michael&lt;/author&gt;&lt;author&gt;Saksida, Lisa M.&lt;/author&gt;&lt;author&gt;Bussey, Timothy J.&lt;/author&gt;&lt;author&gt;Mishina, Masayoshi&lt;/author&gt;&lt;author&gt;Holmes, Andrew&lt;/author&gt;&lt;/authors&gt;&lt;/contributors&gt;&lt;titles&gt;&lt;title&gt;Impaired Discrimination Learning in Mice Lacking the NMDA Receptor NR2A Subunit&lt;/title&gt;&lt;secondary-title&gt;Learning &amp;amp; Memory&lt;/secondary-title&gt;&lt;/titles&gt;&lt;periodical&gt;&lt;full-title&gt;Learning &amp;amp; Memory&lt;/full-title&gt;&lt;/periodical&gt;&lt;pages&gt;50-54&lt;/pages&gt;&lt;volume&gt;15&lt;/volume&gt;&lt;number&gt;2&lt;/number&gt;&lt;dates&gt;&lt;year&gt;2008&lt;/year&gt;&lt;/dates&gt;&lt;urls&gt;&lt;/urls&gt;&lt;electronic-resource-num&gt;10.1101/lm.777308&lt;/electronic-resource-num&gt;&lt;/record&gt;&lt;/Cite&gt;&lt;Cite&gt;&lt;Author&gt;Piiponniemi&lt;/Author&gt;&lt;Year&gt;2017&lt;/Year&gt;&lt;RecNum&gt;278&lt;/RecNum&gt;&lt;record&gt;&lt;rec-number&gt;278&lt;/rec-number&gt;&lt;foreign-keys&gt;&lt;key app="EN" db-id="2ptrtps0adr9vke22dn5tpwzrsfaxtxrfwet" timestamp="1755804186"&gt;278&lt;/key&gt;&lt;/foreign-keys&gt;&lt;ref-type name="Journal Article"&gt;17&lt;/ref-type&gt;&lt;contributors&gt;&lt;authors&gt;&lt;author&gt;Piiponniemi, Tuukka O.&lt;/author&gt;&lt;author&gt;Bragge, Timo&lt;/author&gt;&lt;author&gt;Vauhkonen, Eveliina E.&lt;/author&gt;&lt;author&gt;Vartiainen, Petra&lt;/author&gt;&lt;author&gt;Puoliväli, Jukka&lt;/author&gt;&lt;author&gt;Sweeney, Patrick J.&lt;/author&gt;&lt;author&gt;Kopanitsa, Maksym V.&lt;/author&gt;&lt;/authors&gt;&lt;/contributors&gt;&lt;titles&gt;&lt;title&gt;Acquisition and Reversal of Visual Discrimination Learning in APPSwDI/Nos2−/− (CVN) Mice&lt;/title&gt;&lt;secondary-title&gt;Neuroscience Letters&lt;/secondary-title&gt;&lt;/titles&gt;&lt;periodical&gt;&lt;full-title&gt;Neuroscience Letters&lt;/full-title&gt;&lt;/periodical&gt;&lt;pages&gt;126-133&lt;/pages&gt;&lt;volume&gt;650&lt;/volume&gt;&lt;dates&gt;&lt;year&gt;2017&lt;/year&gt;&lt;/dates&gt;&lt;urls&gt;&lt;/urls&gt;&lt;electronic-resource-num&gt;10.1016/j.neulet.2017.04.049&lt;/electronic-resource-num&gt;&lt;/record&gt;&lt;/Cite&gt;&lt;/EndNote&gt;</w:instrText>
      </w:r>
      <w:r w:rsidR="00A25E0D" w:rsidRPr="00F71F57">
        <w:rPr>
          <w:rFonts w:asciiTheme="majorBidi" w:hAnsiTheme="majorBidi" w:cstheme="majorBidi"/>
          <w:sz w:val="24"/>
          <w:szCs w:val="24"/>
          <w:lang w:val="en-GB" w:bidi="fa-IR"/>
        </w:rPr>
        <w:fldChar w:fldCharType="separate"/>
      </w:r>
      <w:r w:rsidR="00E748A6" w:rsidRPr="00F71F57">
        <w:rPr>
          <w:rFonts w:asciiTheme="majorBidi" w:hAnsiTheme="majorBidi" w:cstheme="majorBidi"/>
          <w:sz w:val="24"/>
          <w:szCs w:val="24"/>
          <w:lang w:val="en-GB" w:bidi="fa-IR"/>
        </w:rPr>
        <w:t>(</w:t>
      </w:r>
      <w:hyperlink w:anchor="_ENREF_27" w:tooltip="Brigman, 2008 #279" w:history="1">
        <w:r w:rsidR="00DE113E" w:rsidRPr="00F71F57">
          <w:rPr>
            <w:rFonts w:asciiTheme="majorBidi" w:hAnsiTheme="majorBidi" w:cstheme="majorBidi"/>
            <w:sz w:val="24"/>
            <w:szCs w:val="24"/>
            <w:lang w:val="en-GB" w:bidi="fa-IR"/>
          </w:rPr>
          <w:t>Brigman et al., 2008</w:t>
        </w:r>
      </w:hyperlink>
      <w:r w:rsidR="00E748A6" w:rsidRPr="00F71F57">
        <w:rPr>
          <w:rFonts w:asciiTheme="majorBidi" w:hAnsiTheme="majorBidi" w:cstheme="majorBidi"/>
          <w:sz w:val="24"/>
          <w:szCs w:val="24"/>
          <w:lang w:val="en-GB" w:bidi="fa-IR"/>
        </w:rPr>
        <w:t xml:space="preserve">; </w:t>
      </w:r>
      <w:hyperlink w:anchor="_ENREF_182" w:tooltip="Piiponniemi, 2017 #278" w:history="1">
        <w:r w:rsidR="00DE113E" w:rsidRPr="00F71F57">
          <w:rPr>
            <w:rFonts w:asciiTheme="majorBidi" w:hAnsiTheme="majorBidi" w:cstheme="majorBidi"/>
            <w:sz w:val="24"/>
            <w:szCs w:val="24"/>
            <w:lang w:val="en-GB" w:bidi="fa-IR"/>
          </w:rPr>
          <w:t>Piiponniemi et al., 2017</w:t>
        </w:r>
      </w:hyperlink>
      <w:r w:rsidR="00E748A6" w:rsidRPr="00F71F57">
        <w:rPr>
          <w:rFonts w:asciiTheme="majorBidi" w:hAnsiTheme="majorBidi" w:cstheme="majorBidi"/>
          <w:sz w:val="24"/>
          <w:szCs w:val="24"/>
          <w:lang w:val="en-GB" w:bidi="fa-IR"/>
        </w:rPr>
        <w:t>)</w:t>
      </w:r>
      <w:r w:rsidR="00A25E0D" w:rsidRPr="00F71F57">
        <w:rPr>
          <w:rFonts w:asciiTheme="majorBidi" w:hAnsiTheme="majorBidi" w:cstheme="majorBidi"/>
          <w:sz w:val="24"/>
          <w:szCs w:val="24"/>
          <w:lang w:val="en-GB" w:bidi="fa-IR"/>
        </w:rPr>
        <w:fldChar w:fldCharType="end"/>
      </w:r>
      <w:r w:rsidR="00A25E0D" w:rsidRPr="00F71F57">
        <w:rPr>
          <w:rFonts w:asciiTheme="majorBidi" w:hAnsiTheme="majorBidi" w:cstheme="majorBidi"/>
          <w:sz w:val="24"/>
          <w:szCs w:val="24"/>
          <w:lang w:val="en-GB" w:bidi="fa-IR"/>
        </w:rPr>
        <w:t xml:space="preserve">. Reversal learning primarily engages prefrontal cortical regions, which are vital for complex executive functions, including inhibitory control and decision-making </w:t>
      </w:r>
      <w:r w:rsidR="00E748A6" w:rsidRPr="00F71F57">
        <w:rPr>
          <w:rFonts w:asciiTheme="majorBidi" w:hAnsiTheme="majorBidi" w:cstheme="majorBidi"/>
          <w:sz w:val="24"/>
          <w:szCs w:val="24"/>
          <w:lang w:val="en-GB" w:bidi="fa-IR"/>
        </w:rPr>
        <w:fldChar w:fldCharType="begin"/>
      </w:r>
      <w:r w:rsidR="00E748A6" w:rsidRPr="00F71F57">
        <w:rPr>
          <w:rFonts w:asciiTheme="majorBidi" w:hAnsiTheme="majorBidi" w:cstheme="majorBidi"/>
          <w:sz w:val="24"/>
          <w:szCs w:val="24"/>
          <w:lang w:val="en-GB" w:bidi="fa-IR"/>
        </w:rPr>
        <w:instrText xml:space="preserve"> ADDIN EN.CITE &lt;EndNote&gt;&lt;Cite&gt;&lt;Author&gt;Brigman&lt;/Author&gt;&lt;Year&gt;2008&lt;/Year&gt;&lt;RecNum&gt;279&lt;/RecNum&gt;&lt;DisplayText&gt;(Brigman et al., 2008; Forster, 2006)&lt;/DisplayText&gt;&lt;record&gt;&lt;rec-number&gt;279&lt;/rec-number&gt;&lt;foreign-keys&gt;&lt;key app="EN" db-id="2ptrtps0adr9vke22dn5tpwzrsfaxtxrfwet" timestamp="1755804232"&gt;279&lt;/key&gt;&lt;/foreign-keys&gt;&lt;ref-type name="Journal Article"&gt;17&lt;/ref-type&gt;&lt;contributors&gt;&lt;authors&gt;&lt;author&gt;Brigman, Jonathan L.&lt;/author&gt;&lt;author&gt;Feyder, Michael&lt;/author&gt;&lt;author&gt;Saksida, Lisa M.&lt;/author&gt;&lt;author&gt;Bussey, Timothy J.&lt;/author&gt;&lt;author&gt;Mishina, Masayoshi&lt;/author&gt;&lt;author&gt;Holmes, Andrew&lt;/author&gt;&lt;/authors&gt;&lt;/contributors&gt;&lt;titles&gt;&lt;title&gt;Impaired Discrimination Learning in Mice Lacking the NMDA Receptor NR2A Subunit&lt;/title&gt;&lt;secondary-title&gt;Learning &amp;amp; Memory&lt;/secondary-title&gt;&lt;/titles&gt;&lt;periodical&gt;&lt;full-title&gt;Learning &amp;amp; Memory&lt;/full-title&gt;&lt;/periodical&gt;&lt;pages&gt;50-54&lt;/pages&gt;&lt;volume&gt;15&lt;/volume&gt;&lt;number&gt;2&lt;/number&gt;&lt;dates&gt;&lt;year&gt;2008&lt;/year&gt;&lt;/dates&gt;&lt;urls&gt;&lt;/urls&gt;&lt;electronic-resource-num&gt;10.1101/lm.777308&lt;/electronic-resource-num&gt;&lt;/record&gt;&lt;/Cite&gt;&lt;Cite&gt;&lt;Author&gt;Forster&lt;/Author&gt;&lt;Year&gt;2006&lt;/Year&gt;&lt;RecNum&gt;280&lt;/RecNum&gt;&lt;record&gt;&lt;rec-number&gt;280&lt;/rec-number&gt;&lt;foreign-keys&gt;&lt;key app="EN" db-id="2ptrtps0adr9vke22dn5tpwzrsfaxtxrfwet" timestamp="1755804258"&gt;280&lt;/key&gt;&lt;/foreign-keys&gt;&lt;ref-type name="Journal Article"&gt;17&lt;/ref-type&gt;&lt;contributors&gt;&lt;authors&gt;&lt;author&gt;Forster, Michael J.&lt;/author&gt;&lt;/authors&gt;&lt;/contributors&gt;&lt;titles&gt;&lt;title&gt;Rodent Models of Brain Aging and Neurodegeneration&lt;/title&gt;&lt;secondary-title&gt;Age&lt;/secondary-title&gt;&lt;/titles&gt;&lt;periodical&gt;&lt;full-title&gt;Age&lt;/full-title&gt;&lt;/periodical&gt;&lt;pages&gt;219-220&lt;/pages&gt;&lt;volume&gt;28&lt;/volume&gt;&lt;number&gt;3&lt;/number&gt;&lt;dates&gt;&lt;year&gt;2006&lt;/year&gt;&lt;/dates&gt;&lt;urls&gt;&lt;/urls&gt;&lt;electronic-resource-num&gt;10.1007/s11357-006-9028-2&lt;/electronic-resource-num&gt;&lt;/record&gt;&lt;/Cite&gt;&lt;/EndNote&gt;</w:instrText>
      </w:r>
      <w:r w:rsidR="00E748A6" w:rsidRPr="00F71F57">
        <w:rPr>
          <w:rFonts w:asciiTheme="majorBidi" w:hAnsiTheme="majorBidi" w:cstheme="majorBidi"/>
          <w:sz w:val="24"/>
          <w:szCs w:val="24"/>
          <w:lang w:val="en-GB" w:bidi="fa-IR"/>
        </w:rPr>
        <w:fldChar w:fldCharType="separate"/>
      </w:r>
      <w:r w:rsidR="00E748A6" w:rsidRPr="00F71F57">
        <w:rPr>
          <w:rFonts w:asciiTheme="majorBidi" w:hAnsiTheme="majorBidi" w:cstheme="majorBidi"/>
          <w:sz w:val="24"/>
          <w:szCs w:val="24"/>
          <w:lang w:val="en-GB" w:bidi="fa-IR"/>
        </w:rPr>
        <w:t>(</w:t>
      </w:r>
      <w:hyperlink w:anchor="_ENREF_27" w:tooltip="Brigman, 2008 #279" w:history="1">
        <w:r w:rsidR="00DE113E" w:rsidRPr="00F71F57">
          <w:rPr>
            <w:rFonts w:asciiTheme="majorBidi" w:hAnsiTheme="majorBidi" w:cstheme="majorBidi"/>
            <w:sz w:val="24"/>
            <w:szCs w:val="24"/>
            <w:lang w:val="en-GB" w:bidi="fa-IR"/>
          </w:rPr>
          <w:t>Brigman et al., 2008</w:t>
        </w:r>
      </w:hyperlink>
      <w:r w:rsidR="00E748A6" w:rsidRPr="00F71F57">
        <w:rPr>
          <w:rFonts w:asciiTheme="majorBidi" w:hAnsiTheme="majorBidi" w:cstheme="majorBidi"/>
          <w:sz w:val="24"/>
          <w:szCs w:val="24"/>
          <w:lang w:val="en-GB" w:bidi="fa-IR"/>
        </w:rPr>
        <w:t xml:space="preserve">; </w:t>
      </w:r>
      <w:hyperlink w:anchor="_ENREF_78" w:tooltip="Forster, 2006 #280" w:history="1">
        <w:r w:rsidR="00DE113E" w:rsidRPr="00F71F57">
          <w:rPr>
            <w:rFonts w:asciiTheme="majorBidi" w:hAnsiTheme="majorBidi" w:cstheme="majorBidi"/>
            <w:sz w:val="24"/>
            <w:szCs w:val="24"/>
            <w:lang w:val="en-GB" w:bidi="fa-IR"/>
          </w:rPr>
          <w:t>Forster, 2006</w:t>
        </w:r>
      </w:hyperlink>
      <w:r w:rsidR="00E748A6" w:rsidRPr="00F71F57">
        <w:rPr>
          <w:rFonts w:asciiTheme="majorBidi" w:hAnsiTheme="majorBidi" w:cstheme="majorBidi"/>
          <w:sz w:val="24"/>
          <w:szCs w:val="24"/>
          <w:lang w:val="en-GB" w:bidi="fa-IR"/>
        </w:rPr>
        <w:t>)</w:t>
      </w:r>
      <w:r w:rsidR="00E748A6" w:rsidRPr="00F71F57">
        <w:rPr>
          <w:rFonts w:asciiTheme="majorBidi" w:hAnsiTheme="majorBidi" w:cstheme="majorBidi"/>
          <w:sz w:val="24"/>
          <w:szCs w:val="24"/>
          <w:lang w:val="en-GB" w:bidi="fa-IR"/>
        </w:rPr>
        <w:fldChar w:fldCharType="end"/>
      </w:r>
      <w:r w:rsidR="00E748A6" w:rsidRPr="00F71F57">
        <w:rPr>
          <w:rFonts w:asciiTheme="majorBidi" w:hAnsiTheme="majorBidi" w:cstheme="majorBidi"/>
          <w:sz w:val="24"/>
          <w:szCs w:val="24"/>
          <w:lang w:val="en-GB" w:bidi="fa-IR"/>
        </w:rPr>
        <w:t>.</w:t>
      </w:r>
      <w:r w:rsidR="00A25E0D" w:rsidRPr="00F71F57">
        <w:rPr>
          <w:rFonts w:asciiTheme="majorBidi" w:hAnsiTheme="majorBidi" w:cstheme="majorBidi"/>
          <w:sz w:val="24"/>
          <w:szCs w:val="24"/>
          <w:lang w:val="en-GB" w:bidi="fa-IR"/>
        </w:rPr>
        <w:t xml:space="preserve">In studies examining rodent models of neurodegeneration, such as Alzheimer’s disease models, impaired performance in reversal tasks </w:t>
      </w:r>
      <w:r w:rsidR="00A25E0D" w:rsidRPr="00F71F57">
        <w:rPr>
          <w:rFonts w:asciiTheme="majorBidi" w:hAnsiTheme="majorBidi" w:cstheme="majorBidi"/>
          <w:sz w:val="24"/>
          <w:szCs w:val="24"/>
          <w:lang w:val="en-GB" w:bidi="fa-IR"/>
        </w:rPr>
        <w:lastRenderedPageBreak/>
        <w:t>is often observed alongside neuroanatomical changes in the PFC, reflecting the neurocognitive decline characteristic of these pathologies</w:t>
      </w:r>
      <w:r w:rsidR="00E748A6" w:rsidRPr="00F71F57">
        <w:rPr>
          <w:lang w:val="en-GB"/>
        </w:rPr>
        <w:t xml:space="preserve"> </w:t>
      </w:r>
      <w:r w:rsidR="00E748A6" w:rsidRPr="00F71F57">
        <w:rPr>
          <w:rFonts w:asciiTheme="majorBidi" w:hAnsiTheme="majorBidi" w:cstheme="majorBidi"/>
          <w:sz w:val="24"/>
          <w:szCs w:val="24"/>
          <w:lang w:val="en-GB" w:bidi="fa-IR"/>
        </w:rPr>
        <w:fldChar w:fldCharType="begin"/>
      </w:r>
      <w:r w:rsidR="00E748A6" w:rsidRPr="00F71F57">
        <w:rPr>
          <w:rFonts w:asciiTheme="majorBidi" w:hAnsiTheme="majorBidi" w:cstheme="majorBidi"/>
          <w:sz w:val="24"/>
          <w:szCs w:val="24"/>
          <w:lang w:val="en-GB" w:bidi="fa-IR"/>
        </w:rPr>
        <w:instrText xml:space="preserve"> ADDIN EN.CITE &lt;EndNote&gt;&lt;Cite&gt;&lt;Author&gt;Piiponniemi&lt;/Author&gt;&lt;Year&gt;2017&lt;/Year&gt;&lt;RecNum&gt;281&lt;/RecNum&gt;&lt;DisplayText&gt;(Piiponniemi et al., 2017)&lt;/DisplayText&gt;&lt;record&gt;&lt;rec-number&gt;281&lt;/rec-number&gt;&lt;foreign-keys&gt;&lt;key app="EN" db-id="2ptrtps0adr9vke22dn5tpwzrsfaxtxrfwet" timestamp="1755804300"&gt;281&lt;/key&gt;&lt;/foreign-keys&gt;&lt;ref-type name="Journal Article"&gt;17&lt;/ref-type&gt;&lt;contributors&gt;&lt;authors&gt;&lt;author&gt;Piiponniemi, Tuukka O.&lt;/author&gt;&lt;author&gt;Bragge, Timo&lt;/author&gt;&lt;author&gt;Vauhkonen, Eveliina E.&lt;/author&gt;&lt;author&gt;Vartiainen, Petra&lt;/author&gt;&lt;author&gt;Puoliväli, Jukka&lt;/author&gt;&lt;author&gt;Sweeney, Patrick J.&lt;/author&gt;&lt;author&gt;Kopanitsa, Maksym V.&lt;/author&gt;&lt;/authors&gt;&lt;/contributors&gt;&lt;titles&gt;&lt;title&gt;Acquisition and Reversal of Visual Discrimination Learning in APPSwDI/Nos2−/− (CVN) Mice&lt;/title&gt;&lt;secondary-title&gt;Neuroscience Letters&lt;/secondary-title&gt;&lt;/titles&gt;&lt;periodical&gt;&lt;full-title&gt;Neuroscience Letters&lt;/full-title&gt;&lt;/periodical&gt;&lt;pages&gt;126-133&lt;/pages&gt;&lt;volume&gt;650&lt;/volume&gt;&lt;dates&gt;&lt;year&gt;2017&lt;/year&gt;&lt;/dates&gt;&lt;urls&gt;&lt;/urls&gt;&lt;electronic-resource-num&gt;10.1016/j.neulet.2017.04.049&lt;/electronic-resource-num&gt;&lt;/record&gt;&lt;/Cite&gt;&lt;/EndNote&gt;</w:instrText>
      </w:r>
      <w:r w:rsidR="00E748A6" w:rsidRPr="00F71F57">
        <w:rPr>
          <w:rFonts w:asciiTheme="majorBidi" w:hAnsiTheme="majorBidi" w:cstheme="majorBidi"/>
          <w:sz w:val="24"/>
          <w:szCs w:val="24"/>
          <w:lang w:val="en-GB" w:bidi="fa-IR"/>
        </w:rPr>
        <w:fldChar w:fldCharType="separate"/>
      </w:r>
      <w:r w:rsidR="00E748A6" w:rsidRPr="00F71F57">
        <w:rPr>
          <w:rFonts w:asciiTheme="majorBidi" w:hAnsiTheme="majorBidi" w:cstheme="majorBidi"/>
          <w:sz w:val="24"/>
          <w:szCs w:val="24"/>
          <w:lang w:val="en-GB" w:bidi="fa-IR"/>
        </w:rPr>
        <w:t>(</w:t>
      </w:r>
      <w:hyperlink w:anchor="_ENREF_182" w:tooltip="Piiponniemi, 2017 #278" w:history="1">
        <w:r w:rsidR="00DE113E" w:rsidRPr="00F71F57">
          <w:rPr>
            <w:rFonts w:asciiTheme="majorBidi" w:hAnsiTheme="majorBidi" w:cstheme="majorBidi"/>
            <w:sz w:val="24"/>
            <w:szCs w:val="24"/>
            <w:lang w:val="en-GB" w:bidi="fa-IR"/>
          </w:rPr>
          <w:t>Piiponniemi et al., 2017</w:t>
        </w:r>
      </w:hyperlink>
      <w:r w:rsidR="00E748A6" w:rsidRPr="00F71F57">
        <w:rPr>
          <w:rFonts w:asciiTheme="majorBidi" w:hAnsiTheme="majorBidi" w:cstheme="majorBidi"/>
          <w:sz w:val="24"/>
          <w:szCs w:val="24"/>
          <w:lang w:val="en-GB" w:bidi="fa-IR"/>
        </w:rPr>
        <w:t>)</w:t>
      </w:r>
      <w:r w:rsidR="00E748A6" w:rsidRPr="00F71F57">
        <w:rPr>
          <w:rFonts w:asciiTheme="majorBidi" w:hAnsiTheme="majorBidi" w:cstheme="majorBidi"/>
          <w:sz w:val="24"/>
          <w:szCs w:val="24"/>
          <w:lang w:val="en-GB" w:bidi="fa-IR"/>
        </w:rPr>
        <w:fldChar w:fldCharType="end"/>
      </w:r>
      <w:r w:rsidR="00E748A6" w:rsidRPr="00F71F57">
        <w:rPr>
          <w:rFonts w:asciiTheme="majorBidi" w:hAnsiTheme="majorBidi" w:cstheme="majorBidi"/>
          <w:sz w:val="24"/>
          <w:szCs w:val="24"/>
          <w:lang w:val="en-GB" w:bidi="fa-IR"/>
        </w:rPr>
        <w:t>.</w:t>
      </w:r>
      <w:r w:rsidR="00514A2F" w:rsidRPr="00F71F57">
        <w:rPr>
          <w:rFonts w:asciiTheme="majorBidi" w:hAnsiTheme="majorBidi" w:cstheme="majorBidi"/>
          <w:sz w:val="24"/>
          <w:szCs w:val="24"/>
          <w:lang w:val="en-GB" w:bidi="fa-IR"/>
        </w:rPr>
        <w:t xml:space="preserve"> </w:t>
      </w:r>
      <w:r w:rsidR="00A25E0D" w:rsidRPr="00F71F57">
        <w:rPr>
          <w:rFonts w:asciiTheme="majorBidi" w:hAnsiTheme="majorBidi" w:cstheme="majorBidi"/>
          <w:sz w:val="24"/>
          <w:szCs w:val="24"/>
          <w:lang w:val="en-GB" w:bidi="fa-IR"/>
        </w:rPr>
        <w:t>Another essential task is the PVD task, which involves determining which of two presented stimuli is associated with a reward. In the touchscreen paradigm, rodents learn to discriminate between pairs of visual cues, providing a basis for measuring both discrimination learning and the flexibility to update learned associations as tasks change</w:t>
      </w:r>
      <w:r w:rsidR="00E748A6" w:rsidRPr="00F71F57">
        <w:rPr>
          <w:lang w:val="en-GB"/>
        </w:rPr>
        <w:t xml:space="preserve"> </w:t>
      </w:r>
      <w:r w:rsidR="00E748A6" w:rsidRPr="00F71F57">
        <w:rPr>
          <w:rFonts w:asciiTheme="majorBidi" w:hAnsiTheme="majorBidi" w:cstheme="majorBidi"/>
          <w:sz w:val="24"/>
          <w:szCs w:val="24"/>
          <w:lang w:val="en-GB" w:bidi="fa-IR"/>
        </w:rPr>
        <w:fldChar w:fldCharType="begin"/>
      </w:r>
      <w:r w:rsidR="00E748A6" w:rsidRPr="00F71F57">
        <w:rPr>
          <w:rFonts w:asciiTheme="majorBidi" w:hAnsiTheme="majorBidi" w:cstheme="majorBidi"/>
          <w:sz w:val="24"/>
          <w:szCs w:val="24"/>
          <w:lang w:val="en-GB" w:bidi="fa-IR"/>
        </w:rPr>
        <w:instrText xml:space="preserve"> ADDIN EN.CITE &lt;EndNote&gt;&lt;Cite&gt;&lt;Author&gt;Pais&lt;/Author&gt;&lt;Year&gt;2025&lt;/Year&gt;&lt;RecNum&gt;282&lt;/RecNum&gt;&lt;DisplayText&gt;(Pais et al., 2025)&lt;/DisplayText&gt;&lt;record&gt;&lt;rec-number&gt;282&lt;/rec-number&gt;&lt;foreign-keys&gt;&lt;key app="EN" db-id="2ptrtps0adr9vke22dn5tpwzrsfaxtxrfwet" timestamp="1755804448"&gt;282&lt;/key&gt;&lt;/foreign-keys&gt;&lt;ref-type name="Journal Article"&gt;17&lt;/ref-type&gt;&lt;contributors&gt;&lt;authors&gt;&lt;author&gt;Pais, Rui&lt;/author&gt;&lt;author&gt;Goldani, Ali&lt;/author&gt;&lt;author&gt;Hutchison, J. M. S.&lt;/author&gt;&lt;author&gt;Mazrouei, Amirhossein&lt;/author&gt;&lt;author&gt;Khavaninzadeh, Mostafa&lt;/author&gt;&lt;author&gt;Molina, Leonardo A.&lt;/author&gt;&lt;author&gt;Sutherland, Robert J.&lt;/author&gt;&lt;author&gt;Mohajerani, Majid H.&lt;/author&gt;&lt;/authors&gt;&lt;/contributors&gt;&lt;titles&gt;&lt;title&gt;Assessing Cognitive Flexibility in Mice Using a Custom-Built Touchscreen Chamber&lt;/title&gt;&lt;secondary-title&gt;Frontiers in Behavioral Neuroscience&lt;/secondary-title&gt;&lt;/titles&gt;&lt;periodical&gt;&lt;full-title&gt;Frontiers in Behavioral Neuroscience&lt;/full-title&gt;&lt;/periodical&gt;&lt;volume&gt;19&lt;/volume&gt;&lt;dates&gt;&lt;year&gt;2025&lt;/year&gt;&lt;/dates&gt;&lt;urls&gt;&lt;/urls&gt;&lt;electronic-resource-num&gt;10.3389/fnbeh.2025.1536458&lt;/electronic-resource-num&gt;&lt;/record&gt;&lt;/Cite&gt;&lt;/EndNote&gt;</w:instrText>
      </w:r>
      <w:r w:rsidR="00E748A6" w:rsidRPr="00F71F57">
        <w:rPr>
          <w:rFonts w:asciiTheme="majorBidi" w:hAnsiTheme="majorBidi" w:cstheme="majorBidi"/>
          <w:sz w:val="24"/>
          <w:szCs w:val="24"/>
          <w:lang w:val="en-GB" w:bidi="fa-IR"/>
        </w:rPr>
        <w:fldChar w:fldCharType="separate"/>
      </w:r>
      <w:r w:rsidR="00E748A6" w:rsidRPr="00F71F57">
        <w:rPr>
          <w:rFonts w:asciiTheme="majorBidi" w:hAnsiTheme="majorBidi" w:cstheme="majorBidi"/>
          <w:sz w:val="24"/>
          <w:szCs w:val="24"/>
          <w:lang w:val="en-GB" w:bidi="fa-IR"/>
        </w:rPr>
        <w:t>(</w:t>
      </w:r>
      <w:hyperlink w:anchor="_ENREF_176" w:tooltip="Pais, 2025 #282" w:history="1">
        <w:r w:rsidR="00DE113E" w:rsidRPr="00F71F57">
          <w:rPr>
            <w:rFonts w:asciiTheme="majorBidi" w:hAnsiTheme="majorBidi" w:cstheme="majorBidi"/>
            <w:sz w:val="24"/>
            <w:szCs w:val="24"/>
            <w:lang w:val="en-GB" w:bidi="fa-IR"/>
          </w:rPr>
          <w:t>Pais et al., 2025</w:t>
        </w:r>
      </w:hyperlink>
      <w:r w:rsidR="00E748A6" w:rsidRPr="00F71F57">
        <w:rPr>
          <w:rFonts w:asciiTheme="majorBidi" w:hAnsiTheme="majorBidi" w:cstheme="majorBidi"/>
          <w:sz w:val="24"/>
          <w:szCs w:val="24"/>
          <w:lang w:val="en-GB" w:bidi="fa-IR"/>
        </w:rPr>
        <w:t>)</w:t>
      </w:r>
      <w:r w:rsidR="00E748A6" w:rsidRPr="00F71F57">
        <w:rPr>
          <w:rFonts w:asciiTheme="majorBidi" w:hAnsiTheme="majorBidi" w:cstheme="majorBidi"/>
          <w:sz w:val="24"/>
          <w:szCs w:val="24"/>
          <w:lang w:val="en-GB" w:bidi="fa-IR"/>
        </w:rPr>
        <w:fldChar w:fldCharType="end"/>
      </w:r>
      <w:r w:rsidR="00A25E0D" w:rsidRPr="00F71F57">
        <w:rPr>
          <w:rFonts w:asciiTheme="majorBidi" w:hAnsiTheme="majorBidi" w:cstheme="majorBidi"/>
          <w:sz w:val="24"/>
          <w:szCs w:val="24"/>
          <w:lang w:val="en-GB" w:bidi="fa-IR"/>
        </w:rPr>
        <w:t xml:space="preserve">. As with reversal learning, performance on PVD tasks directly implicates PFC function, illustrating its role in sustaining attention and impulse control when responding to visual stimuli </w:t>
      </w:r>
      <w:r w:rsidR="00E748A6" w:rsidRPr="00F71F57">
        <w:rPr>
          <w:rFonts w:asciiTheme="majorBidi" w:hAnsiTheme="majorBidi" w:cstheme="majorBidi"/>
          <w:sz w:val="24"/>
          <w:szCs w:val="24"/>
          <w:lang w:val="en-GB" w:bidi="fa-IR"/>
        </w:rPr>
        <w:fldChar w:fldCharType="begin">
          <w:fldData xml:space="preserve">PEVuZE5vdGU+PENpdGU+PEF1dGhvcj5QYWlzPC9BdXRob3I+PFllYXI+MjAyNTwvWWVhcj48UmVj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</w:fldData>
        </w:fldChar>
      </w:r>
      <w:r w:rsidR="00E748A6" w:rsidRPr="00F71F57">
        <w:rPr>
          <w:rFonts w:asciiTheme="majorBidi" w:hAnsiTheme="majorBidi" w:cstheme="majorBidi"/>
          <w:sz w:val="24"/>
          <w:szCs w:val="24"/>
          <w:lang w:val="en-GB" w:bidi="fa-IR"/>
        </w:rPr>
        <w:instrText xml:space="preserve"> ADDIN EN.CITE </w:instrText>
      </w:r>
      <w:r w:rsidR="00E748A6" w:rsidRPr="00F71F57">
        <w:rPr>
          <w:rFonts w:asciiTheme="majorBidi" w:hAnsiTheme="majorBidi" w:cstheme="majorBidi"/>
          <w:sz w:val="24"/>
          <w:szCs w:val="24"/>
          <w:lang w:val="en-GB" w:bidi="fa-IR"/>
        </w:rPr>
        <w:fldChar w:fldCharType="begin">
          <w:fldData xml:space="preserve">PEVuZE5vdGU+PENpdGU+PEF1dGhvcj5QYWlzPC9BdXRob3I+PFllYXI+MjAyNTwvWWVhcj48UmVj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</w:fldData>
        </w:fldChar>
      </w:r>
      <w:r w:rsidR="00E748A6" w:rsidRPr="00F71F57">
        <w:rPr>
          <w:rFonts w:asciiTheme="majorBidi" w:hAnsiTheme="majorBidi" w:cstheme="majorBidi"/>
          <w:sz w:val="24"/>
          <w:szCs w:val="24"/>
          <w:lang w:val="en-GB" w:bidi="fa-IR"/>
        </w:rPr>
        <w:instrText xml:space="preserve"> ADDIN EN.CITE.DATA </w:instrText>
      </w:r>
      <w:r w:rsidR="00E748A6" w:rsidRPr="00F71F57">
        <w:rPr>
          <w:rFonts w:asciiTheme="majorBidi" w:hAnsiTheme="majorBidi" w:cstheme="majorBidi"/>
          <w:sz w:val="24"/>
          <w:szCs w:val="24"/>
          <w:lang w:val="en-GB" w:bidi="fa-IR"/>
        </w:rPr>
      </w:r>
      <w:r w:rsidR="00E748A6" w:rsidRPr="00F71F57">
        <w:rPr>
          <w:rFonts w:asciiTheme="majorBidi" w:hAnsiTheme="majorBidi" w:cstheme="majorBidi"/>
          <w:sz w:val="24"/>
          <w:szCs w:val="24"/>
          <w:lang w:val="en-GB" w:bidi="fa-IR"/>
        </w:rPr>
        <w:fldChar w:fldCharType="end"/>
      </w:r>
      <w:r w:rsidR="00E748A6" w:rsidRPr="00F71F57">
        <w:rPr>
          <w:rFonts w:asciiTheme="majorBidi" w:hAnsiTheme="majorBidi" w:cstheme="majorBidi"/>
          <w:sz w:val="24"/>
          <w:szCs w:val="24"/>
          <w:lang w:val="en-GB" w:bidi="fa-IR"/>
        </w:rPr>
      </w:r>
      <w:r w:rsidR="00E748A6" w:rsidRPr="00F71F57">
        <w:rPr>
          <w:rFonts w:asciiTheme="majorBidi" w:hAnsiTheme="majorBidi" w:cstheme="majorBidi"/>
          <w:sz w:val="24"/>
          <w:szCs w:val="24"/>
          <w:lang w:val="en-GB" w:bidi="fa-IR"/>
        </w:rPr>
        <w:fldChar w:fldCharType="separate"/>
      </w:r>
      <w:r w:rsidR="00E748A6" w:rsidRPr="00F71F57">
        <w:rPr>
          <w:rFonts w:asciiTheme="majorBidi" w:hAnsiTheme="majorBidi" w:cstheme="majorBidi"/>
          <w:sz w:val="24"/>
          <w:szCs w:val="24"/>
          <w:lang w:val="en-GB" w:bidi="fa-IR"/>
        </w:rPr>
        <w:t>(</w:t>
      </w:r>
      <w:hyperlink w:anchor="_ENREF_150" w:tooltip="Martín-González, 2023 #283" w:history="1">
        <w:r w:rsidR="00DE113E" w:rsidRPr="00F71F57">
          <w:rPr>
            <w:rFonts w:asciiTheme="majorBidi" w:hAnsiTheme="majorBidi" w:cstheme="majorBidi"/>
            <w:sz w:val="24"/>
            <w:szCs w:val="24"/>
            <w:lang w:val="en-GB" w:bidi="fa-IR"/>
          </w:rPr>
          <w:t>Martín-González et al., 2023</w:t>
        </w:r>
      </w:hyperlink>
      <w:r w:rsidR="00E748A6" w:rsidRPr="00F71F57">
        <w:rPr>
          <w:rFonts w:asciiTheme="majorBidi" w:hAnsiTheme="majorBidi" w:cstheme="majorBidi"/>
          <w:sz w:val="24"/>
          <w:szCs w:val="24"/>
          <w:lang w:val="en-GB" w:bidi="fa-IR"/>
        </w:rPr>
        <w:t xml:space="preserve">; </w:t>
      </w:r>
      <w:hyperlink w:anchor="_ENREF_176" w:tooltip="Pais, 2025 #282" w:history="1">
        <w:r w:rsidR="00DE113E" w:rsidRPr="00F71F57">
          <w:rPr>
            <w:rFonts w:asciiTheme="majorBidi" w:hAnsiTheme="majorBidi" w:cstheme="majorBidi"/>
            <w:sz w:val="24"/>
            <w:szCs w:val="24"/>
            <w:lang w:val="en-GB" w:bidi="fa-IR"/>
          </w:rPr>
          <w:t>Pais et al., 2025</w:t>
        </w:r>
      </w:hyperlink>
      <w:r w:rsidR="00E748A6" w:rsidRPr="00F71F57">
        <w:rPr>
          <w:rFonts w:asciiTheme="majorBidi" w:hAnsiTheme="majorBidi" w:cstheme="majorBidi"/>
          <w:sz w:val="24"/>
          <w:szCs w:val="24"/>
          <w:lang w:val="en-GB" w:bidi="fa-IR"/>
        </w:rPr>
        <w:t>)</w:t>
      </w:r>
      <w:r w:rsidR="00E748A6" w:rsidRPr="00F71F57">
        <w:rPr>
          <w:rFonts w:asciiTheme="majorBidi" w:hAnsiTheme="majorBidi" w:cstheme="majorBidi"/>
          <w:sz w:val="24"/>
          <w:szCs w:val="24"/>
          <w:lang w:val="en-GB" w:bidi="fa-IR"/>
        </w:rPr>
        <w:fldChar w:fldCharType="end"/>
      </w:r>
      <w:r w:rsidR="00E748A6" w:rsidRPr="00F71F57">
        <w:rPr>
          <w:rFonts w:asciiTheme="majorBidi" w:hAnsiTheme="majorBidi" w:cstheme="majorBidi"/>
          <w:sz w:val="24"/>
          <w:szCs w:val="24"/>
          <w:lang w:val="en-GB" w:bidi="fa-IR"/>
        </w:rPr>
        <w:t>.</w:t>
      </w:r>
      <w:r w:rsidR="00514A2F" w:rsidRPr="00F71F57">
        <w:rPr>
          <w:rFonts w:asciiTheme="majorBidi" w:hAnsiTheme="majorBidi" w:cstheme="majorBidi"/>
          <w:sz w:val="24"/>
          <w:szCs w:val="24"/>
          <w:lang w:val="en-GB" w:bidi="fa-IR"/>
        </w:rPr>
        <w:t xml:space="preserve"> </w:t>
      </w:r>
      <w:r w:rsidR="00A25E0D" w:rsidRPr="00F71F57">
        <w:rPr>
          <w:rFonts w:asciiTheme="majorBidi" w:hAnsiTheme="majorBidi" w:cstheme="majorBidi"/>
          <w:sz w:val="24"/>
          <w:szCs w:val="24"/>
          <w:lang w:val="en-GB" w:bidi="fa-IR"/>
        </w:rPr>
        <w:t xml:space="preserve">Both reversal learning and PVD tasks exhibit translational validity, making them relevant to the study of executive dysfunction in humans. Research has shown that impairments in cognitive flexibility and inhibitory control in children and adults with psychiatric and neurodegenerative conditions mirror deficits observed in these rodent models </w:t>
      </w:r>
      <w:r w:rsidR="00E748A6" w:rsidRPr="00F71F57">
        <w:rPr>
          <w:rFonts w:asciiTheme="majorBidi" w:hAnsiTheme="majorBidi" w:cstheme="majorBidi"/>
          <w:sz w:val="24"/>
          <w:szCs w:val="24"/>
          <w:lang w:val="en-GB" w:bidi="fa-IR"/>
        </w:rPr>
        <w:fldChar w:fldCharType="begin"/>
      </w:r>
      <w:r w:rsidR="00E748A6" w:rsidRPr="00F71F57">
        <w:rPr>
          <w:rFonts w:asciiTheme="majorBidi" w:hAnsiTheme="majorBidi" w:cstheme="majorBidi"/>
          <w:sz w:val="24"/>
          <w:szCs w:val="24"/>
          <w:lang w:val="en-GB" w:bidi="fa-IR"/>
        </w:rPr>
        <w:instrText xml:space="preserve"> ADDIN EN.CITE &lt;EndNote&gt;&lt;Cite&gt;&lt;Author&gt;Henry&lt;/Author&gt;&lt;Year&gt;2013&lt;/Year&gt;&lt;RecNum&gt;284&lt;/RecNum&gt;&lt;DisplayText&gt;(Henry et al., 2013; Mayse et al., 2014)&lt;/DisplayText&gt;&lt;record&gt;&lt;rec-number&gt;284&lt;/rec-number&gt;&lt;foreign-keys&gt;&lt;key app="EN" db-id="2ptrtps0adr9vke22dn5tpwzrsfaxtxrfwet" timestamp="1755804531"&gt;284&lt;/key&gt;&lt;/foreign-keys&gt;&lt;ref-type name="Journal Article"&gt;17&lt;/ref-type&gt;&lt;contributors&gt;&lt;authors&gt;&lt;author&gt;Henry, Brook L.&lt;/author&gt;&lt;author&gt;Minassian, Arpi&lt;/author&gt;&lt;author&gt;Patt, Virginie&lt;/author&gt;&lt;author&gt;Hua, Jessica P. Y.&lt;/author&gt;&lt;author&gt;Young, Jared W.&lt;/author&gt;&lt;author&gt;Geyer, Mark A.&lt;/author&gt;&lt;author&gt;Perry, William&lt;/author&gt;&lt;/authors&gt;&lt;/contributors&gt;&lt;titles&gt;&lt;title&gt;Inhibitory Deficits in Euthymic Bipolar Disorder Patients Assessed in the Human Behavioral Pattern Monitor&lt;/title&gt;&lt;secondary-title&gt;Journal of Affective Disorders&lt;/secondary-title&gt;&lt;/titles&gt;&lt;periodical&gt;&lt;full-title&gt;Journal of Affective Disorders&lt;/full-title&gt;&lt;/periodical&gt;&lt;pages&gt;948-954&lt;/pages&gt;&lt;volume&gt;150&lt;/volume&gt;&lt;number&gt;3&lt;/number&gt;&lt;dates&gt;&lt;year&gt;2013&lt;/year&gt;&lt;/dates&gt;&lt;urls&gt;&lt;/urls&gt;&lt;electronic-resource-num&gt;10.1016/j.jad.2013.05.020&lt;/electronic-resource-num&gt;&lt;/record&gt;&lt;/Cite&gt;&lt;Cite&gt;&lt;Author&gt;Mayse&lt;/Author&gt;&lt;Year&gt;2014&lt;/Year&gt;&lt;RecNum&gt;285&lt;/RecNum&gt;&lt;record&gt;&lt;rec-number&gt;285&lt;/rec-number&gt;&lt;foreign-keys&gt;&lt;key app="EN" db-id="2ptrtps0adr9vke22dn5tpwzrsfaxtxrfwet" timestamp="1755804540"&gt;285&lt;/key&gt;&lt;/foreign-keys&gt;&lt;ref-type name="Journal Article"&gt;17&lt;/ref-type&gt;&lt;contributors&gt;&lt;authors&gt;&lt;author&gt;Mayse, Jeffrey D.&lt;/author&gt;&lt;author&gt;Nelson, Geoffrey M.&lt;/author&gt;&lt;author&gt;Park, Pul&lt;/author&gt;&lt;author&gt;Gallagher, Michela&lt;/author&gt;&lt;author&gt;Lin, Shih‐Chieh&lt;/author&gt;&lt;/authors&gt;&lt;/contributors&gt;&lt;titles&gt;&lt;title&gt;Proactive and Reactive Inhibitory Control in Rats&lt;/title&gt;&lt;secondary-title&gt;Frontiers in Neuroscience&lt;/secondary-title&gt;&lt;/titles&gt;&lt;periodical&gt;&lt;full-title&gt;Frontiers in Neuroscience&lt;/full-title&gt;&lt;/periodical&gt;&lt;volume&gt;8&lt;/volume&gt;&lt;dates&gt;&lt;year&gt;2014&lt;/year&gt;&lt;/dates&gt;&lt;urls&gt;&lt;/urls&gt;&lt;electronic-resource-num&gt;10.3389/fnins.2014.00104&lt;/electronic-resource-num&gt;&lt;/record&gt;&lt;/Cite&gt;&lt;/EndNote&gt;</w:instrText>
      </w:r>
      <w:r w:rsidR="00E748A6" w:rsidRPr="00F71F57">
        <w:rPr>
          <w:rFonts w:asciiTheme="majorBidi" w:hAnsiTheme="majorBidi" w:cstheme="majorBidi"/>
          <w:sz w:val="24"/>
          <w:szCs w:val="24"/>
          <w:lang w:val="en-GB" w:bidi="fa-IR"/>
        </w:rPr>
        <w:fldChar w:fldCharType="separate"/>
      </w:r>
      <w:r w:rsidR="00E748A6" w:rsidRPr="00F71F57">
        <w:rPr>
          <w:rFonts w:asciiTheme="majorBidi" w:hAnsiTheme="majorBidi" w:cstheme="majorBidi"/>
          <w:sz w:val="24"/>
          <w:szCs w:val="24"/>
          <w:lang w:val="en-GB" w:bidi="fa-IR"/>
        </w:rPr>
        <w:t>(</w:t>
      </w:r>
      <w:hyperlink w:anchor="_ENREF_103" w:tooltip="Henry, 2013 #284" w:history="1">
        <w:r w:rsidR="00DE113E" w:rsidRPr="00F71F57">
          <w:rPr>
            <w:rFonts w:asciiTheme="majorBidi" w:hAnsiTheme="majorBidi" w:cstheme="majorBidi"/>
            <w:sz w:val="24"/>
            <w:szCs w:val="24"/>
            <w:lang w:val="en-GB" w:bidi="fa-IR"/>
          </w:rPr>
          <w:t>Henry et al., 2013</w:t>
        </w:r>
      </w:hyperlink>
      <w:r w:rsidR="00E748A6" w:rsidRPr="00F71F57">
        <w:rPr>
          <w:rFonts w:asciiTheme="majorBidi" w:hAnsiTheme="majorBidi" w:cstheme="majorBidi"/>
          <w:sz w:val="24"/>
          <w:szCs w:val="24"/>
          <w:lang w:val="en-GB" w:bidi="fa-IR"/>
        </w:rPr>
        <w:t xml:space="preserve">; </w:t>
      </w:r>
      <w:hyperlink w:anchor="_ENREF_152" w:tooltip="Mayse, 2014 #285" w:history="1">
        <w:r w:rsidR="00DE113E" w:rsidRPr="00F71F57">
          <w:rPr>
            <w:rFonts w:asciiTheme="majorBidi" w:hAnsiTheme="majorBidi" w:cstheme="majorBidi"/>
            <w:sz w:val="24"/>
            <w:szCs w:val="24"/>
            <w:lang w:val="en-GB" w:bidi="fa-IR"/>
          </w:rPr>
          <w:t>Mayse et al., 2014</w:t>
        </w:r>
      </w:hyperlink>
      <w:r w:rsidR="00E748A6" w:rsidRPr="00F71F57">
        <w:rPr>
          <w:rFonts w:asciiTheme="majorBidi" w:hAnsiTheme="majorBidi" w:cstheme="majorBidi"/>
          <w:sz w:val="24"/>
          <w:szCs w:val="24"/>
          <w:lang w:val="en-GB" w:bidi="fa-IR"/>
        </w:rPr>
        <w:t>)</w:t>
      </w:r>
      <w:r w:rsidR="00E748A6" w:rsidRPr="00F71F57">
        <w:rPr>
          <w:rFonts w:asciiTheme="majorBidi" w:hAnsiTheme="majorBidi" w:cstheme="majorBidi"/>
          <w:sz w:val="24"/>
          <w:szCs w:val="24"/>
          <w:lang w:val="en-GB" w:bidi="fa-IR"/>
        </w:rPr>
        <w:fldChar w:fldCharType="end"/>
      </w:r>
      <w:r w:rsidR="00E748A6" w:rsidRPr="00F71F57">
        <w:rPr>
          <w:rFonts w:asciiTheme="majorBidi" w:hAnsiTheme="majorBidi" w:cstheme="majorBidi"/>
          <w:sz w:val="24"/>
          <w:szCs w:val="24"/>
          <w:lang w:val="en-GB" w:bidi="fa-IR"/>
        </w:rPr>
        <w:t xml:space="preserve">. </w:t>
      </w:r>
      <w:r w:rsidR="00A25E0D" w:rsidRPr="00F71F57">
        <w:rPr>
          <w:rFonts w:asciiTheme="majorBidi" w:hAnsiTheme="majorBidi" w:cstheme="majorBidi"/>
          <w:sz w:val="24"/>
          <w:szCs w:val="24"/>
          <w:lang w:val="en-GB" w:bidi="fa-IR"/>
        </w:rPr>
        <w:t xml:space="preserve">Restoration of executive function in humans can be informed by data obtained from these animal studies, particularly when evaluating the efficacy and mechanisms of novel therapeutic interventions designed to improve cognitive flexibility and inhibitory control </w:t>
      </w:r>
      <w:r w:rsidR="00E748A6" w:rsidRPr="00F71F57">
        <w:rPr>
          <w:rFonts w:asciiTheme="majorBidi" w:hAnsiTheme="majorBidi" w:cstheme="majorBidi"/>
          <w:sz w:val="24"/>
          <w:szCs w:val="24"/>
          <w:lang w:val="en-GB" w:bidi="fa-IR"/>
        </w:rPr>
        <w:fldChar w:fldCharType="begin"/>
      </w:r>
      <w:r w:rsidR="00E748A6" w:rsidRPr="00F71F57">
        <w:rPr>
          <w:rFonts w:asciiTheme="majorBidi" w:hAnsiTheme="majorBidi" w:cstheme="majorBidi"/>
          <w:sz w:val="24"/>
          <w:szCs w:val="24"/>
          <w:lang w:val="en-GB" w:bidi="fa-IR"/>
        </w:rPr>
        <w:instrText xml:space="preserve"> ADDIN EN.CITE &lt;EndNote&gt;&lt;Cite&gt;&lt;Author&gt;Moore&lt;/Author&gt;&lt;Year&gt;2008&lt;/Year&gt;&lt;RecNum&gt;286&lt;/RecNum&gt;&lt;DisplayText&gt;(Moore &amp;amp; Dawson, 2008)&lt;/DisplayText&gt;&lt;record&gt;&lt;rec-number&gt;286&lt;/rec-number&gt;&lt;foreign-keys&gt;&lt;key app="EN" db-id="2ptrtps0adr9vke22dn5tpwzrsfaxtxrfwet" timestamp="1755804587"&gt;286&lt;/key&gt;&lt;/foreign-keys&gt;&lt;ref-type name="Journal Article"&gt;17&lt;/ref-type&gt;&lt;contributors&gt;&lt;authors&gt;&lt;author&gt;Moore, Darren J.&lt;/author&gt;&lt;author&gt;Dawson, Ted M.&lt;/author&gt;&lt;/authors&gt;&lt;/contributors&gt;&lt;titles&gt;&lt;title&gt;Value of Genetic Models in Understanding the Cause and Mechanisms of Parkinson’s Disease&lt;/title&gt;&lt;secondary-title&gt;Current Neurology and Neuroscience Reports&lt;/secondary-title&gt;&lt;/titles&gt;&lt;periodical&gt;&lt;full-title&gt;Current Neurology and Neuroscience Reports&lt;/full-title&gt;&lt;/periodical&gt;&lt;pages&gt;288-296&lt;/pages&gt;&lt;volume&gt;8&lt;/volume&gt;&lt;number&gt;4&lt;/number&gt;&lt;dates&gt;&lt;year&gt;2008&lt;/year&gt;&lt;/dates&gt;&lt;urls&gt;&lt;/urls&gt;&lt;electronic-resource-num&gt;10.1007/s11910-008-0045-7&lt;/electronic-resource-num&gt;&lt;/record&gt;&lt;/Cite&gt;&lt;/EndNote&gt;</w:instrText>
      </w:r>
      <w:r w:rsidR="00E748A6" w:rsidRPr="00F71F57">
        <w:rPr>
          <w:rFonts w:asciiTheme="majorBidi" w:hAnsiTheme="majorBidi" w:cstheme="majorBidi"/>
          <w:sz w:val="24"/>
          <w:szCs w:val="24"/>
          <w:lang w:val="en-GB" w:bidi="fa-IR"/>
        </w:rPr>
        <w:fldChar w:fldCharType="separate"/>
      </w:r>
      <w:r w:rsidR="00E748A6" w:rsidRPr="00F71F57">
        <w:rPr>
          <w:rFonts w:asciiTheme="majorBidi" w:hAnsiTheme="majorBidi" w:cstheme="majorBidi"/>
          <w:sz w:val="24"/>
          <w:szCs w:val="24"/>
          <w:lang w:val="en-GB" w:bidi="fa-IR"/>
        </w:rPr>
        <w:t>(</w:t>
      </w:r>
      <w:hyperlink w:anchor="_ENREF_161" w:tooltip="Moore, 2008 #286" w:history="1">
        <w:r w:rsidR="00DE113E" w:rsidRPr="00F71F57">
          <w:rPr>
            <w:rFonts w:asciiTheme="majorBidi" w:hAnsiTheme="majorBidi" w:cstheme="majorBidi"/>
            <w:sz w:val="24"/>
            <w:szCs w:val="24"/>
            <w:lang w:val="en-GB" w:bidi="fa-IR"/>
          </w:rPr>
          <w:t>Moore &amp; Dawson, 2008</w:t>
        </w:r>
      </w:hyperlink>
      <w:r w:rsidR="00E748A6" w:rsidRPr="00F71F57">
        <w:rPr>
          <w:rFonts w:asciiTheme="majorBidi" w:hAnsiTheme="majorBidi" w:cstheme="majorBidi"/>
          <w:sz w:val="24"/>
          <w:szCs w:val="24"/>
          <w:lang w:val="en-GB" w:bidi="fa-IR"/>
        </w:rPr>
        <w:t>)</w:t>
      </w:r>
      <w:r w:rsidR="00E748A6" w:rsidRPr="00F71F57">
        <w:rPr>
          <w:rFonts w:asciiTheme="majorBidi" w:hAnsiTheme="majorBidi" w:cstheme="majorBidi"/>
          <w:sz w:val="24"/>
          <w:szCs w:val="24"/>
          <w:lang w:val="en-GB" w:bidi="fa-IR"/>
        </w:rPr>
        <w:fldChar w:fldCharType="end"/>
      </w:r>
      <w:r w:rsidR="00E748A6" w:rsidRPr="00F71F57">
        <w:rPr>
          <w:rFonts w:asciiTheme="majorBidi" w:hAnsiTheme="majorBidi" w:cstheme="majorBidi"/>
          <w:sz w:val="24"/>
          <w:szCs w:val="24"/>
          <w:lang w:val="en-GB" w:bidi="fa-IR"/>
        </w:rPr>
        <w:t>.</w:t>
      </w:r>
    </w:p>
    <w:p w14:paraId="4C9915D1" w14:textId="77777777" w:rsidR="0002148B" w:rsidRPr="00F71F57" w:rsidRDefault="0002148B" w:rsidP="00C80A17">
      <w:pPr>
        <w:ind w:left="1080"/>
        <w:jc w:val="both"/>
        <w:rPr>
          <w:rFonts w:asciiTheme="majorBidi" w:hAnsiTheme="majorBidi" w:cstheme="majorBidi"/>
          <w:sz w:val="24"/>
          <w:szCs w:val="24"/>
          <w:lang w:val="en-GB" w:bidi="fa-IR"/>
        </w:rPr>
      </w:pPr>
    </w:p>
    <w:p w14:paraId="7E2E60DE" w14:textId="44170988" w:rsidR="00327217" w:rsidRPr="00F71F57" w:rsidRDefault="00327217" w:rsidP="00984E32">
      <w:pPr>
        <w:pStyle w:val="Heading4"/>
        <w:rPr>
          <w:lang w:bidi="fa-IR"/>
        </w:rPr>
      </w:pPr>
      <w:bookmarkStart w:id="29" w:name="_Toc214875836"/>
      <w:r w:rsidRPr="00F71F57">
        <w:rPr>
          <w:lang w:bidi="fa-IR"/>
        </w:rPr>
        <w:t>1.2.3.4 Decision-Making and Risk Evaluation</w:t>
      </w:r>
      <w:bookmarkEnd w:id="29"/>
    </w:p>
    <w:p w14:paraId="771452C1" w14:textId="18143003" w:rsidR="00735E0F" w:rsidRDefault="002230C3" w:rsidP="00CD6C40">
      <w:pPr>
        <w:spacing w:line="360" w:lineRule="auto"/>
        <w:ind w:left="1080"/>
        <w:jc w:val="both"/>
        <w:rPr>
          <w:rFonts w:asciiTheme="majorBidi" w:hAnsiTheme="majorBidi" w:cstheme="majorBidi"/>
          <w:sz w:val="24"/>
          <w:szCs w:val="24"/>
          <w:rtl/>
          <w:lang w:val="en-GB" w:bidi="fa-IR"/>
        </w:rPr>
      </w:pPr>
      <w:r w:rsidRPr="00F71F57">
        <w:rPr>
          <w:rFonts w:asciiTheme="majorBidi" w:hAnsiTheme="majorBidi" w:cstheme="majorBidi"/>
          <w:sz w:val="24"/>
          <w:szCs w:val="24"/>
          <w:lang w:val="en-GB" w:bidi="fa-IR"/>
        </w:rPr>
        <w:t>Decision-making and risk evaluation are critical cognitive functions that are increasingly investigated in the context of neurodegenerative disorders. The ability to make sound decisions is essential for maintaining autonomy and quality of life, particularly in older adults where cognitive impairments may arise. This relationship has been demonstrated in clinical studies, highlighting the underlying neurobiological mechanisms and behavioral implications of compromised decision-making in neurodegeneration.</w:t>
      </w:r>
      <w:r w:rsidR="00CD2A5D"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Clinical evidence indicates that individuals with mild cognitive impairment (MCI) exhibit </w:t>
      </w:r>
      <w:r w:rsidRPr="00F71F57">
        <w:rPr>
          <w:rFonts w:asciiTheme="majorBidi" w:hAnsiTheme="majorBidi" w:cstheme="majorBidi"/>
          <w:sz w:val="24"/>
          <w:szCs w:val="24"/>
          <w:lang w:val="en-GB" w:bidi="fa-IR"/>
        </w:rPr>
        <w:lastRenderedPageBreak/>
        <w:t xml:space="preserve">notable deficits in decision-making capabilities, particularly concerning healthcare, and financial choices. Therrien et al. demonstrated that older adults with MCI engage in riskier decision-making </w:t>
      </w:r>
      <w:r w:rsidR="000412D3" w:rsidRPr="00F71F57">
        <w:rPr>
          <w:rFonts w:asciiTheme="majorBidi" w:hAnsiTheme="majorBidi" w:cstheme="majorBidi"/>
          <w:sz w:val="24"/>
          <w:szCs w:val="24"/>
          <w:lang w:val="en-GB" w:bidi="fa-IR"/>
        </w:rPr>
        <w:t>behaviours</w:t>
      </w:r>
      <w:r w:rsidRPr="00F71F57">
        <w:rPr>
          <w:rFonts w:asciiTheme="majorBidi" w:hAnsiTheme="majorBidi" w:cstheme="majorBidi"/>
          <w:sz w:val="24"/>
          <w:szCs w:val="24"/>
          <w:lang w:val="en-GB" w:bidi="fa-IR"/>
        </w:rPr>
        <w:t xml:space="preserve"> compared to cognitively healthy peers, emphasizing the necessity of supportive decision-making frameworks to aid this population. The authors suggest that shared decision-making models, where clinicians and patients collaboratively assess risks alongside individual values, may enhance the quality of decision-making among MCI patients </w:t>
      </w:r>
      <w:r w:rsidR="00C1325A" w:rsidRPr="00F71F57">
        <w:rPr>
          <w:rFonts w:asciiTheme="majorBidi" w:hAnsiTheme="majorBidi" w:cstheme="majorBidi"/>
          <w:sz w:val="24"/>
          <w:szCs w:val="24"/>
          <w:lang w:val="en-GB" w:bidi="fa-IR"/>
        </w:rPr>
        <w:fldChar w:fldCharType="begin"/>
      </w:r>
      <w:r w:rsidR="00C1325A" w:rsidRPr="00F71F57">
        <w:rPr>
          <w:rFonts w:asciiTheme="majorBidi" w:hAnsiTheme="majorBidi" w:cstheme="majorBidi"/>
          <w:sz w:val="24"/>
          <w:szCs w:val="24"/>
          <w:lang w:val="en-GB" w:bidi="fa-IR"/>
        </w:rPr>
        <w:instrText xml:space="preserve"> ADDIN EN.CITE &lt;EndNote&gt;&lt;Cite&gt;&lt;Author&gt;Therrien&lt;/Author&gt;&lt;Year&gt;2024&lt;/Year&gt;&lt;RecNum&gt;175&lt;/RecNum&gt;&lt;DisplayText&gt;(Therrien et al., 2024)&lt;/DisplayText&gt;&lt;record&gt;&lt;rec-number&gt;175&lt;/rec-number&gt;&lt;foreign-keys&gt;&lt;key app="EN" db-id="2ptrtps0adr9vke22dn5tpwzrsfaxtxrfwet" timestamp="1755767845"&gt;175&lt;/key&gt;&lt;/foreign-keys&gt;&lt;ref-type name="Journal Article"&gt;17&lt;/ref-type&gt;&lt;contributors&gt;&lt;authors&gt;&lt;author&gt;Therrien, Sarah&lt;/author&gt;&lt;author&gt;Anthony, Mia&lt;/author&gt;&lt;author&gt;Turnbull, Adam&lt;/author&gt;&lt;author&gt;Lin, Feng&lt;/author&gt;&lt;/authors&gt;&lt;/contributors&gt;&lt;titles&gt;&lt;title&gt;Risk-Taking Behavior Differs Between Older Adults With and Without Mild Cognitive Impairment&lt;/title&gt;&lt;secondary-title&gt;Journal of Alzheimer S Disease&lt;/secondary-title&gt;&lt;/titles&gt;&lt;periodical&gt;&lt;full-title&gt;Journal of Alzheimer S Disease&lt;/full-title&gt;&lt;/periodical&gt;&lt;pages&gt;1227-1235&lt;/pages&gt;&lt;volume&gt;100&lt;/volume&gt;&lt;number&gt;4&lt;/number&gt;&lt;dates&gt;&lt;year&gt;2024&lt;/year&gt;&lt;/dates&gt;&lt;urls&gt;&lt;/urls&gt;&lt;electronic-resource-num&gt;10.3233/jad-231448&lt;/electronic-resource-num&gt;&lt;/record&gt;&lt;/Cite&gt;&lt;/EndNote&gt;</w:instrText>
      </w:r>
      <w:r w:rsidR="00C1325A" w:rsidRPr="00F71F57">
        <w:rPr>
          <w:rFonts w:asciiTheme="majorBidi" w:hAnsiTheme="majorBidi" w:cstheme="majorBidi"/>
          <w:sz w:val="24"/>
          <w:szCs w:val="24"/>
          <w:lang w:val="en-GB" w:bidi="fa-IR"/>
        </w:rPr>
        <w:fldChar w:fldCharType="separate"/>
      </w:r>
      <w:r w:rsidR="00C1325A" w:rsidRPr="00F71F57">
        <w:rPr>
          <w:rFonts w:asciiTheme="majorBidi" w:hAnsiTheme="majorBidi" w:cstheme="majorBidi"/>
          <w:sz w:val="24"/>
          <w:szCs w:val="24"/>
          <w:lang w:val="en-GB" w:bidi="fa-IR"/>
        </w:rPr>
        <w:t>(</w:t>
      </w:r>
      <w:hyperlink w:anchor="_ENREF_247" w:tooltip="Therrien, 2024 #175" w:history="1">
        <w:r w:rsidR="00DE113E" w:rsidRPr="00F71F57">
          <w:rPr>
            <w:rFonts w:asciiTheme="majorBidi" w:hAnsiTheme="majorBidi" w:cstheme="majorBidi"/>
            <w:sz w:val="24"/>
            <w:szCs w:val="24"/>
            <w:lang w:val="en-GB" w:bidi="fa-IR"/>
          </w:rPr>
          <w:t>Therrien et al., 2024</w:t>
        </w:r>
      </w:hyperlink>
      <w:r w:rsidR="00C1325A" w:rsidRPr="00F71F57">
        <w:rPr>
          <w:rFonts w:asciiTheme="majorBidi" w:hAnsiTheme="majorBidi" w:cstheme="majorBidi"/>
          <w:sz w:val="24"/>
          <w:szCs w:val="24"/>
          <w:lang w:val="en-GB" w:bidi="fa-IR"/>
        </w:rPr>
        <w:t>)</w:t>
      </w:r>
      <w:r w:rsidR="00C1325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Such approaches are critical in mitigating impulsivity and ensuring that patients consider their long-term well-being when faced with healthcare options.</w:t>
      </w:r>
      <w:r w:rsidR="002E16C9"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Preclinical research has also shed light on the neurobiological underpinnings of decision-making processes. Studies using rodent models reveal that lesions in the prefrontal cortex (PFC) impair the capacity to evaluate risks accurately, correlating deficits in decision-making with disrupted neural pathways associated with reward and punishment responses</w:t>
      </w:r>
      <w:r w:rsidR="00C1325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 PFC is crucial for complex cognitive tasks, including decision-making and risk evaluation; thus, its impairment can significantly compromise these functions. Kennerley and Walton discuss the role of various PFC regions in supporting optimal decision-making, linking neurophysiological findings to behavioral outcomes </w:t>
      </w:r>
      <w:r w:rsidR="00C1325A" w:rsidRPr="00F71F57">
        <w:rPr>
          <w:rFonts w:asciiTheme="majorBidi" w:hAnsiTheme="majorBidi" w:cstheme="majorBidi"/>
          <w:sz w:val="24"/>
          <w:szCs w:val="24"/>
          <w:lang w:val="en-GB" w:bidi="fa-IR"/>
        </w:rPr>
        <w:fldChar w:fldCharType="begin"/>
      </w:r>
      <w:r w:rsidR="00C1325A" w:rsidRPr="00F71F57">
        <w:rPr>
          <w:rFonts w:asciiTheme="majorBidi" w:hAnsiTheme="majorBidi" w:cstheme="majorBidi"/>
          <w:sz w:val="24"/>
          <w:szCs w:val="24"/>
          <w:lang w:val="en-GB" w:bidi="fa-IR"/>
        </w:rPr>
        <w:instrText xml:space="preserve"> ADDIN EN.CITE &lt;EndNote&gt;&lt;Cite&gt;&lt;Author&gt;Kennerley&lt;/Author&gt;&lt;Year&gt;2011&lt;/Year&gt;&lt;RecNum&gt;176&lt;/RecNum&gt;&lt;DisplayText&gt;(Kennerley &amp;amp; Walton, 2011)&lt;/DisplayText&gt;&lt;record&gt;&lt;rec-number&gt;176&lt;/rec-number&gt;&lt;foreign-keys&gt;&lt;key app="EN" db-id="2ptrtps0adr9vke22dn5tpwzrsfaxtxrfwet" timestamp="1755768001"&gt;176&lt;/key&gt;&lt;/foreign-keys&gt;&lt;ref-type name="Journal Article"&gt;17&lt;/ref-type&gt;&lt;contributors&gt;&lt;authors&gt;&lt;author&gt;Kennerley, Steven W.&lt;/author&gt;&lt;author&gt;Walton, Mark E.&lt;/author&gt;&lt;/authors&gt;&lt;/contributors&gt;&lt;titles&gt;&lt;title&gt;Decision Making and Reward in Frontal Cortex: Complementary Evidence From Neurophysiological and Neuropsychological Studies&lt;/title&gt;&lt;secondary-title&gt;Behavioral Neuroscience&lt;/secondary-title&gt;&lt;/titles&gt;&lt;periodical&gt;&lt;full-title&gt;Behavioral Neuroscience&lt;/full-title&gt;&lt;/periodical&gt;&lt;pages&gt;297-317&lt;/pages&gt;&lt;volume&gt;125&lt;/volume&gt;&lt;number&gt;3&lt;/number&gt;&lt;dates&gt;&lt;year&gt;2011&lt;/year&gt;&lt;/dates&gt;&lt;urls&gt;&lt;/urls&gt;&lt;electronic-resource-num&gt;10.1037/a0023575&lt;/electronic-resource-num&gt;&lt;/record&gt;&lt;/Cite&gt;&lt;/EndNote&gt;</w:instrText>
      </w:r>
      <w:r w:rsidR="00C1325A" w:rsidRPr="00F71F57">
        <w:rPr>
          <w:rFonts w:asciiTheme="majorBidi" w:hAnsiTheme="majorBidi" w:cstheme="majorBidi"/>
          <w:sz w:val="24"/>
          <w:szCs w:val="24"/>
          <w:lang w:val="en-GB" w:bidi="fa-IR"/>
        </w:rPr>
        <w:fldChar w:fldCharType="separate"/>
      </w:r>
      <w:r w:rsidR="00C1325A" w:rsidRPr="00F71F57">
        <w:rPr>
          <w:rFonts w:asciiTheme="majorBidi" w:hAnsiTheme="majorBidi" w:cstheme="majorBidi"/>
          <w:sz w:val="24"/>
          <w:szCs w:val="24"/>
          <w:lang w:val="en-GB" w:bidi="fa-IR"/>
        </w:rPr>
        <w:t>(</w:t>
      </w:r>
      <w:hyperlink w:anchor="_ENREF_123" w:tooltip="Kennerley, 2011 #176" w:history="1">
        <w:r w:rsidR="00DE113E" w:rsidRPr="00F71F57">
          <w:rPr>
            <w:rFonts w:asciiTheme="majorBidi" w:hAnsiTheme="majorBidi" w:cstheme="majorBidi"/>
            <w:sz w:val="24"/>
            <w:szCs w:val="24"/>
            <w:lang w:val="en-GB" w:bidi="fa-IR"/>
          </w:rPr>
          <w:t>Kennerley &amp; Walton, 2011</w:t>
        </w:r>
      </w:hyperlink>
      <w:r w:rsidR="00C1325A" w:rsidRPr="00F71F57">
        <w:rPr>
          <w:rFonts w:asciiTheme="majorBidi" w:hAnsiTheme="majorBidi" w:cstheme="majorBidi"/>
          <w:sz w:val="24"/>
          <w:szCs w:val="24"/>
          <w:lang w:val="en-GB" w:bidi="fa-IR"/>
        </w:rPr>
        <w:t>)</w:t>
      </w:r>
      <w:r w:rsidR="00C1325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2E16C9"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Moreover, research has highlighted that decision-making performance is significantly affected by emotional and cognitive processing capabilities, as indicated by work on the amygdala's involvement in emotional appraisal </w:t>
      </w:r>
      <w:r w:rsidR="00651821" w:rsidRPr="00F71F57">
        <w:rPr>
          <w:rFonts w:asciiTheme="majorBidi" w:hAnsiTheme="majorBidi" w:cstheme="majorBidi"/>
          <w:sz w:val="24"/>
          <w:szCs w:val="24"/>
          <w:lang w:val="en-GB" w:bidi="fa-IR"/>
        </w:rPr>
        <w:fldChar w:fldCharType="begin"/>
      </w:r>
      <w:r w:rsidR="00651821" w:rsidRPr="00F71F57">
        <w:rPr>
          <w:rFonts w:asciiTheme="majorBidi" w:hAnsiTheme="majorBidi" w:cstheme="majorBidi"/>
          <w:sz w:val="24"/>
          <w:szCs w:val="24"/>
          <w:lang w:val="en-GB" w:bidi="fa-IR"/>
        </w:rPr>
        <w:instrText xml:space="preserve"> ADDIN EN.CITE &lt;EndNote&gt;&lt;Cite&gt;&lt;Author&gt;Gupta&lt;/Author&gt;&lt;Year&gt;2011&lt;/Year&gt;&lt;RecNum&gt;177&lt;/RecNum&gt;&lt;DisplayText&gt;(Gupta et al., 2011)&lt;/DisplayText&gt;&lt;record&gt;&lt;rec-number&gt;177&lt;/rec-number&gt;&lt;foreign-keys&gt;&lt;key app="EN" db-id="2ptrtps0adr9vke22dn5tpwzrsfaxtxrfwet" timestamp="1755768160"&gt;177&lt;/key&gt;&lt;/foreign-keys&gt;&lt;ref-type name="Journal Article"&gt;17&lt;/ref-type&gt;&lt;contributors&gt;&lt;authors&gt;&lt;author&gt;Gupta, Rupa&lt;/author&gt;&lt;author&gt;Koscik, Timothy R.&lt;/author&gt;&lt;author&gt;Bechara, Antoine&lt;/author&gt;&lt;author&gt;Tranel, Daniel&lt;/author&gt;&lt;/authors&gt;&lt;/contributors&gt;&lt;titles&gt;&lt;title&gt;The amygdala and decision-making&lt;/title&gt;&lt;secondary-title&gt;Neuropsychologia&lt;/secondary-title&gt;&lt;/titles&gt;&lt;periodical&gt;&lt;full-title&gt;Neuropsychologia&lt;/full-title&gt;&lt;/periodical&gt;&lt;pages&gt;760-766&lt;/pages&gt;&lt;volume&gt;49&lt;/volume&gt;&lt;number&gt;4&lt;/number&gt;&lt;keywords&gt;&lt;keyword&gt;Amygdala&lt;/keyword&gt;&lt;keyword&gt;Decision-making&lt;/keyword&gt;&lt;keyword&gt;Emotion&lt;/keyword&gt;&lt;keyword&gt;Ventromedial prefrontal cortex&lt;/keyword&gt;&lt;keyword&gt;Hippocampus&lt;/keyword&gt;&lt;/keywords&gt;&lt;dates&gt;&lt;year&gt;2011&lt;/year&gt;&lt;pub-dates&gt;&lt;date&gt;2011/03/01/&lt;/date&gt;&lt;/pub-dates&gt;&lt;/dates&gt;&lt;isbn&gt;0028-3932&lt;/isbn&gt;&lt;urls&gt;&lt;related-urls&gt;&lt;url&gt;https://www.sciencedirect.com/science/article/pii/S0028393210004197&lt;/url&gt;&lt;/related-urls&gt;&lt;/urls&gt;&lt;electronic-resource-num&gt;https://doi.org/10.1016/j.neuropsychologia.2010.09.029&lt;/electronic-resource-num&gt;&lt;/record&gt;&lt;/Cite&gt;&lt;/EndNote&gt;</w:instrText>
      </w:r>
      <w:r w:rsidR="00651821" w:rsidRPr="00F71F57">
        <w:rPr>
          <w:rFonts w:asciiTheme="majorBidi" w:hAnsiTheme="majorBidi" w:cstheme="majorBidi"/>
          <w:sz w:val="24"/>
          <w:szCs w:val="24"/>
          <w:lang w:val="en-GB" w:bidi="fa-IR"/>
        </w:rPr>
        <w:fldChar w:fldCharType="separate"/>
      </w:r>
      <w:r w:rsidR="00651821" w:rsidRPr="00F71F57">
        <w:rPr>
          <w:rFonts w:asciiTheme="majorBidi" w:hAnsiTheme="majorBidi" w:cstheme="majorBidi"/>
          <w:sz w:val="24"/>
          <w:szCs w:val="24"/>
          <w:lang w:val="en-GB" w:bidi="fa-IR"/>
        </w:rPr>
        <w:t>(</w:t>
      </w:r>
      <w:hyperlink w:anchor="_ENREF_95" w:tooltip="Gupta, 2011 #177" w:history="1">
        <w:r w:rsidR="00DE113E" w:rsidRPr="00F71F57">
          <w:rPr>
            <w:rFonts w:asciiTheme="majorBidi" w:hAnsiTheme="majorBidi" w:cstheme="majorBidi"/>
            <w:sz w:val="24"/>
            <w:szCs w:val="24"/>
            <w:lang w:val="en-GB" w:bidi="fa-IR"/>
          </w:rPr>
          <w:t>Gupta et al., 2011</w:t>
        </w:r>
      </w:hyperlink>
      <w:r w:rsidR="00651821" w:rsidRPr="00F71F57">
        <w:rPr>
          <w:rFonts w:asciiTheme="majorBidi" w:hAnsiTheme="majorBidi" w:cstheme="majorBidi"/>
          <w:sz w:val="24"/>
          <w:szCs w:val="24"/>
          <w:lang w:val="en-GB" w:bidi="fa-IR"/>
        </w:rPr>
        <w:t>)</w:t>
      </w:r>
      <w:r w:rsidR="00651821"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When amygdala functioning is compromised, individuals struggle to apply emotional significance to potential outcomes, further complicating their decision-making processes. This is particularly pertinent to conditions such as Alzheimer's disease, </w:t>
      </w:r>
      <w:r w:rsidR="00651821" w:rsidRPr="00F71F57">
        <w:rPr>
          <w:rFonts w:asciiTheme="majorBidi" w:hAnsiTheme="majorBidi" w:cstheme="majorBidi"/>
          <w:sz w:val="24"/>
          <w:szCs w:val="24"/>
          <w:lang w:val="en-GB" w:bidi="fa-IR"/>
        </w:rPr>
        <w:t xml:space="preserve">that </w:t>
      </w:r>
      <w:r w:rsidRPr="00F71F57">
        <w:rPr>
          <w:rFonts w:asciiTheme="majorBidi" w:hAnsiTheme="majorBidi" w:cstheme="majorBidi"/>
          <w:sz w:val="24"/>
          <w:szCs w:val="24"/>
          <w:lang w:val="en-GB" w:bidi="fa-IR"/>
        </w:rPr>
        <w:t xml:space="preserve">cognitive decline manifests early on, resulting in impaired decision-making abilities, even before reaching official diagnostic thresholds for MCI </w:t>
      </w:r>
      <w:r w:rsidR="00651821" w:rsidRPr="00F71F57">
        <w:rPr>
          <w:rFonts w:asciiTheme="majorBidi" w:hAnsiTheme="majorBidi" w:cstheme="majorBidi"/>
          <w:sz w:val="24"/>
          <w:szCs w:val="24"/>
          <w:lang w:val="en-GB" w:bidi="fa-IR"/>
        </w:rPr>
        <w:fldChar w:fldCharType="begin"/>
      </w:r>
      <w:r w:rsidR="00651821" w:rsidRPr="00F71F57">
        <w:rPr>
          <w:rFonts w:asciiTheme="majorBidi" w:hAnsiTheme="majorBidi" w:cstheme="majorBidi"/>
          <w:sz w:val="24"/>
          <w:szCs w:val="24"/>
          <w:lang w:val="en-GB" w:bidi="fa-IR"/>
        </w:rPr>
        <w:instrText xml:space="preserve"> ADDIN EN.CITE &lt;EndNote&gt;&lt;Cite&gt;&lt;Author&gt;Boyle&lt;/Author&gt;&lt;Year&gt;2012&lt;/Year&gt;&lt;RecNum&gt;178&lt;/RecNum&gt;&lt;DisplayText&gt;(Boyle et al., 2012)&lt;/DisplayText&gt;&lt;record&gt;&lt;rec-number&gt;178&lt;/rec-number&gt;&lt;foreign-keys&gt;&lt;key app="EN" db-id="2ptrtps0adr9vke22dn5tpwzrsfaxtxrfwet" timestamp="1755768370"&gt;178&lt;/key&gt;&lt;/foreign-keys&gt;&lt;ref-type name="Journal Article"&gt;17&lt;/ref-type&gt;&lt;contributors&gt;&lt;authors&gt;&lt;author&gt;Boyle, Patricia A.&lt;/author&gt;&lt;author&gt;Yu, Lei&lt;/author&gt;&lt;author&gt;Wilson, R. J.&lt;/author&gt;&lt;author&gt;Gamble, Keith Jacks&lt;/author&gt;&lt;author&gt;Buchman, Aron S.&lt;/author&gt;&lt;author&gt;Bennett, David A.&lt;/author&gt;&lt;/authors&gt;&lt;/contributors&gt;&lt;titles&gt;&lt;title&gt;Poor Decision Making Is a Consequence of Cognitive Decline Among Older Persons Without Alzheimer’s Disease or Mild Cognitive Impairment&lt;/title&gt;&lt;secondary-title&gt;Plos One&lt;/secondary-title&gt;&lt;/titles&gt;&lt;periodical&gt;&lt;full-title&gt;Plos One&lt;/full-title&gt;&lt;/periodical&gt;&lt;pages&gt;e43647&lt;/pages&gt;&lt;volume&gt;7&lt;/volume&gt;&lt;number&gt;8&lt;/number&gt;&lt;dates&gt;&lt;year&gt;2012&lt;/year&gt;&lt;/dates&gt;&lt;urls&gt;&lt;/urls&gt;&lt;electronic-resource-num&gt;10.1371/journal.pone.0043647&lt;/electronic-resource-num&gt;&lt;/record&gt;&lt;/Cite&gt;&lt;/EndNote&gt;</w:instrText>
      </w:r>
      <w:r w:rsidR="00651821" w:rsidRPr="00F71F57">
        <w:rPr>
          <w:rFonts w:asciiTheme="majorBidi" w:hAnsiTheme="majorBidi" w:cstheme="majorBidi"/>
          <w:sz w:val="24"/>
          <w:szCs w:val="24"/>
          <w:lang w:val="en-GB" w:bidi="fa-IR"/>
        </w:rPr>
        <w:fldChar w:fldCharType="separate"/>
      </w:r>
      <w:r w:rsidR="00651821" w:rsidRPr="00F71F57">
        <w:rPr>
          <w:rFonts w:asciiTheme="majorBidi" w:hAnsiTheme="majorBidi" w:cstheme="majorBidi"/>
          <w:sz w:val="24"/>
          <w:szCs w:val="24"/>
          <w:lang w:val="en-GB" w:bidi="fa-IR"/>
        </w:rPr>
        <w:t>(</w:t>
      </w:r>
      <w:hyperlink w:anchor="_ENREF_26" w:tooltip="Boyle, 2012 #178" w:history="1">
        <w:r w:rsidR="00DE113E" w:rsidRPr="00F71F57">
          <w:rPr>
            <w:rFonts w:asciiTheme="majorBidi" w:hAnsiTheme="majorBidi" w:cstheme="majorBidi"/>
            <w:sz w:val="24"/>
            <w:szCs w:val="24"/>
            <w:lang w:val="en-GB" w:bidi="fa-IR"/>
          </w:rPr>
          <w:t>Boyle et al., 2012</w:t>
        </w:r>
      </w:hyperlink>
      <w:r w:rsidR="00651821" w:rsidRPr="00F71F57">
        <w:rPr>
          <w:rFonts w:asciiTheme="majorBidi" w:hAnsiTheme="majorBidi" w:cstheme="majorBidi"/>
          <w:sz w:val="24"/>
          <w:szCs w:val="24"/>
          <w:lang w:val="en-GB" w:bidi="fa-IR"/>
        </w:rPr>
        <w:t>)</w:t>
      </w:r>
      <w:r w:rsidR="00651821" w:rsidRPr="00F71F57">
        <w:rPr>
          <w:rFonts w:asciiTheme="majorBidi" w:hAnsiTheme="majorBidi" w:cstheme="majorBidi"/>
          <w:sz w:val="24"/>
          <w:szCs w:val="24"/>
          <w:lang w:val="en-GB" w:bidi="fa-IR"/>
        </w:rPr>
        <w:fldChar w:fldCharType="end"/>
      </w:r>
      <w:r w:rsidR="00651821" w:rsidRPr="00F71F57">
        <w:rPr>
          <w:rFonts w:asciiTheme="majorBidi" w:hAnsiTheme="majorBidi" w:cstheme="majorBidi"/>
          <w:sz w:val="24"/>
          <w:szCs w:val="24"/>
          <w:lang w:val="en-GB" w:bidi="fa-IR"/>
        </w:rPr>
        <w:t>.</w:t>
      </w:r>
      <w:r w:rsidR="002E16C9"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Additionally, risk-taking </w:t>
      </w:r>
      <w:r w:rsidR="0069045E" w:rsidRPr="00F71F57">
        <w:rPr>
          <w:rFonts w:asciiTheme="majorBidi" w:hAnsiTheme="majorBidi" w:cstheme="majorBidi"/>
          <w:sz w:val="24"/>
          <w:szCs w:val="24"/>
          <w:lang w:val="en-GB" w:bidi="fa-IR"/>
        </w:rPr>
        <w:t>behaviours</w:t>
      </w:r>
      <w:r w:rsidRPr="00F71F57">
        <w:rPr>
          <w:rFonts w:asciiTheme="majorBidi" w:hAnsiTheme="majorBidi" w:cstheme="majorBidi"/>
          <w:sz w:val="24"/>
          <w:szCs w:val="24"/>
          <w:lang w:val="en-GB" w:bidi="fa-IR"/>
        </w:rPr>
        <w:t xml:space="preserve"> appear to be more pronounced in patients with </w:t>
      </w:r>
      <w:r w:rsidRPr="00F71F57">
        <w:rPr>
          <w:rFonts w:asciiTheme="majorBidi" w:hAnsiTheme="majorBidi" w:cstheme="majorBidi"/>
          <w:sz w:val="24"/>
          <w:szCs w:val="24"/>
          <w:lang w:val="en-GB" w:bidi="fa-IR"/>
        </w:rPr>
        <w:lastRenderedPageBreak/>
        <w:t xml:space="preserve">frontotemporal dementia (FTD), where decision-making deficits can lead to socially inappropriate choices. </w:t>
      </w:r>
      <w:r w:rsidR="00651821" w:rsidRPr="00F71F57">
        <w:rPr>
          <w:rFonts w:asciiTheme="majorBidi" w:hAnsiTheme="majorBidi" w:cstheme="majorBidi"/>
          <w:sz w:val="24"/>
          <w:szCs w:val="24"/>
          <w:lang w:val="en-GB" w:bidi="fa-IR"/>
        </w:rPr>
        <w:t>One study,</w:t>
      </w:r>
      <w:r w:rsidRPr="00F71F57">
        <w:rPr>
          <w:rFonts w:asciiTheme="majorBidi" w:hAnsiTheme="majorBidi" w:cstheme="majorBidi"/>
          <w:sz w:val="24"/>
          <w:szCs w:val="24"/>
          <w:lang w:val="en-GB" w:bidi="fa-IR"/>
        </w:rPr>
        <w:t xml:space="preserve"> noted that patients with FTD tend to exhibit increased risky decision-making on tasks designed to measure this behavior, suggesting a link between the neural integrity of specific cognitive networks and the ability to evaluate risks effectively </w:t>
      </w:r>
      <w:r w:rsidR="00651821" w:rsidRPr="00F71F57">
        <w:rPr>
          <w:rFonts w:asciiTheme="majorBidi" w:hAnsiTheme="majorBidi" w:cstheme="majorBidi"/>
          <w:sz w:val="24"/>
          <w:szCs w:val="24"/>
          <w:lang w:val="en-GB" w:bidi="fa-IR"/>
        </w:rPr>
        <w:fldChar w:fldCharType="begin"/>
      </w:r>
      <w:r w:rsidR="00651821" w:rsidRPr="00F71F57">
        <w:rPr>
          <w:rFonts w:asciiTheme="majorBidi" w:hAnsiTheme="majorBidi" w:cstheme="majorBidi"/>
          <w:sz w:val="24"/>
          <w:szCs w:val="24"/>
          <w:lang w:val="en-GB" w:bidi="fa-IR"/>
        </w:rPr>
        <w:instrText xml:space="preserve"> ADDIN EN.CITE &lt;EndNote&gt;&lt;Cite&gt;&lt;Author&gt;Shany‐Ur&lt;/Author&gt;&lt;Year&gt;2012&lt;/Year&gt;&lt;RecNum&gt;179&lt;/RecNum&gt;&lt;DisplayText&gt;(Shany‐Ur et al., 2012)&lt;/DisplayText&gt;&lt;record&gt;&lt;rec-number&gt;179&lt;/rec-number&gt;&lt;foreign-keys&gt;&lt;key app="EN" db-id="2ptrtps0adr9vke22dn5tpwzrsfaxtxrfwet" timestamp="1755768455"&gt;179&lt;/key&gt;&lt;/foreign-keys&gt;&lt;ref-type name="Journal Article"&gt;17&lt;/ref-type&gt;&lt;contributors&gt;&lt;authors&gt;&lt;author&gt;Shany‐Ur, Tal&lt;/author&gt;&lt;author&gt;Poorzand, Pardis&lt;/author&gt;&lt;author&gt;Grossman, Scott N.&lt;/author&gt;&lt;author&gt;Growdon, Matthew E.&lt;/author&gt;&lt;author&gt;Jang, Jung Yun&lt;/author&gt;&lt;author&gt;Ketelle, Robin&lt;/author&gt;&lt;author&gt;Miller, Bruce L.&lt;/author&gt;&lt;author&gt;Rankin, Katherine P.&lt;/author&gt;&lt;/authors&gt;&lt;/contributors&gt;&lt;titles&gt;&lt;title&gt;Comprehension of Insincere Communication in Neurodegenerative Disease: Lies, Sarcasm, and Theory of Mind&lt;/title&gt;&lt;secondary-title&gt;Cortex&lt;/secondary-title&gt;&lt;/titles&gt;&lt;periodical&gt;&lt;full-title&gt;Cortex&lt;/full-title&gt;&lt;/periodical&gt;&lt;pages&gt;1329-1341&lt;/pages&gt;&lt;volume&gt;48&lt;/volume&gt;&lt;number&gt;10&lt;/number&gt;&lt;dates&gt;&lt;year&gt;2012&lt;/year&gt;&lt;/dates&gt;&lt;urls&gt;&lt;/urls&gt;&lt;electronic-resource-num&gt;10.1016/j.cortex.2011.08.003&lt;/electronic-resource-num&gt;&lt;/record&gt;&lt;/Cite&gt;&lt;/EndNote&gt;</w:instrText>
      </w:r>
      <w:r w:rsidR="00651821" w:rsidRPr="00F71F57">
        <w:rPr>
          <w:rFonts w:asciiTheme="majorBidi" w:hAnsiTheme="majorBidi" w:cstheme="majorBidi"/>
          <w:sz w:val="24"/>
          <w:szCs w:val="24"/>
          <w:lang w:val="en-GB" w:bidi="fa-IR"/>
        </w:rPr>
        <w:fldChar w:fldCharType="separate"/>
      </w:r>
      <w:r w:rsidR="00651821" w:rsidRPr="00F71F57">
        <w:rPr>
          <w:rFonts w:asciiTheme="majorBidi" w:hAnsiTheme="majorBidi" w:cstheme="majorBidi"/>
          <w:sz w:val="24"/>
          <w:szCs w:val="24"/>
          <w:lang w:val="en-GB" w:bidi="fa-IR"/>
        </w:rPr>
        <w:t>(</w:t>
      </w:r>
      <w:hyperlink w:anchor="_ENREF_219" w:tooltip="Shany‐Ur, 2012 #179" w:history="1">
        <w:r w:rsidR="00DE113E" w:rsidRPr="00F71F57">
          <w:rPr>
            <w:rFonts w:asciiTheme="majorBidi" w:hAnsiTheme="majorBidi" w:cstheme="majorBidi"/>
            <w:sz w:val="24"/>
            <w:szCs w:val="24"/>
            <w:lang w:val="en-GB" w:bidi="fa-IR"/>
          </w:rPr>
          <w:t>Shany‐Ur et al., 2012</w:t>
        </w:r>
      </w:hyperlink>
      <w:r w:rsidR="00651821" w:rsidRPr="00F71F57">
        <w:rPr>
          <w:rFonts w:asciiTheme="majorBidi" w:hAnsiTheme="majorBidi" w:cstheme="majorBidi"/>
          <w:sz w:val="24"/>
          <w:szCs w:val="24"/>
          <w:lang w:val="en-GB" w:bidi="fa-IR"/>
        </w:rPr>
        <w:t>)</w:t>
      </w:r>
      <w:r w:rsidR="00651821"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2E16C9"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The interplay between clinical presentation and decision-making abilities emphasizes the need for robust assessment tools that can gauge an individual’s competency in the context of neurodegenerative diseases. The MacArthur Competence Assessment Tool has been developed to evaluate decision-making capacity, covering comprehension, evaluation, and expression of decisions </w:t>
      </w:r>
      <w:r w:rsidR="00651821" w:rsidRPr="00F71F57">
        <w:rPr>
          <w:rFonts w:asciiTheme="majorBidi" w:hAnsiTheme="majorBidi" w:cstheme="majorBidi"/>
          <w:sz w:val="24"/>
          <w:szCs w:val="24"/>
          <w:lang w:val="en-GB" w:bidi="fa-IR"/>
        </w:rPr>
        <w:fldChar w:fldCharType="begin"/>
      </w:r>
      <w:r w:rsidR="00651821" w:rsidRPr="00F71F57">
        <w:rPr>
          <w:rFonts w:asciiTheme="majorBidi" w:hAnsiTheme="majorBidi" w:cstheme="majorBidi"/>
          <w:sz w:val="24"/>
          <w:szCs w:val="24"/>
          <w:lang w:val="en-GB" w:bidi="fa-IR"/>
        </w:rPr>
        <w:instrText xml:space="preserve"> ADDIN EN.CITE &lt;EndNote&gt;&lt;Cite&gt;&lt;Author&gt;Santos&lt;/Author&gt;&lt;Year&gt;2017&lt;/Year&gt;&lt;RecNum&gt;180&lt;/RecNum&gt;&lt;DisplayText&gt;(Santos et al., 2017)&lt;/DisplayText&gt;&lt;record&gt;&lt;rec-number&gt;180&lt;/rec-number&gt;&lt;foreign-keys&gt;&lt;key app="EN" db-id="2ptrtps0adr9vke22dn5tpwzrsfaxtxrfwet" timestamp="1755768612"&gt;180&lt;/key&gt;&lt;/foreign-keys&gt;&lt;ref-type name="Journal Article"&gt;17&lt;/ref-type&gt;&lt;contributors&gt;&lt;authors&gt;&lt;author&gt;Santos, Raquel Luiza&lt;/author&gt;&lt;author&gt;Sousa, Maria Fernanda Barroso de&lt;/author&gt;&lt;author&gt;Neto, José Pedro Simões&lt;/author&gt;&lt;author&gt;Bertrand, Elodie&lt;/author&gt;&lt;author&gt;Mograbi, Daniel C.&lt;/author&gt;&lt;author&gt;Landeira‐Fernandez, J.&lt;/author&gt;&lt;author&gt;Laks, Jerson&lt;/author&gt;&lt;author&gt;Dourado, Márcia Cristina Nascimento&lt;/author&gt;&lt;/authors&gt;&lt;/contributors&gt;&lt;titles&gt;&lt;title&gt;MacArthur Competence Assessment Tool for Treatment in Alzheimer Disease: Cross-Cultural Adaptation&lt;/title&gt;&lt;secondary-title&gt;Arquivos De Neuro-Psiquiatria&lt;/secondary-title&gt;&lt;/titles&gt;&lt;periodical&gt;&lt;full-title&gt;Arquivos De Neuro-Psiquiatria&lt;/full-title&gt;&lt;/periodical&gt;&lt;pages&gt;36-43&lt;/pages&gt;&lt;volume&gt;75&lt;/volume&gt;&lt;number&gt;1&lt;/number&gt;&lt;dates&gt;&lt;year&gt;2017&lt;/year&gt;&lt;/dates&gt;&lt;urls&gt;&lt;/urls&gt;&lt;electronic-resource-num&gt;10.1590/0004-282x20160181&lt;/electronic-resource-num&gt;&lt;/record&gt;&lt;/Cite&gt;&lt;/EndNote&gt;</w:instrText>
      </w:r>
      <w:r w:rsidR="00651821" w:rsidRPr="00F71F57">
        <w:rPr>
          <w:rFonts w:asciiTheme="majorBidi" w:hAnsiTheme="majorBidi" w:cstheme="majorBidi"/>
          <w:sz w:val="24"/>
          <w:szCs w:val="24"/>
          <w:lang w:val="en-GB" w:bidi="fa-IR"/>
        </w:rPr>
        <w:fldChar w:fldCharType="separate"/>
      </w:r>
      <w:r w:rsidR="00651821" w:rsidRPr="00F71F57">
        <w:rPr>
          <w:rFonts w:asciiTheme="majorBidi" w:hAnsiTheme="majorBidi" w:cstheme="majorBidi"/>
          <w:sz w:val="24"/>
          <w:szCs w:val="24"/>
          <w:lang w:val="en-GB" w:bidi="fa-IR"/>
        </w:rPr>
        <w:t>(</w:t>
      </w:r>
      <w:hyperlink w:anchor="_ENREF_215" w:tooltip="Santos, 2017 #180" w:history="1">
        <w:r w:rsidR="00DE113E" w:rsidRPr="00F71F57">
          <w:rPr>
            <w:rFonts w:asciiTheme="majorBidi" w:hAnsiTheme="majorBidi" w:cstheme="majorBidi"/>
            <w:sz w:val="24"/>
            <w:szCs w:val="24"/>
            <w:lang w:val="en-GB" w:bidi="fa-IR"/>
          </w:rPr>
          <w:t>Santos et al., 2017</w:t>
        </w:r>
      </w:hyperlink>
      <w:r w:rsidR="00651821" w:rsidRPr="00F71F57">
        <w:rPr>
          <w:rFonts w:asciiTheme="majorBidi" w:hAnsiTheme="majorBidi" w:cstheme="majorBidi"/>
          <w:sz w:val="24"/>
          <w:szCs w:val="24"/>
          <w:lang w:val="en-GB" w:bidi="fa-IR"/>
        </w:rPr>
        <w:t>)</w:t>
      </w:r>
      <w:r w:rsidR="00651821" w:rsidRPr="00F71F57">
        <w:rPr>
          <w:rFonts w:asciiTheme="majorBidi" w:hAnsiTheme="majorBidi" w:cstheme="majorBidi"/>
          <w:sz w:val="24"/>
          <w:szCs w:val="24"/>
          <w:lang w:val="en-GB" w:bidi="fa-IR"/>
        </w:rPr>
        <w:fldChar w:fldCharType="end"/>
      </w:r>
      <w:r w:rsidR="00651821" w:rsidRPr="00F71F57">
        <w:rPr>
          <w:rFonts w:asciiTheme="majorBidi" w:hAnsiTheme="majorBidi" w:cstheme="majorBidi"/>
          <w:sz w:val="24"/>
          <w:szCs w:val="24"/>
          <w:lang w:val="en-GB" w:bidi="fa-IR"/>
        </w:rPr>
        <w:t>.</w:t>
      </w:r>
      <w:r w:rsidR="00CC2ED5" w:rsidRPr="00F71F57">
        <w:rPr>
          <w:rFonts w:asciiTheme="majorBidi" w:hAnsiTheme="majorBidi" w:cstheme="majorBidi"/>
          <w:sz w:val="24"/>
          <w:szCs w:val="24"/>
          <w:lang w:val="en-GB" w:bidi="fa-IR"/>
        </w:rPr>
        <w:t xml:space="preserve"> </w:t>
      </w:r>
      <w:r w:rsidR="00CD2A5D" w:rsidRPr="00F71F57">
        <w:rPr>
          <w:rFonts w:asciiTheme="majorBidi" w:hAnsiTheme="majorBidi" w:cstheme="majorBidi"/>
          <w:sz w:val="24"/>
          <w:szCs w:val="24"/>
          <w:lang w:val="en-GB" w:bidi="fa-IR"/>
        </w:rPr>
        <w:t>Behavioral paradigms such as the Rodent Gambling Task (RGT), the</w:t>
      </w:r>
      <w:r w:rsidR="004D5788">
        <w:rPr>
          <w:rFonts w:asciiTheme="majorBidi" w:hAnsiTheme="majorBidi" w:cstheme="majorBidi"/>
          <w:sz w:val="24"/>
          <w:szCs w:val="24"/>
          <w:lang w:val="en-GB" w:bidi="fa-IR"/>
        </w:rPr>
        <w:t xml:space="preserve"> 4-Choice Gambling Task</w:t>
      </w:r>
      <w:r w:rsidR="00676DF9">
        <w:rPr>
          <w:rFonts w:asciiTheme="majorBidi" w:hAnsiTheme="majorBidi" w:cstheme="majorBidi"/>
          <w:sz w:val="24"/>
          <w:szCs w:val="24"/>
          <w:lang w:val="en-GB" w:bidi="fa-IR"/>
        </w:rPr>
        <w:t xml:space="preserve"> </w:t>
      </w:r>
      <w:r w:rsidR="00CD2A5D" w:rsidRPr="00F71F57">
        <w:rPr>
          <w:rFonts w:asciiTheme="majorBidi" w:hAnsiTheme="majorBidi" w:cstheme="majorBidi"/>
          <w:sz w:val="24"/>
          <w:szCs w:val="24"/>
          <w:lang w:val="en-GB" w:bidi="fa-IR"/>
        </w:rPr>
        <w:t>(4</w:t>
      </w:r>
      <w:r w:rsidR="00676DF9">
        <w:rPr>
          <w:rFonts w:asciiTheme="majorBidi" w:hAnsiTheme="majorBidi" w:cstheme="majorBidi"/>
          <w:sz w:val="24"/>
          <w:szCs w:val="24"/>
          <w:lang w:val="en-GB" w:bidi="fa-IR"/>
        </w:rPr>
        <w:t>-</w:t>
      </w:r>
      <w:r w:rsidR="00CD2A5D" w:rsidRPr="00F71F57">
        <w:rPr>
          <w:rFonts w:asciiTheme="majorBidi" w:hAnsiTheme="majorBidi" w:cstheme="majorBidi"/>
          <w:sz w:val="24"/>
          <w:szCs w:val="24"/>
          <w:lang w:val="en-GB" w:bidi="fa-IR"/>
        </w:rPr>
        <w:t xml:space="preserve">CGT), and touchscreen-based probabilistic choice tasks play pivotal roles in elucidating the mechanisms of these cognitive functions. </w:t>
      </w:r>
      <w:r w:rsidR="00BA0997" w:rsidRPr="00F71F57">
        <w:rPr>
          <w:rFonts w:asciiTheme="majorBidi" w:hAnsiTheme="majorBidi" w:cstheme="majorBidi"/>
          <w:sz w:val="24"/>
          <w:szCs w:val="24"/>
          <w:lang w:val="en-GB" w:bidi="fa-IR"/>
        </w:rPr>
        <w:t xml:space="preserve"> </w:t>
      </w:r>
      <w:r w:rsidR="00CD2A5D" w:rsidRPr="00F71F57">
        <w:rPr>
          <w:rFonts w:asciiTheme="majorBidi" w:hAnsiTheme="majorBidi" w:cstheme="majorBidi"/>
          <w:sz w:val="24"/>
          <w:szCs w:val="24"/>
          <w:lang w:val="en-GB" w:bidi="fa-IR"/>
        </w:rPr>
        <w:t xml:space="preserve">The Rodent Gambling Task (RGT) is </w:t>
      </w:r>
      <w:r w:rsidR="005114DA" w:rsidRPr="00F71F57">
        <w:rPr>
          <w:rFonts w:asciiTheme="majorBidi" w:hAnsiTheme="majorBidi" w:cstheme="majorBidi"/>
          <w:sz w:val="24"/>
          <w:szCs w:val="24"/>
          <w:lang w:val="en-GB" w:bidi="fa-IR"/>
        </w:rPr>
        <w:t>modelled</w:t>
      </w:r>
      <w:r w:rsidR="00CD2A5D" w:rsidRPr="00F71F57">
        <w:rPr>
          <w:rFonts w:asciiTheme="majorBidi" w:hAnsiTheme="majorBidi" w:cstheme="majorBidi"/>
          <w:sz w:val="24"/>
          <w:szCs w:val="24"/>
          <w:lang w:val="en-GB" w:bidi="fa-IR"/>
        </w:rPr>
        <w:t xml:space="preserve"> after human gambling tasks that evaluate decision-making under risk. In the RGT, rodents choose between options that yield different expected rewards, some of which are risky and others safe. The task assesses </w:t>
      </w:r>
      <w:r w:rsidR="005114DA" w:rsidRPr="00F71F57">
        <w:rPr>
          <w:rFonts w:asciiTheme="majorBidi" w:hAnsiTheme="majorBidi" w:cstheme="majorBidi"/>
          <w:sz w:val="24"/>
          <w:szCs w:val="24"/>
          <w:lang w:val="en-GB" w:bidi="fa-IR"/>
        </w:rPr>
        <w:t>behaviours</w:t>
      </w:r>
      <w:r w:rsidR="00CD2A5D" w:rsidRPr="00F71F57">
        <w:rPr>
          <w:rFonts w:asciiTheme="majorBidi" w:hAnsiTheme="majorBidi" w:cstheme="majorBidi"/>
          <w:sz w:val="24"/>
          <w:szCs w:val="24"/>
          <w:lang w:val="en-GB" w:bidi="fa-IR"/>
        </w:rPr>
        <w:t xml:space="preserve"> such as risk-seeking and impulsivity, which are associated with the functioning of brain regions like the orbitofrontal cortex (OFC) and the basolateral amygdala (BLA) </w:t>
      </w:r>
      <w:r w:rsidR="00CC2ED5" w:rsidRPr="00F71F57">
        <w:rPr>
          <w:rFonts w:asciiTheme="majorBidi" w:hAnsiTheme="majorBidi" w:cstheme="majorBidi"/>
          <w:sz w:val="24"/>
          <w:szCs w:val="24"/>
          <w:lang w:val="en-GB" w:bidi="fa-IR"/>
        </w:rPr>
        <w:fldChar w:fldCharType="begin"/>
      </w:r>
      <w:r w:rsidR="00CC2ED5" w:rsidRPr="00F71F57">
        <w:rPr>
          <w:rFonts w:asciiTheme="majorBidi" w:hAnsiTheme="majorBidi" w:cstheme="majorBidi"/>
          <w:sz w:val="24"/>
          <w:szCs w:val="24"/>
          <w:lang w:val="en-GB" w:bidi="fa-IR"/>
        </w:rPr>
        <w:instrText xml:space="preserve"> ADDIN EN.CITE &lt;EndNote&gt;&lt;Cite&gt;&lt;Author&gt;Enkhuizen&lt;/Author&gt;&lt;Year&gt;2012&lt;/Year&gt;&lt;RecNum&gt;287&lt;/RecNum&gt;&lt;DisplayText&gt;(Enkhuizen et al., 2012)&lt;/DisplayText&gt;&lt;record&gt;&lt;rec-number&gt;287&lt;/rec-number&gt;&lt;foreign-keys&gt;&lt;key app="EN" db-id="2ptrtps0adr9vke22dn5tpwzrsfaxtxrfwet" timestamp="1755805888"&gt;287&lt;/key&gt;&lt;/foreign-keys&gt;&lt;ref-type name="Journal Article"&gt;17&lt;/ref-type&gt;&lt;contributors&gt;&lt;authors&gt;&lt;author&gt;Enkhuizen, Jordy van&lt;/author&gt;&lt;author&gt;Geyer, Mark A.&lt;/author&gt;&lt;author&gt;Young, Jared W.&lt;/author&gt;&lt;/authors&gt;&lt;/contributors&gt;&lt;titles&gt;&lt;title&gt;Differential Effects of Dopamine Transporter Inhibitors in the Rodent Iowa Gambling Task&lt;/title&gt;&lt;secondary-title&gt;Psychopharmacology&lt;/secondary-title&gt;&lt;/titles&gt;&lt;periodical&gt;&lt;full-title&gt;Psychopharmacology&lt;/full-title&gt;&lt;/periodical&gt;&lt;pages&gt;661-674&lt;/pages&gt;&lt;volume&gt;225&lt;/volume&gt;&lt;number&gt;3&lt;/number&gt;&lt;dates&gt;&lt;year&gt;2012&lt;/year&gt;&lt;/dates&gt;&lt;urls&gt;&lt;/urls&gt;&lt;electronic-resource-num&gt;10.1007/s00213-012-2854-2&lt;/electronic-resource-num&gt;&lt;/record&gt;&lt;/Cite&gt;&lt;/EndNote&gt;</w:instrText>
      </w:r>
      <w:r w:rsidR="00CC2ED5" w:rsidRPr="00F71F57">
        <w:rPr>
          <w:rFonts w:asciiTheme="majorBidi" w:hAnsiTheme="majorBidi" w:cstheme="majorBidi"/>
          <w:sz w:val="24"/>
          <w:szCs w:val="24"/>
          <w:lang w:val="en-GB" w:bidi="fa-IR"/>
        </w:rPr>
        <w:fldChar w:fldCharType="separate"/>
      </w:r>
      <w:r w:rsidR="00CC2ED5" w:rsidRPr="00F71F57">
        <w:rPr>
          <w:rFonts w:asciiTheme="majorBidi" w:hAnsiTheme="majorBidi" w:cstheme="majorBidi"/>
          <w:sz w:val="24"/>
          <w:szCs w:val="24"/>
          <w:lang w:val="en-GB" w:bidi="fa-IR"/>
        </w:rPr>
        <w:t>(</w:t>
      </w:r>
      <w:hyperlink w:anchor="_ENREF_73" w:tooltip="Enkhuizen, 2012 #287" w:history="1">
        <w:r w:rsidR="00DE113E" w:rsidRPr="00F71F57">
          <w:rPr>
            <w:rFonts w:asciiTheme="majorBidi" w:hAnsiTheme="majorBidi" w:cstheme="majorBidi"/>
            <w:sz w:val="24"/>
            <w:szCs w:val="24"/>
            <w:lang w:val="en-GB" w:bidi="fa-IR"/>
          </w:rPr>
          <w:t>Enkhuizen et al., 2012</w:t>
        </w:r>
      </w:hyperlink>
      <w:r w:rsidR="00CC2ED5" w:rsidRPr="00F71F57">
        <w:rPr>
          <w:rFonts w:asciiTheme="majorBidi" w:hAnsiTheme="majorBidi" w:cstheme="majorBidi"/>
          <w:sz w:val="24"/>
          <w:szCs w:val="24"/>
          <w:lang w:val="en-GB" w:bidi="fa-IR"/>
        </w:rPr>
        <w:t>)</w:t>
      </w:r>
      <w:r w:rsidR="00CC2ED5" w:rsidRPr="00F71F57">
        <w:rPr>
          <w:rFonts w:asciiTheme="majorBidi" w:hAnsiTheme="majorBidi" w:cstheme="majorBidi"/>
          <w:sz w:val="24"/>
          <w:szCs w:val="24"/>
          <w:lang w:val="en-GB" w:bidi="fa-IR"/>
        </w:rPr>
        <w:fldChar w:fldCharType="end"/>
      </w:r>
      <w:r w:rsidR="00011ECC" w:rsidRPr="00F71F57">
        <w:rPr>
          <w:rFonts w:asciiTheme="majorBidi" w:hAnsiTheme="majorBidi" w:cstheme="majorBidi"/>
          <w:sz w:val="24"/>
          <w:szCs w:val="24"/>
          <w:lang w:val="en-GB" w:bidi="fa-IR"/>
        </w:rPr>
        <w:t>.</w:t>
      </w:r>
      <w:r w:rsidR="00011ECC" w:rsidRPr="00F71F57">
        <w:rPr>
          <w:rFonts w:ascii="Arial" w:hAnsi="Arial" w:cs="Arial"/>
          <w:color w:val="333A3F"/>
          <w:spacing w:val="1"/>
          <w:shd w:val="clear" w:color="auto" w:fill="FFFFFF"/>
          <w:lang w:val="en-GB"/>
        </w:rPr>
        <w:t xml:space="preserve"> </w:t>
      </w:r>
      <w:r w:rsidR="00011ECC" w:rsidRPr="00F71F57">
        <w:rPr>
          <w:rFonts w:asciiTheme="majorBidi" w:hAnsiTheme="majorBidi" w:cstheme="majorBidi"/>
          <w:sz w:val="24"/>
          <w:szCs w:val="24"/>
          <w:lang w:val="en-GB" w:bidi="fa-IR"/>
        </w:rPr>
        <w:t>The 4</w:t>
      </w:r>
      <w:r w:rsidR="00676DF9">
        <w:rPr>
          <w:rFonts w:asciiTheme="majorBidi" w:hAnsiTheme="majorBidi" w:cstheme="majorBidi"/>
          <w:sz w:val="24"/>
          <w:szCs w:val="24"/>
          <w:lang w:val="en-GB" w:bidi="fa-IR"/>
        </w:rPr>
        <w:t>-</w:t>
      </w:r>
      <w:r w:rsidR="00011ECC" w:rsidRPr="00F71F57">
        <w:rPr>
          <w:rFonts w:asciiTheme="majorBidi" w:hAnsiTheme="majorBidi" w:cstheme="majorBidi"/>
          <w:sz w:val="24"/>
          <w:szCs w:val="24"/>
          <w:lang w:val="en-GB" w:bidi="fa-IR"/>
        </w:rPr>
        <w:t xml:space="preserve">CGT is designed to assess decision-making strategies and risk preferences in rodents. In this paradigm, mice choose between options that present different probabilities of rewards, allowing researchers to calculate the tendencies toward riskier versus safer choices. </w:t>
      </w:r>
      <w:r w:rsidR="00011ECC" w:rsidRPr="00F71F57">
        <w:rPr>
          <w:rFonts w:asciiTheme="majorBidi" w:hAnsiTheme="majorBidi" w:cstheme="majorBidi"/>
          <w:sz w:val="24"/>
          <w:szCs w:val="24"/>
          <w:lang w:val="en-GB" w:bidi="fa-IR"/>
        </w:rPr>
        <w:fldChar w:fldCharType="begin"/>
      </w:r>
      <w:r w:rsidR="00011ECC" w:rsidRPr="00F71F57">
        <w:rPr>
          <w:rFonts w:asciiTheme="majorBidi" w:hAnsiTheme="majorBidi" w:cstheme="majorBidi"/>
          <w:sz w:val="24"/>
          <w:szCs w:val="24"/>
          <w:lang w:val="en-GB" w:bidi="fa-IR"/>
        </w:rPr>
        <w:instrText xml:space="preserve"> ADDIN EN.CITE &lt;EndNote&gt;&lt;Cite&gt;&lt;Author&gt;Openshaw&lt;/Author&gt;&lt;Year&gt;2022&lt;/Year&gt;&lt;RecNum&gt;289&lt;/RecNum&gt;&lt;DisplayText&gt;(Openshaw et al., 2022)&lt;/DisplayText&gt;&lt;record&gt;&lt;rec-number&gt;289&lt;/rec-number&gt;&lt;foreign-keys&gt;&lt;key app="EN" db-id="2ptrtps0adr9vke22dn5tpwzrsfaxtxrfwet" timestamp="1755807112"&gt;289&lt;/key&gt;&lt;/foreign-keys&gt;&lt;ref-type name="Journal Article"&gt;17&lt;/ref-type&gt;&lt;contributors&gt;&lt;authors&gt;&lt;author&gt;Openshaw, Rebecca L.&lt;/author&gt;&lt;author&gt;Pratt, Judith A.&lt;/author&gt;&lt;author&gt;Morris, Brian&lt;/author&gt;&lt;/authors&gt;&lt;/contributors&gt;&lt;titles&gt;&lt;title&gt;The Schizophrenia Risk Gene &amp;lt;i&amp;gt;Map2k7&amp;lt;/I&amp;gt; Regulates Responding in a Novel Contingency-Shifting Rodent Touchscreen Gambling Task&lt;/title&gt;&lt;secondary-title&gt;Disease Models &amp;amp; Mechanisms&lt;/secondary-title&gt;&lt;/titles&gt;&lt;periodical&gt;&lt;full-title&gt;Disease Models &amp;amp; Mechanisms&lt;/full-title&gt;&lt;/periodical&gt;&lt;volume&gt;15&lt;/volume&gt;&lt;number&gt;3&lt;/number&gt;&lt;dates&gt;&lt;year&gt;2022&lt;/year&gt;&lt;/dates&gt;&lt;urls&gt;&lt;/urls&gt;&lt;electronic-resource-num&gt;10.1242/dmm.049310&lt;/electronic-resource-num&gt;&lt;/record&gt;&lt;/Cite&gt;&lt;/EndNote&gt;</w:instrText>
      </w:r>
      <w:r w:rsidR="00011ECC" w:rsidRPr="00F71F57">
        <w:rPr>
          <w:rFonts w:asciiTheme="majorBidi" w:hAnsiTheme="majorBidi" w:cstheme="majorBidi"/>
          <w:sz w:val="24"/>
          <w:szCs w:val="24"/>
          <w:lang w:val="en-GB" w:bidi="fa-IR"/>
        </w:rPr>
        <w:fldChar w:fldCharType="separate"/>
      </w:r>
      <w:r w:rsidR="00011ECC" w:rsidRPr="00F71F57">
        <w:rPr>
          <w:rFonts w:asciiTheme="majorBidi" w:hAnsiTheme="majorBidi" w:cstheme="majorBidi"/>
          <w:sz w:val="24"/>
          <w:szCs w:val="24"/>
          <w:lang w:val="en-GB" w:bidi="fa-IR"/>
        </w:rPr>
        <w:t>(</w:t>
      </w:r>
      <w:hyperlink w:anchor="_ENREF_175" w:tooltip="Openshaw, 2022 #289" w:history="1">
        <w:r w:rsidR="00DE113E" w:rsidRPr="00F71F57">
          <w:rPr>
            <w:rFonts w:asciiTheme="majorBidi" w:hAnsiTheme="majorBidi" w:cstheme="majorBidi"/>
            <w:sz w:val="24"/>
            <w:szCs w:val="24"/>
            <w:lang w:val="en-GB" w:bidi="fa-IR"/>
          </w:rPr>
          <w:t>Openshaw et al., 2022</w:t>
        </w:r>
      </w:hyperlink>
      <w:r w:rsidR="00011ECC" w:rsidRPr="00F71F57">
        <w:rPr>
          <w:rFonts w:asciiTheme="majorBidi" w:hAnsiTheme="majorBidi" w:cstheme="majorBidi"/>
          <w:sz w:val="24"/>
          <w:szCs w:val="24"/>
          <w:lang w:val="en-GB" w:bidi="fa-IR"/>
        </w:rPr>
        <w:t>)</w:t>
      </w:r>
      <w:r w:rsidR="00011ECC" w:rsidRPr="00F71F57">
        <w:rPr>
          <w:rFonts w:asciiTheme="majorBidi" w:hAnsiTheme="majorBidi" w:cstheme="majorBidi"/>
          <w:sz w:val="24"/>
          <w:szCs w:val="24"/>
          <w:lang w:val="en-GB" w:bidi="fa-IR"/>
        </w:rPr>
        <w:fldChar w:fldCharType="end"/>
      </w:r>
      <w:r w:rsidR="00011ECC" w:rsidRPr="00F71F57">
        <w:rPr>
          <w:rFonts w:asciiTheme="majorBidi" w:hAnsiTheme="majorBidi" w:cstheme="majorBidi"/>
          <w:sz w:val="24"/>
          <w:szCs w:val="24"/>
          <w:lang w:val="en-GB" w:bidi="fa-IR"/>
        </w:rPr>
        <w:t xml:space="preserve">. demonstrated that mice exhibited a structured pattern of responding by avoiding high-risk, high-reward options more than the advantageous options of frequent, small rewards. Such </w:t>
      </w:r>
      <w:r w:rsidR="000654B1" w:rsidRPr="00F71F57">
        <w:rPr>
          <w:rFonts w:asciiTheme="majorBidi" w:hAnsiTheme="majorBidi" w:cstheme="majorBidi"/>
          <w:sz w:val="24"/>
          <w:szCs w:val="24"/>
          <w:lang w:val="en-GB" w:bidi="fa-IR"/>
        </w:rPr>
        <w:t>behaviour</w:t>
      </w:r>
      <w:r w:rsidR="00011ECC" w:rsidRPr="00F71F57">
        <w:rPr>
          <w:rFonts w:asciiTheme="majorBidi" w:hAnsiTheme="majorBidi" w:cstheme="majorBidi"/>
          <w:sz w:val="24"/>
          <w:szCs w:val="24"/>
          <w:lang w:val="en-GB" w:bidi="fa-IR"/>
        </w:rPr>
        <w:t xml:space="preserve"> parallels findings in human studies, indicating that the 4</w:t>
      </w:r>
      <w:r w:rsidR="00676DF9">
        <w:rPr>
          <w:rFonts w:asciiTheme="majorBidi" w:hAnsiTheme="majorBidi" w:cstheme="majorBidi"/>
          <w:sz w:val="24"/>
          <w:szCs w:val="24"/>
          <w:lang w:val="en-GB" w:bidi="fa-IR"/>
        </w:rPr>
        <w:t>-</w:t>
      </w:r>
      <w:r w:rsidR="00011ECC" w:rsidRPr="00F71F57">
        <w:rPr>
          <w:rFonts w:asciiTheme="majorBidi" w:hAnsiTheme="majorBidi" w:cstheme="majorBidi"/>
          <w:sz w:val="24"/>
          <w:szCs w:val="24"/>
          <w:lang w:val="en-GB" w:bidi="fa-IR"/>
        </w:rPr>
        <w:t xml:space="preserve">CGT can evoke similar cognitive strategies and risk assessment patterns. This paradigm engages various neural circuits, particularly those in the prefrontal cortex (PFC) and </w:t>
      </w:r>
      <w:r w:rsidR="00011ECC" w:rsidRPr="00F71F57">
        <w:rPr>
          <w:rFonts w:asciiTheme="majorBidi" w:hAnsiTheme="majorBidi" w:cstheme="majorBidi"/>
          <w:sz w:val="24"/>
          <w:szCs w:val="24"/>
          <w:lang w:val="en-GB" w:bidi="fa-IR"/>
        </w:rPr>
        <w:lastRenderedPageBreak/>
        <w:t xml:space="preserve">striatum, highlighting their roles in adaptive decision-making processes </w:t>
      </w:r>
      <w:r w:rsidR="00011ECC" w:rsidRPr="00F71F57">
        <w:rPr>
          <w:rFonts w:asciiTheme="majorBidi" w:hAnsiTheme="majorBidi" w:cstheme="majorBidi"/>
          <w:sz w:val="24"/>
          <w:szCs w:val="24"/>
          <w:lang w:val="en-GB" w:bidi="fa-IR"/>
        </w:rPr>
        <w:fldChar w:fldCharType="begin"/>
      </w:r>
      <w:r w:rsidR="00011ECC" w:rsidRPr="00F71F57">
        <w:rPr>
          <w:rFonts w:asciiTheme="majorBidi" w:hAnsiTheme="majorBidi" w:cstheme="majorBidi"/>
          <w:sz w:val="24"/>
          <w:szCs w:val="24"/>
          <w:lang w:val="en-GB" w:bidi="fa-IR"/>
        </w:rPr>
        <w:instrText xml:space="preserve"> ADDIN EN.CITE &lt;EndNote&gt;&lt;Cite&gt;&lt;Author&gt;Thomson&lt;/Author&gt;&lt;Year&gt;2020&lt;/Year&gt;&lt;RecNum&gt;290&lt;/RecNum&gt;&lt;DisplayText&gt;(Thomson et al., 2020)&lt;/DisplayText&gt;&lt;record&gt;&lt;rec-number&gt;290&lt;/rec-number&gt;&lt;foreign-keys&gt;&lt;key app="EN" db-id="2ptrtps0adr9vke22dn5tpwzrsfaxtxrfwet" timestamp="1755807141"&gt;290&lt;/key&gt;&lt;/foreign-keys&gt;&lt;ref-type name="Journal Article"&gt;17&lt;/ref-type&gt;&lt;contributors&gt;&lt;authors&gt;&lt;author&gt;Thomson, David M.&lt;/author&gt;&lt;author&gt;Openshaw, Rebecca L.&lt;/author&gt;&lt;author&gt;Mitchell, Emma J.&lt;/author&gt;&lt;author&gt;Kouskou, Marianna&lt;/author&gt;&lt;author&gt;Millan, Mark J.&lt;/author&gt;&lt;author&gt;Cour, Clotilde Mannoury la&lt;/author&gt;&lt;author&gt;Morris, Brian&lt;/author&gt;&lt;author&gt;Pratt, Judith A.&lt;/author&gt;&lt;/authors&gt;&lt;/contributors&gt;&lt;titles&gt;&lt;title&gt;Impaired Working Memory, Cognitive Flexibility and Reward Processing in Mice Genetically Lacking Gpr88: Evidence for a Key Role for Gpr88 in Multiple Cortico‐striatal‐thalamic Circuits&lt;/title&gt;&lt;secondary-title&gt;Genes Brain &amp;amp; Behavior&lt;/secondary-title&gt;&lt;/titles&gt;&lt;periodical&gt;&lt;full-title&gt;Genes Brain &amp;amp; Behavior&lt;/full-title&gt;&lt;/periodical&gt;&lt;volume&gt;20&lt;/volume&gt;&lt;number&gt;2&lt;/number&gt;&lt;dates&gt;&lt;year&gt;2020&lt;/year&gt;&lt;/dates&gt;&lt;urls&gt;&lt;/urls&gt;&lt;electronic-resource-num&gt;10.1111/gbb.12710&lt;/electronic-resource-num&gt;&lt;/record&gt;&lt;/Cite&gt;&lt;/EndNote&gt;</w:instrText>
      </w:r>
      <w:r w:rsidR="00011ECC" w:rsidRPr="00F71F57">
        <w:rPr>
          <w:rFonts w:asciiTheme="majorBidi" w:hAnsiTheme="majorBidi" w:cstheme="majorBidi"/>
          <w:sz w:val="24"/>
          <w:szCs w:val="24"/>
          <w:lang w:val="en-GB" w:bidi="fa-IR"/>
        </w:rPr>
        <w:fldChar w:fldCharType="separate"/>
      </w:r>
      <w:r w:rsidR="00011ECC" w:rsidRPr="00F71F57">
        <w:rPr>
          <w:rFonts w:asciiTheme="majorBidi" w:hAnsiTheme="majorBidi" w:cstheme="majorBidi"/>
          <w:sz w:val="24"/>
          <w:szCs w:val="24"/>
          <w:lang w:val="en-GB" w:bidi="fa-IR"/>
        </w:rPr>
        <w:t>(</w:t>
      </w:r>
      <w:hyperlink w:anchor="_ENREF_248" w:tooltip="Thomson, 2020 #290" w:history="1">
        <w:r w:rsidR="00DE113E" w:rsidRPr="00F71F57">
          <w:rPr>
            <w:rFonts w:asciiTheme="majorBidi" w:hAnsiTheme="majorBidi" w:cstheme="majorBidi"/>
            <w:sz w:val="24"/>
            <w:szCs w:val="24"/>
            <w:lang w:val="en-GB" w:bidi="fa-IR"/>
          </w:rPr>
          <w:t>Thomson et al., 2020</w:t>
        </w:r>
      </w:hyperlink>
      <w:r w:rsidR="00011ECC" w:rsidRPr="00F71F57">
        <w:rPr>
          <w:rFonts w:asciiTheme="majorBidi" w:hAnsiTheme="majorBidi" w:cstheme="majorBidi"/>
          <w:sz w:val="24"/>
          <w:szCs w:val="24"/>
          <w:lang w:val="en-GB" w:bidi="fa-IR"/>
        </w:rPr>
        <w:t>)</w:t>
      </w:r>
      <w:r w:rsidR="00011ECC" w:rsidRPr="00F71F57">
        <w:rPr>
          <w:rFonts w:asciiTheme="majorBidi" w:hAnsiTheme="majorBidi" w:cstheme="majorBidi"/>
          <w:sz w:val="24"/>
          <w:szCs w:val="24"/>
          <w:lang w:val="en-GB" w:bidi="fa-IR"/>
        </w:rPr>
        <w:fldChar w:fldCharType="end"/>
      </w:r>
      <w:r w:rsidR="00011ECC" w:rsidRPr="00F71F57">
        <w:rPr>
          <w:rFonts w:asciiTheme="majorBidi" w:hAnsiTheme="majorBidi" w:cstheme="majorBidi"/>
          <w:sz w:val="24"/>
          <w:szCs w:val="24"/>
          <w:lang w:val="en-GB" w:bidi="fa-IR"/>
        </w:rPr>
        <w:t>.</w:t>
      </w:r>
      <w:r w:rsidR="00BA0997" w:rsidRPr="00F71F57">
        <w:rPr>
          <w:rFonts w:asciiTheme="majorBidi" w:hAnsiTheme="majorBidi" w:cstheme="majorBidi"/>
          <w:sz w:val="24"/>
          <w:szCs w:val="24"/>
          <w:lang w:val="en-GB" w:bidi="fa-IR"/>
        </w:rPr>
        <w:t xml:space="preserve"> Touchscreen technology not only facilitates the 4</w:t>
      </w:r>
      <w:r w:rsidR="00676DF9">
        <w:rPr>
          <w:rFonts w:asciiTheme="majorBidi" w:hAnsiTheme="majorBidi" w:cstheme="majorBidi"/>
          <w:sz w:val="24"/>
          <w:szCs w:val="24"/>
          <w:lang w:val="en-GB" w:bidi="fa-IR"/>
        </w:rPr>
        <w:t>-</w:t>
      </w:r>
      <w:r w:rsidR="00BA0997" w:rsidRPr="00F71F57">
        <w:rPr>
          <w:rFonts w:asciiTheme="majorBidi" w:hAnsiTheme="majorBidi" w:cstheme="majorBidi"/>
          <w:sz w:val="24"/>
          <w:szCs w:val="24"/>
          <w:lang w:val="en-GB" w:bidi="fa-IR"/>
        </w:rPr>
        <w:t xml:space="preserve">CGT but also enhances precision in measuring motivation and reward-seeking behavior in rodents. This technology allows researchers to design tasks that reveal how rewards or interactive stimuli influence operant behavior across different motivational states </w:t>
      </w:r>
      <w:r w:rsidR="00BA0997" w:rsidRPr="00F71F57">
        <w:rPr>
          <w:rFonts w:asciiTheme="majorBidi" w:hAnsiTheme="majorBidi" w:cstheme="majorBidi"/>
          <w:sz w:val="24"/>
          <w:szCs w:val="24"/>
          <w:lang w:val="en-GB" w:bidi="fa-IR"/>
        </w:rPr>
        <w:fldChar w:fldCharType="begin"/>
      </w:r>
      <w:r w:rsidR="00BA0997" w:rsidRPr="00F71F57">
        <w:rPr>
          <w:rFonts w:asciiTheme="majorBidi" w:hAnsiTheme="majorBidi" w:cstheme="majorBidi"/>
          <w:sz w:val="24"/>
          <w:szCs w:val="24"/>
          <w:lang w:val="en-GB" w:bidi="fa-IR"/>
        </w:rPr>
        <w:instrText xml:space="preserve"> ADDIN EN.CITE &lt;EndNote&gt;&lt;Cite&gt;&lt;Author&gt;Heath&lt;/Author&gt;&lt;Year&gt;2015&lt;/Year&gt;&lt;RecNum&gt;291&lt;/RecNum&gt;&lt;DisplayText&gt;(Heath et al., 2015)&lt;/DisplayText&gt;&lt;record&gt;&lt;rec-number&gt;291&lt;/rec-number&gt;&lt;foreign-keys&gt;&lt;key app="EN" db-id="2ptrtps0adr9vke22dn5tpwzrsfaxtxrfwet" timestamp="1755807797"&gt;291&lt;/key&gt;&lt;/foreign-keys&gt;&lt;ref-type name="Journal Article"&gt;17&lt;/ref-type&gt;&lt;contributors&gt;&lt;authors&gt;&lt;author&gt;Heath, Christopher J.&lt;/author&gt;&lt;author&gt;Bussey, Timothy J.&lt;/author&gt;&lt;author&gt;Saksida, Lisa M.&lt;/author&gt;&lt;/authors&gt;&lt;/contributors&gt;&lt;titles&gt;&lt;title&gt;Motivational assessment of mice using the touchscreen operant testing system: effects of dopaminergic drugs&lt;/title&gt;&lt;secondary-title&gt;Psychopharmacology&lt;/secondary-title&gt;&lt;/titles&gt;&lt;periodical&gt;&lt;full-title&gt;Psychopharmacology&lt;/full-title&gt;&lt;/periodical&gt;&lt;pages&gt;4043-4057&lt;/pages&gt;&lt;volume&gt;232&lt;/volume&gt;&lt;number&gt;21&lt;/number&gt;&lt;dates&gt;&lt;year&gt;2015&lt;/year&gt;&lt;pub-dates&gt;&lt;date&gt;2015/11/01&lt;/date&gt;&lt;/pub-dates&gt;&lt;/dates&gt;&lt;isbn&gt;1432-2072&lt;/isbn&gt;&lt;urls&gt;&lt;related-urls&gt;&lt;url&gt;https://doi.org/10.1007/s00213-015-4009-8&lt;/url&gt;&lt;/related-urls&gt;&lt;/urls&gt;&lt;electronic-resource-num&gt;10.1007/s00213-015-4009-8&lt;/electronic-resource-num&gt;&lt;/record&gt;&lt;/Cite&gt;&lt;/EndNote&gt;</w:instrText>
      </w:r>
      <w:r w:rsidR="00BA0997" w:rsidRPr="00F71F57">
        <w:rPr>
          <w:rFonts w:asciiTheme="majorBidi" w:hAnsiTheme="majorBidi" w:cstheme="majorBidi"/>
          <w:sz w:val="24"/>
          <w:szCs w:val="24"/>
          <w:lang w:val="en-GB" w:bidi="fa-IR"/>
        </w:rPr>
        <w:fldChar w:fldCharType="separate"/>
      </w:r>
      <w:r w:rsidR="00BA0997" w:rsidRPr="00F71F57">
        <w:rPr>
          <w:rFonts w:asciiTheme="majorBidi" w:hAnsiTheme="majorBidi" w:cstheme="majorBidi"/>
          <w:sz w:val="24"/>
          <w:szCs w:val="24"/>
          <w:lang w:val="en-GB" w:bidi="fa-IR"/>
        </w:rPr>
        <w:t>(</w:t>
      </w:r>
      <w:hyperlink w:anchor="_ENREF_100" w:tooltip="Heath, 2015 #291" w:history="1">
        <w:r w:rsidR="00DE113E" w:rsidRPr="00F71F57">
          <w:rPr>
            <w:rFonts w:asciiTheme="majorBidi" w:hAnsiTheme="majorBidi" w:cstheme="majorBidi"/>
            <w:sz w:val="24"/>
            <w:szCs w:val="24"/>
            <w:lang w:val="en-GB" w:bidi="fa-IR"/>
          </w:rPr>
          <w:t>Heath et al., 2015</w:t>
        </w:r>
      </w:hyperlink>
      <w:r w:rsidR="00BA0997" w:rsidRPr="00F71F57">
        <w:rPr>
          <w:rFonts w:asciiTheme="majorBidi" w:hAnsiTheme="majorBidi" w:cstheme="majorBidi"/>
          <w:sz w:val="24"/>
          <w:szCs w:val="24"/>
          <w:lang w:val="en-GB" w:bidi="fa-IR"/>
        </w:rPr>
        <w:t>)</w:t>
      </w:r>
      <w:r w:rsidR="00BA0997" w:rsidRPr="00F71F57">
        <w:rPr>
          <w:rFonts w:asciiTheme="majorBidi" w:hAnsiTheme="majorBidi" w:cstheme="majorBidi"/>
          <w:sz w:val="24"/>
          <w:szCs w:val="24"/>
          <w:lang w:val="en-GB" w:bidi="fa-IR"/>
        </w:rPr>
        <w:fldChar w:fldCharType="end"/>
      </w:r>
      <w:r w:rsidR="00BA0997" w:rsidRPr="00F71F57">
        <w:rPr>
          <w:rFonts w:asciiTheme="majorBidi" w:hAnsiTheme="majorBidi" w:cstheme="majorBidi"/>
          <w:sz w:val="24"/>
          <w:szCs w:val="24"/>
          <w:lang w:val="en-GB" w:bidi="fa-IR"/>
        </w:rPr>
        <w:t xml:space="preserve">. Evidence suggests that strategy adjustments in response to changing reward contingencies are critical for understanding decision-making processes under uncertainty, paralleling challenges faced by humans with potential gambling disorders </w:t>
      </w:r>
      <w:r w:rsidR="00BA0997" w:rsidRPr="00F71F57">
        <w:rPr>
          <w:rFonts w:asciiTheme="majorBidi" w:hAnsiTheme="majorBidi" w:cstheme="majorBidi"/>
          <w:sz w:val="24"/>
          <w:szCs w:val="24"/>
          <w:lang w:val="en-GB" w:bidi="fa-IR"/>
        </w:rPr>
        <w:fldChar w:fldCharType="begin"/>
      </w:r>
      <w:r w:rsidR="00BA0997" w:rsidRPr="00F71F57">
        <w:rPr>
          <w:rFonts w:asciiTheme="majorBidi" w:hAnsiTheme="majorBidi" w:cstheme="majorBidi"/>
          <w:sz w:val="24"/>
          <w:szCs w:val="24"/>
          <w:lang w:val="en-GB" w:bidi="fa-IR"/>
        </w:rPr>
        <w:instrText xml:space="preserve"> ADDIN EN.CITE &lt;EndNote&gt;&lt;Cite&gt;&lt;Author&gt;Enkhuizen&lt;/Author&gt;&lt;Year&gt;2012&lt;/Year&gt;&lt;RecNum&gt;292&lt;/RecNum&gt;&lt;DisplayText&gt;(Enkhuizen et al., 2012)&lt;/DisplayText&gt;&lt;record&gt;&lt;rec-number&gt;292&lt;/rec-number&gt;&lt;foreign-keys&gt;&lt;key app="EN" db-id="2ptrtps0adr9vke22dn5tpwzrsfaxtxrfwet" timestamp="1755807951"&gt;292&lt;/key&gt;&lt;/foreign-keys&gt;&lt;ref-type name="Journal Article"&gt;17&lt;/ref-type&gt;&lt;contributors&gt;&lt;authors&gt;&lt;author&gt;Enkhuizen, Jordy van&lt;/author&gt;&lt;author&gt;Geyer, Mark A.&lt;/author&gt;&lt;author&gt;Young, Jared W.&lt;/author&gt;&lt;/authors&gt;&lt;/contributors&gt;&lt;titles&gt;&lt;title&gt;Differential Effects of Dopamine Transporter Inhibitors in the Rodent Iowa Gambling Task&lt;/title&gt;&lt;secondary-title&gt;Psychopharmacology&lt;/secondary-title&gt;&lt;/titles&gt;&lt;periodical&gt;&lt;full-title&gt;Psychopharmacology&lt;/full-title&gt;&lt;/periodical&gt;&lt;pages&gt;661-674&lt;/pages&gt;&lt;volume&gt;225&lt;/volume&gt;&lt;number&gt;3&lt;/number&gt;&lt;dates&gt;&lt;year&gt;2012&lt;/year&gt;&lt;/dates&gt;&lt;urls&gt;&lt;/urls&gt;&lt;electronic-resource-num&gt;10.1007/s00213-012-2854-2&lt;/electronic-resource-num&gt;&lt;/record&gt;&lt;/Cite&gt;&lt;/EndNote&gt;</w:instrText>
      </w:r>
      <w:r w:rsidR="00BA0997" w:rsidRPr="00F71F57">
        <w:rPr>
          <w:rFonts w:asciiTheme="majorBidi" w:hAnsiTheme="majorBidi" w:cstheme="majorBidi"/>
          <w:sz w:val="24"/>
          <w:szCs w:val="24"/>
          <w:lang w:val="en-GB" w:bidi="fa-IR"/>
        </w:rPr>
        <w:fldChar w:fldCharType="separate"/>
      </w:r>
      <w:r w:rsidR="00BA0997" w:rsidRPr="00F71F57">
        <w:rPr>
          <w:rFonts w:asciiTheme="majorBidi" w:hAnsiTheme="majorBidi" w:cstheme="majorBidi"/>
          <w:sz w:val="24"/>
          <w:szCs w:val="24"/>
          <w:lang w:val="en-GB" w:bidi="fa-IR"/>
        </w:rPr>
        <w:t>(</w:t>
      </w:r>
      <w:hyperlink w:anchor="_ENREF_73" w:tooltip="Enkhuizen, 2012 #287" w:history="1">
        <w:r w:rsidR="00DE113E" w:rsidRPr="00F71F57">
          <w:rPr>
            <w:rFonts w:asciiTheme="majorBidi" w:hAnsiTheme="majorBidi" w:cstheme="majorBidi"/>
            <w:sz w:val="24"/>
            <w:szCs w:val="24"/>
            <w:lang w:val="en-GB" w:bidi="fa-IR"/>
          </w:rPr>
          <w:t>Enkhuizen et al., 2012</w:t>
        </w:r>
      </w:hyperlink>
      <w:r w:rsidR="00BA0997" w:rsidRPr="00F71F57">
        <w:rPr>
          <w:rFonts w:asciiTheme="majorBidi" w:hAnsiTheme="majorBidi" w:cstheme="majorBidi"/>
          <w:sz w:val="24"/>
          <w:szCs w:val="24"/>
          <w:lang w:val="en-GB" w:bidi="fa-IR"/>
        </w:rPr>
        <w:t>)</w:t>
      </w:r>
      <w:r w:rsidR="00BA0997" w:rsidRPr="00F71F57">
        <w:rPr>
          <w:rFonts w:asciiTheme="majorBidi" w:hAnsiTheme="majorBidi" w:cstheme="majorBidi"/>
          <w:sz w:val="24"/>
          <w:szCs w:val="24"/>
          <w:lang w:val="en-GB" w:bidi="fa-IR"/>
        </w:rPr>
        <w:fldChar w:fldCharType="end"/>
      </w:r>
      <w:r w:rsidR="00BA0997" w:rsidRPr="00F71F57">
        <w:rPr>
          <w:rFonts w:asciiTheme="majorBidi" w:hAnsiTheme="majorBidi" w:cstheme="majorBidi"/>
          <w:sz w:val="24"/>
          <w:szCs w:val="24"/>
          <w:lang w:val="en-GB" w:bidi="fa-IR"/>
        </w:rPr>
        <w:t>.</w:t>
      </w:r>
    </w:p>
    <w:p w14:paraId="7801642F" w14:textId="77777777" w:rsidR="00EE365E" w:rsidRPr="00F71F57" w:rsidRDefault="00EE365E" w:rsidP="00CD6C40">
      <w:pPr>
        <w:spacing w:line="360" w:lineRule="auto"/>
        <w:ind w:left="1080"/>
        <w:jc w:val="both"/>
        <w:rPr>
          <w:rFonts w:asciiTheme="majorBidi" w:hAnsiTheme="majorBidi" w:cstheme="majorBidi"/>
          <w:sz w:val="24"/>
          <w:szCs w:val="24"/>
          <w:lang w:val="en-GB" w:bidi="fa-IR"/>
        </w:rPr>
      </w:pPr>
    </w:p>
    <w:p w14:paraId="32060737" w14:textId="294DB8F4" w:rsidR="004B5E72" w:rsidRPr="00F71F57" w:rsidRDefault="00600873" w:rsidP="00D623DE">
      <w:pPr>
        <w:pStyle w:val="Heading3"/>
        <w:ind w:left="1080"/>
        <w:rPr>
          <w:lang w:val="en-GB" w:bidi="fa-IR"/>
        </w:rPr>
      </w:pPr>
      <w:bookmarkStart w:id="30" w:name="_Toc214875837"/>
      <w:r w:rsidRPr="00F71F57">
        <w:rPr>
          <w:lang w:val="en-GB" w:bidi="fa-IR"/>
        </w:rPr>
        <w:t>1.2.4 Neuroplasticity and Cognitive Reserve</w:t>
      </w:r>
      <w:bookmarkEnd w:id="30"/>
    </w:p>
    <w:p w14:paraId="4C0F7FAC" w14:textId="36B39941" w:rsidR="001718B7" w:rsidRPr="00F71F57" w:rsidRDefault="001718B7"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 xml:space="preserve">Neuroplasticity and cognitive reserve are critical concepts in understanding how individuals cope with neurodegenerative diseases and cognitive decline. Neuroplasticity refers to the brain’s ability to reorganize itself by forming new neural connections, enabling it to adjust to new situations or recover from injuries </w:t>
      </w:r>
      <w:r w:rsidR="00F9578A" w:rsidRPr="00F71F57">
        <w:rPr>
          <w:rFonts w:asciiTheme="majorBidi" w:hAnsiTheme="majorBidi" w:cstheme="majorBidi"/>
          <w:sz w:val="24"/>
          <w:szCs w:val="24"/>
          <w:lang w:val="en-GB" w:bidi="fa-IR"/>
        </w:rPr>
        <w:fldChar w:fldCharType="begin"/>
      </w:r>
      <w:r w:rsidR="00F9578A" w:rsidRPr="00F71F57">
        <w:rPr>
          <w:rFonts w:asciiTheme="majorBidi" w:hAnsiTheme="majorBidi" w:cstheme="majorBidi"/>
          <w:sz w:val="24"/>
          <w:szCs w:val="24"/>
          <w:lang w:val="en-GB" w:bidi="fa-IR"/>
        </w:rPr>
        <w:instrText xml:space="preserve"> ADDIN EN.CITE &lt;EndNote&gt;&lt;Cite&gt;&lt;Author&gt;Borroni&lt;/Author&gt;&lt;Year&gt;2012&lt;/Year&gt;&lt;RecNum&gt;181&lt;/RecNum&gt;&lt;DisplayText&gt;(Borroni et al., 2012)&lt;/DisplayText&gt;&lt;record&gt;&lt;rec-number&gt;181&lt;/rec-number&gt;&lt;foreign-keys&gt;&lt;key app="EN" db-id="2ptrtps0adr9vke22dn5tpwzrsfaxtxrfwet" timestamp="1755769584"&gt;181&lt;/key&gt;&lt;/foreign-keys&gt;&lt;ref-type name="Journal Article"&gt;17&lt;/ref-type&gt;&lt;contributors&gt;&lt;authors&gt;&lt;author&gt;Borroni, Barbara&lt;/author&gt;&lt;author&gt;Premi, Enrico&lt;/author&gt;&lt;author&gt;Bozzali, Marco&lt;/author&gt;&lt;author&gt;Padovani, Alessandro&lt;/author&gt;&lt;/authors&gt;&lt;/contributors&gt;&lt;titles&gt;&lt;title&gt;Reserve Mechanisms in Neurodegenerative Diseases: From Bench to Bedside and Back Again&lt;/title&gt;&lt;secondary-title&gt;Current Medicinal Chemistry&lt;/secondary-title&gt;&lt;/titles&gt;&lt;periodical&gt;&lt;full-title&gt;Current Medicinal Chemistry&lt;/full-title&gt;&lt;/periodical&gt;&lt;pages&gt;6112-6118&lt;/pages&gt;&lt;volume&gt;19&lt;/volume&gt;&lt;number&gt;36&lt;/number&gt;&lt;dates&gt;&lt;year&gt;2012&lt;/year&gt;&lt;/dates&gt;&lt;urls&gt;&lt;/urls&gt;&lt;electronic-resource-num&gt;10.2174/092986712804485737&lt;/electronic-resource-num&gt;&lt;/record&gt;&lt;/Cite&gt;&lt;/EndNote&gt;</w:instrText>
      </w:r>
      <w:r w:rsidR="00F9578A" w:rsidRPr="00F71F57">
        <w:rPr>
          <w:rFonts w:asciiTheme="majorBidi" w:hAnsiTheme="majorBidi" w:cstheme="majorBidi"/>
          <w:sz w:val="24"/>
          <w:szCs w:val="24"/>
          <w:lang w:val="en-GB" w:bidi="fa-IR"/>
        </w:rPr>
        <w:fldChar w:fldCharType="separate"/>
      </w:r>
      <w:r w:rsidR="00F9578A" w:rsidRPr="00F71F57">
        <w:rPr>
          <w:rFonts w:asciiTheme="majorBidi" w:hAnsiTheme="majorBidi" w:cstheme="majorBidi"/>
          <w:sz w:val="24"/>
          <w:szCs w:val="24"/>
          <w:lang w:val="en-GB" w:bidi="fa-IR"/>
        </w:rPr>
        <w:t>(</w:t>
      </w:r>
      <w:hyperlink w:anchor="_ENREF_25" w:tooltip="Borroni, 2012 #181" w:history="1">
        <w:r w:rsidR="00DE113E" w:rsidRPr="00F71F57">
          <w:rPr>
            <w:rFonts w:asciiTheme="majorBidi" w:hAnsiTheme="majorBidi" w:cstheme="majorBidi"/>
            <w:sz w:val="24"/>
            <w:szCs w:val="24"/>
            <w:lang w:val="en-GB" w:bidi="fa-IR"/>
          </w:rPr>
          <w:t>Borroni et al., 2012</w:t>
        </w:r>
      </w:hyperlink>
      <w:r w:rsidR="00F9578A" w:rsidRPr="00F71F57">
        <w:rPr>
          <w:rFonts w:asciiTheme="majorBidi" w:hAnsiTheme="majorBidi" w:cstheme="majorBidi"/>
          <w:sz w:val="24"/>
          <w:szCs w:val="24"/>
          <w:lang w:val="en-GB" w:bidi="fa-IR"/>
        </w:rPr>
        <w:t>)</w:t>
      </w:r>
      <w:r w:rsidR="00F9578A" w:rsidRPr="00F71F57">
        <w:rPr>
          <w:rFonts w:asciiTheme="majorBidi" w:hAnsiTheme="majorBidi" w:cstheme="majorBidi"/>
          <w:sz w:val="24"/>
          <w:szCs w:val="24"/>
          <w:lang w:val="en-GB" w:bidi="fa-IR"/>
        </w:rPr>
        <w:fldChar w:fldCharType="end"/>
      </w:r>
      <w:r w:rsidR="00F9578A"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Cognitive reserve, on the other hand, embodies the brain's resilience against the pathological processes of aging and neurodegeneration, allowing individuals to maintain cognitive functions despite significant cerebral damage </w:t>
      </w:r>
      <w:r w:rsidR="00F9578A" w:rsidRPr="00F71F57">
        <w:rPr>
          <w:rFonts w:asciiTheme="majorBidi" w:hAnsiTheme="majorBidi" w:cstheme="majorBidi"/>
          <w:sz w:val="24"/>
          <w:szCs w:val="24"/>
          <w:lang w:val="en-GB" w:bidi="fa-IR"/>
        </w:rPr>
        <w:fldChar w:fldCharType="begin"/>
      </w:r>
      <w:r w:rsidR="00F9578A" w:rsidRPr="00F71F57">
        <w:rPr>
          <w:rFonts w:asciiTheme="majorBidi" w:hAnsiTheme="majorBidi" w:cstheme="majorBidi"/>
          <w:sz w:val="24"/>
          <w:szCs w:val="24"/>
          <w:lang w:val="en-GB" w:bidi="fa-IR"/>
        </w:rPr>
        <w:instrText xml:space="preserve"> ADDIN EN.CITE &lt;EndNote&gt;&lt;Cite&gt;&lt;Author&gt;Stern&lt;/Author&gt;&lt;Year&gt;2009&lt;/Year&gt;&lt;RecNum&gt;182&lt;/RecNum&gt;&lt;DisplayText&gt;(Stern, 2009)&lt;/DisplayText&gt;&lt;record&gt;&lt;rec-number&gt;182&lt;/rec-number&gt;&lt;foreign-keys&gt;&lt;key app="EN" db-id="2ptrtps0adr9vke22dn5tpwzrsfaxtxrfwet" timestamp="1755769683"&gt;182&lt;/key&gt;&lt;/foreign-keys&gt;&lt;ref-type name="Journal Article"&gt;17&lt;/ref-type&gt;&lt;contributors&gt;&lt;authors&gt;&lt;author&gt;Stern, Yaakov&lt;/author&gt;&lt;/authors&gt;&lt;/contributors&gt;&lt;titles&gt;&lt;title&gt;Cognitive Reserve</w:instrText>
      </w:r>
      <w:r w:rsidR="00F9578A" w:rsidRPr="00F71F57">
        <w:rPr>
          <w:rFonts w:ascii="Segoe UI Symbol" w:hAnsi="Segoe UI Symbol" w:cs="Segoe UI Symbol"/>
          <w:sz w:val="24"/>
          <w:szCs w:val="24"/>
          <w:lang w:val="en-GB" w:bidi="fa-IR"/>
        </w:rPr>
        <w:instrText>☆</w:instrText>
      </w:r>
      <w:r w:rsidR="00F9578A" w:rsidRPr="00F71F57">
        <w:rPr>
          <w:rFonts w:asciiTheme="majorBidi" w:hAnsiTheme="majorBidi" w:cstheme="majorBidi"/>
          <w:sz w:val="24"/>
          <w:szCs w:val="24"/>
          <w:lang w:val="en-GB" w:bidi="fa-IR"/>
        </w:rPr>
        <w:instrText>&lt;/title&gt;&lt;secondary-title&gt;Neuropsychologia&lt;/secondary-title&gt;&lt;/titles&gt;&lt;periodical&gt;&lt;full-title&gt;Neuropsychologia&lt;/full-title&gt;&lt;/periodical&gt;&lt;pages&gt;2015-2028&lt;/pages&gt;&lt;volume&gt;47&lt;/volume&gt;&lt;number&gt;10&lt;/number&gt;&lt;dates&gt;&lt;year&gt;2009&lt;/year&gt;&lt;/dates&gt;&lt;urls&gt;&lt;/urls&gt;&lt;electronic-resource-num&gt;10.1016/j.neuropsychologia.2009.03.004&lt;/electronic-resource-num&gt;&lt;/record&gt;&lt;/Cite&gt;&lt;/EndNote&gt;</w:instrText>
      </w:r>
      <w:r w:rsidR="00F9578A" w:rsidRPr="00F71F57">
        <w:rPr>
          <w:rFonts w:asciiTheme="majorBidi" w:hAnsiTheme="majorBidi" w:cstheme="majorBidi"/>
          <w:sz w:val="24"/>
          <w:szCs w:val="24"/>
          <w:lang w:val="en-GB" w:bidi="fa-IR"/>
        </w:rPr>
        <w:fldChar w:fldCharType="separate"/>
      </w:r>
      <w:r w:rsidR="00F9578A" w:rsidRPr="00F71F57">
        <w:rPr>
          <w:rFonts w:asciiTheme="majorBidi" w:hAnsiTheme="majorBidi" w:cstheme="majorBidi"/>
          <w:sz w:val="24"/>
          <w:szCs w:val="24"/>
          <w:lang w:val="en-GB" w:bidi="fa-IR"/>
        </w:rPr>
        <w:t>(</w:t>
      </w:r>
      <w:hyperlink w:anchor="_ENREF_229" w:tooltip="Stern, 2009 #182" w:history="1">
        <w:r w:rsidR="00DE113E" w:rsidRPr="00F71F57">
          <w:rPr>
            <w:rFonts w:asciiTheme="majorBidi" w:hAnsiTheme="majorBidi" w:cstheme="majorBidi"/>
            <w:sz w:val="24"/>
            <w:szCs w:val="24"/>
            <w:lang w:val="en-GB" w:bidi="fa-IR"/>
          </w:rPr>
          <w:t>Stern, 2009</w:t>
        </w:r>
      </w:hyperlink>
      <w:r w:rsidR="00F9578A" w:rsidRPr="00F71F57">
        <w:rPr>
          <w:rFonts w:asciiTheme="majorBidi" w:hAnsiTheme="majorBidi" w:cstheme="majorBidi"/>
          <w:sz w:val="24"/>
          <w:szCs w:val="24"/>
          <w:lang w:val="en-GB" w:bidi="fa-IR"/>
        </w:rPr>
        <w:t>)</w:t>
      </w:r>
      <w:r w:rsidR="00F9578A"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This complex interplay between neuroplasticity and cognitive reserve is an area of active research, incorporating both clinical and preclinical findings that contribute to our understanding of neurodegenerative diseases.</w:t>
      </w:r>
      <w:r w:rsidR="0028388B"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Clinical studies have shown that individuals with a higher cognitive reserve—often associated with factors such as educational attainment, occupational complexity, and engaging in mentally stimulating activities—exhibit greater resilience to the cognitive decline associated with Alzheimer’s disease (AD) and other neurodegenerative conditions </w:t>
      </w:r>
      <w:r w:rsidR="00FC6D60" w:rsidRPr="00F71F57">
        <w:rPr>
          <w:rFonts w:asciiTheme="majorBidi" w:hAnsiTheme="majorBidi" w:cstheme="majorBidi"/>
          <w:sz w:val="24"/>
          <w:szCs w:val="24"/>
          <w:lang w:val="en-GB" w:bidi="fa-IR"/>
        </w:rPr>
        <w:fldChar w:fldCharType="begin"/>
      </w:r>
      <w:r w:rsidR="00FC6D60" w:rsidRPr="00F71F57">
        <w:rPr>
          <w:rFonts w:asciiTheme="majorBidi" w:hAnsiTheme="majorBidi" w:cstheme="majorBidi"/>
          <w:sz w:val="24"/>
          <w:szCs w:val="24"/>
          <w:lang w:val="en-GB" w:bidi="fa-IR"/>
        </w:rPr>
        <w:instrText xml:space="preserve"> ADDIN EN.CITE &lt;EndNote&gt;&lt;Cite&gt;&lt;Author&gt;Guan&lt;/Author&gt;&lt;Year&gt;2024&lt;/Year&gt;&lt;RecNum&gt;183&lt;/RecNum&gt;&lt;DisplayText&gt;(Guan et al., 2024)&lt;/DisplayText&gt;&lt;record&gt;&lt;rec-number&gt;183&lt;/rec-number&gt;&lt;foreign-keys&gt;&lt;key app="EN" db-id="2ptrtps0adr9vke22dn5tpwzrsfaxtxrfwet" timestamp="1755770383"&gt;183&lt;/key&gt;&lt;/foreign-keys&gt;&lt;ref-type name="Journal Article"&gt;17&lt;/ref-type&gt;&lt;contributors&gt;&lt;authors&gt;&lt;author&gt;Guan, Dylan X.&lt;/author&gt;&lt;author&gt;Mortby, Moyra E.&lt;/author&gt;&lt;author&gt;Pike, G. Bruce&lt;/author&gt;&lt;author&gt;Ballard, Clive&lt;/author&gt;&lt;author&gt;Creese, Byron&lt;/author&gt;&lt;author&gt;Corbett, Anne&lt;/author&gt;&lt;author&gt;Pickering, Ellie&lt;/author&gt;&lt;author&gt;Hampshire, Adam&lt;/author&gt;&lt;author&gt;Roach, Pamela&lt;/author&gt;&lt;author&gt;Smith, Eric E.&lt;/author&gt;&lt;author&gt;Ismail, Zahinoor&lt;/author&gt;&lt;/authors&gt;&lt;/contributors&gt;&lt;titles&gt;&lt;title&gt;Linking Cognitive and Behavioral Reserve: Evidence From the CAN‐PROTECT Study&lt;/title&gt;&lt;secondary-title&gt;Alzheimer S &amp;amp; Dementia Translational Research &amp;amp; Clinical Interventions&lt;/secondary-title&gt;&lt;/titles&gt;&lt;periodical&gt;&lt;full-title&gt;Alzheimer S &amp;amp; Dementia Translational Research &amp;amp; Clinical Interventions&lt;/full-title&gt;&lt;/periodical&gt;&lt;volume&gt;10&lt;/volume&gt;&lt;number&gt;4&lt;/number&gt;&lt;dates&gt;&lt;year&gt;2024&lt;/year&gt;&lt;/dates&gt;&lt;urls&gt;&lt;/urls&gt;&lt;electronic-resource-num&gt;10.1002/trc2.12497&lt;/electronic-resource-num&gt;&lt;/record&gt;&lt;/Cite&gt;&lt;/EndNote&gt;</w:instrText>
      </w:r>
      <w:r w:rsidR="00FC6D60" w:rsidRPr="00F71F57">
        <w:rPr>
          <w:rFonts w:asciiTheme="majorBidi" w:hAnsiTheme="majorBidi" w:cstheme="majorBidi"/>
          <w:sz w:val="24"/>
          <w:szCs w:val="24"/>
          <w:lang w:val="en-GB" w:bidi="fa-IR"/>
        </w:rPr>
        <w:fldChar w:fldCharType="separate"/>
      </w:r>
      <w:r w:rsidR="00FC6D60" w:rsidRPr="00F71F57">
        <w:rPr>
          <w:rFonts w:asciiTheme="majorBidi" w:hAnsiTheme="majorBidi" w:cstheme="majorBidi"/>
          <w:sz w:val="24"/>
          <w:szCs w:val="24"/>
          <w:lang w:val="en-GB" w:bidi="fa-IR"/>
        </w:rPr>
        <w:t>(</w:t>
      </w:r>
      <w:hyperlink w:anchor="_ENREF_92" w:tooltip="Guan, 2024 #183" w:history="1">
        <w:r w:rsidR="00DE113E" w:rsidRPr="00F71F57">
          <w:rPr>
            <w:rFonts w:asciiTheme="majorBidi" w:hAnsiTheme="majorBidi" w:cstheme="majorBidi"/>
            <w:sz w:val="24"/>
            <w:szCs w:val="24"/>
            <w:lang w:val="en-GB" w:bidi="fa-IR"/>
          </w:rPr>
          <w:t>Guan et al., 2024</w:t>
        </w:r>
      </w:hyperlink>
      <w:r w:rsidR="00FC6D60" w:rsidRPr="00F71F57">
        <w:rPr>
          <w:rFonts w:asciiTheme="majorBidi" w:hAnsiTheme="majorBidi" w:cstheme="majorBidi"/>
          <w:sz w:val="24"/>
          <w:szCs w:val="24"/>
          <w:lang w:val="en-GB" w:bidi="fa-IR"/>
        </w:rPr>
        <w:t>)</w:t>
      </w:r>
      <w:r w:rsidR="00FC6D60" w:rsidRPr="00F71F57">
        <w:rPr>
          <w:rFonts w:asciiTheme="majorBidi" w:hAnsiTheme="majorBidi" w:cstheme="majorBidi"/>
          <w:sz w:val="24"/>
          <w:szCs w:val="24"/>
          <w:lang w:val="en-GB" w:bidi="fa-IR"/>
        </w:rPr>
        <w:fldChar w:fldCharType="end"/>
      </w:r>
      <w:r w:rsidR="00FC6D60"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For instance, a higher cognitive reserve allows individuals to utilize alternative brain networks, compensating for damage and maintaining cognitive performance </w:t>
      </w:r>
      <w:r w:rsidR="00FC6D60" w:rsidRPr="00F71F57">
        <w:rPr>
          <w:rFonts w:asciiTheme="majorBidi" w:hAnsiTheme="majorBidi" w:cstheme="majorBidi"/>
          <w:sz w:val="24"/>
          <w:szCs w:val="24"/>
          <w:lang w:val="en-GB" w:bidi="fa-IR"/>
        </w:rPr>
        <w:fldChar w:fldCharType="begin"/>
      </w:r>
      <w:r w:rsidR="00FC6D60" w:rsidRPr="00F71F57">
        <w:rPr>
          <w:rFonts w:asciiTheme="majorBidi" w:hAnsiTheme="majorBidi" w:cstheme="majorBidi"/>
          <w:sz w:val="24"/>
          <w:szCs w:val="24"/>
          <w:lang w:val="en-GB" w:bidi="fa-IR"/>
        </w:rPr>
        <w:instrText xml:space="preserve"> ADDIN EN.CITE &lt;EndNote&gt;&lt;Cite&gt;&lt;Author&gt;Jicha&lt;/Author&gt;&lt;Year&gt;2013&lt;/Year&gt;&lt;RecNum&gt;184&lt;/RecNum&gt;&lt;DisplayText&gt;(Jicha &amp;amp; Rentz, 2013)&lt;/DisplayText&gt;&lt;record&gt;&lt;rec-number&gt;184&lt;/rec-number&gt;&lt;foreign-keys&gt;&lt;key app="EN" db-id="2ptrtps0adr9vke22dn5tpwzrsfaxtxrfwet" timestamp="1755770419"&gt;184&lt;/key&gt;&lt;/foreign-keys&gt;&lt;ref-type name="Journal Article"&gt;17&lt;/ref-type&gt;&lt;contributors&gt;&lt;authors&gt;&lt;author&gt;Jicha, Gregory A.&lt;/author&gt;&lt;author&gt;Rentz, Dorene M.&lt;/author&gt;&lt;/authors&gt;&lt;/contributors&gt;&lt;titles&gt;&lt;title&gt;Cognitive and Brain Reserve and the Diagnosis and Treatment of Preclinical Alzheimer Disease&lt;/title&gt;&lt;secondary-title&gt;Neurology&lt;/secondary-title&gt;&lt;/titles&gt;&lt;periodical&gt;&lt;full-title&gt;Neurology&lt;/full-title&gt;&lt;/periodical&gt;&lt;pages&gt;1180-1181&lt;/pages&gt;&lt;volume&gt;80&lt;/volume&gt;&lt;number&gt;13&lt;/number&gt;&lt;dates&gt;&lt;year&gt;2013&lt;/year&gt;&lt;/dates&gt;&lt;urls&gt;&lt;/urls&gt;&lt;electronic-resource-num&gt;10.1212/wnl.0b013e318289714a&lt;/electronic-resource-num&gt;&lt;/record&gt;&lt;/Cite&gt;&lt;/EndNote&gt;</w:instrText>
      </w:r>
      <w:r w:rsidR="00FC6D60" w:rsidRPr="00F71F57">
        <w:rPr>
          <w:rFonts w:asciiTheme="majorBidi" w:hAnsiTheme="majorBidi" w:cstheme="majorBidi"/>
          <w:sz w:val="24"/>
          <w:szCs w:val="24"/>
          <w:lang w:val="en-GB" w:bidi="fa-IR"/>
        </w:rPr>
        <w:fldChar w:fldCharType="separate"/>
      </w:r>
      <w:r w:rsidR="00FC6D60" w:rsidRPr="00F71F57">
        <w:rPr>
          <w:rFonts w:asciiTheme="majorBidi" w:hAnsiTheme="majorBidi" w:cstheme="majorBidi"/>
          <w:sz w:val="24"/>
          <w:szCs w:val="24"/>
          <w:lang w:val="en-GB" w:bidi="fa-IR"/>
        </w:rPr>
        <w:t>(</w:t>
      </w:r>
      <w:hyperlink w:anchor="_ENREF_116" w:tooltip="Jicha, 2013 #184" w:history="1">
        <w:r w:rsidR="00DE113E" w:rsidRPr="00F71F57">
          <w:rPr>
            <w:rFonts w:asciiTheme="majorBidi" w:hAnsiTheme="majorBidi" w:cstheme="majorBidi"/>
            <w:sz w:val="24"/>
            <w:szCs w:val="24"/>
            <w:lang w:val="en-GB" w:bidi="fa-IR"/>
          </w:rPr>
          <w:t>Jicha &amp; Rentz, 2013</w:t>
        </w:r>
      </w:hyperlink>
      <w:r w:rsidR="00FC6D60" w:rsidRPr="00F71F57">
        <w:rPr>
          <w:rFonts w:asciiTheme="majorBidi" w:hAnsiTheme="majorBidi" w:cstheme="majorBidi"/>
          <w:sz w:val="24"/>
          <w:szCs w:val="24"/>
          <w:lang w:val="en-GB" w:bidi="fa-IR"/>
        </w:rPr>
        <w:t>)</w:t>
      </w:r>
      <w:r w:rsidR="00FC6D60"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FC6D60" w:rsidRPr="00F71F57">
        <w:rPr>
          <w:rFonts w:asciiTheme="majorBidi" w:hAnsiTheme="majorBidi" w:cstheme="majorBidi"/>
          <w:sz w:val="24"/>
          <w:szCs w:val="24"/>
          <w:lang w:val="en-GB" w:bidi="fa-IR"/>
        </w:rPr>
        <w:t xml:space="preserve"> Also,</w:t>
      </w:r>
      <w:r w:rsidRPr="00F71F57">
        <w:rPr>
          <w:rFonts w:asciiTheme="majorBidi" w:hAnsiTheme="majorBidi" w:cstheme="majorBidi"/>
          <w:sz w:val="24"/>
          <w:szCs w:val="24"/>
          <w:lang w:val="en-GB" w:bidi="fa-IR"/>
        </w:rPr>
        <w:t xml:space="preserve"> </w:t>
      </w:r>
      <w:r w:rsidR="0016601E" w:rsidRPr="00F71F57">
        <w:rPr>
          <w:rFonts w:asciiTheme="majorBidi" w:hAnsiTheme="majorBidi" w:cstheme="majorBidi"/>
          <w:sz w:val="24"/>
          <w:szCs w:val="24"/>
          <w:lang w:val="en-GB" w:bidi="fa-IR"/>
        </w:rPr>
        <w:t xml:space="preserve">the </w:t>
      </w:r>
      <w:r w:rsidR="0016601E" w:rsidRPr="00F71F57">
        <w:rPr>
          <w:rFonts w:asciiTheme="majorBidi" w:hAnsiTheme="majorBidi" w:cstheme="majorBidi"/>
          <w:sz w:val="24"/>
          <w:szCs w:val="24"/>
          <w:lang w:val="en-GB" w:bidi="fa-IR"/>
        </w:rPr>
        <w:lastRenderedPageBreak/>
        <w:t>researchers</w:t>
      </w:r>
      <w:r w:rsidRPr="00F71F57">
        <w:rPr>
          <w:rFonts w:asciiTheme="majorBidi" w:hAnsiTheme="majorBidi" w:cstheme="majorBidi"/>
          <w:sz w:val="24"/>
          <w:szCs w:val="24"/>
          <w:lang w:val="en-GB" w:bidi="fa-IR"/>
        </w:rPr>
        <w:t xml:space="preserve"> highlight how understanding the molecular underpinnings of brain and cognitive reserve can yield insights into the pathogenic mechanisms of neurodegenerative diseases, pointing to new potential therapeutic targets </w:t>
      </w:r>
      <w:r w:rsidR="00FC6D60" w:rsidRPr="00F71F57">
        <w:rPr>
          <w:rFonts w:asciiTheme="majorBidi" w:hAnsiTheme="majorBidi" w:cstheme="majorBidi"/>
          <w:sz w:val="24"/>
          <w:szCs w:val="24"/>
          <w:lang w:val="en-GB" w:bidi="fa-IR"/>
        </w:rPr>
        <w:fldChar w:fldCharType="begin"/>
      </w:r>
      <w:r w:rsidR="00FC6D60" w:rsidRPr="00F71F57">
        <w:rPr>
          <w:rFonts w:asciiTheme="majorBidi" w:hAnsiTheme="majorBidi" w:cstheme="majorBidi"/>
          <w:sz w:val="24"/>
          <w:szCs w:val="24"/>
          <w:lang w:val="en-GB" w:bidi="fa-IR"/>
        </w:rPr>
        <w:instrText xml:space="preserve"> ADDIN EN.CITE &lt;EndNote&gt;&lt;Cite&gt;&lt;Author&gt;Borroni&lt;/Author&gt;&lt;Year&gt;2012&lt;/Year&gt;&lt;RecNum&gt;181&lt;/RecNum&gt;&lt;DisplayText&gt;(Borroni et al., 2012)&lt;/DisplayText&gt;&lt;record&gt;&lt;rec-number&gt;181&lt;/rec-number&gt;&lt;foreign-keys&gt;&lt;key app="EN" db-id="2ptrtps0adr9vke22dn5tpwzrsfaxtxrfwet" timestamp="1755769584"&gt;181&lt;/key&gt;&lt;/foreign-keys&gt;&lt;ref-type name="Journal Article"&gt;17&lt;/ref-type&gt;&lt;contributors&gt;&lt;authors&gt;&lt;author&gt;Borroni, Barbara&lt;/author&gt;&lt;author&gt;Premi, Enrico&lt;/author&gt;&lt;author&gt;Bozzali, Marco&lt;/author&gt;&lt;author&gt;Padovani, Alessandro&lt;/author&gt;&lt;/authors&gt;&lt;/contributors&gt;&lt;titles&gt;&lt;title&gt;Reserve Mechanisms in Neurodegenerative Diseases: From Bench to Bedside and Back Again&lt;/title&gt;&lt;secondary-title&gt;Current Medicinal Chemistry&lt;/secondary-title&gt;&lt;/titles&gt;&lt;periodical&gt;&lt;full-title&gt;Current Medicinal Chemistry&lt;/full-title&gt;&lt;/periodical&gt;&lt;pages&gt;6112-6118&lt;/pages&gt;&lt;volume&gt;19&lt;/volume&gt;&lt;number&gt;36&lt;/number&gt;&lt;dates&gt;&lt;year&gt;2012&lt;/year&gt;&lt;/dates&gt;&lt;urls&gt;&lt;/urls&gt;&lt;electronic-resource-num&gt;10.2174/092986712804485737&lt;/electronic-resource-num&gt;&lt;/record&gt;&lt;/Cite&gt;&lt;/EndNote&gt;</w:instrText>
      </w:r>
      <w:r w:rsidR="00FC6D60" w:rsidRPr="00F71F57">
        <w:rPr>
          <w:rFonts w:asciiTheme="majorBidi" w:hAnsiTheme="majorBidi" w:cstheme="majorBidi"/>
          <w:sz w:val="24"/>
          <w:szCs w:val="24"/>
          <w:lang w:val="en-GB" w:bidi="fa-IR"/>
        </w:rPr>
        <w:fldChar w:fldCharType="separate"/>
      </w:r>
      <w:r w:rsidR="00FC6D60" w:rsidRPr="00F71F57">
        <w:rPr>
          <w:rFonts w:asciiTheme="majorBidi" w:hAnsiTheme="majorBidi" w:cstheme="majorBidi"/>
          <w:sz w:val="24"/>
          <w:szCs w:val="24"/>
          <w:lang w:val="en-GB" w:bidi="fa-IR"/>
        </w:rPr>
        <w:t>(</w:t>
      </w:r>
      <w:hyperlink w:anchor="_ENREF_25" w:tooltip="Borroni, 2012 #181" w:history="1">
        <w:r w:rsidR="00DE113E" w:rsidRPr="00F71F57">
          <w:rPr>
            <w:rFonts w:asciiTheme="majorBidi" w:hAnsiTheme="majorBidi" w:cstheme="majorBidi"/>
            <w:sz w:val="24"/>
            <w:szCs w:val="24"/>
            <w:lang w:val="en-GB" w:bidi="fa-IR"/>
          </w:rPr>
          <w:t>Borroni et al., 2012</w:t>
        </w:r>
      </w:hyperlink>
      <w:r w:rsidR="00FC6D60" w:rsidRPr="00F71F57">
        <w:rPr>
          <w:rFonts w:asciiTheme="majorBidi" w:hAnsiTheme="majorBidi" w:cstheme="majorBidi"/>
          <w:sz w:val="24"/>
          <w:szCs w:val="24"/>
          <w:lang w:val="en-GB" w:bidi="fa-IR"/>
        </w:rPr>
        <w:t>)</w:t>
      </w:r>
      <w:r w:rsidR="00FC6D60" w:rsidRPr="00F71F57">
        <w:rPr>
          <w:rFonts w:asciiTheme="majorBidi" w:hAnsiTheme="majorBidi" w:cstheme="majorBidi"/>
          <w:sz w:val="24"/>
          <w:szCs w:val="24"/>
          <w:lang w:val="en-GB" w:bidi="fa-IR"/>
        </w:rPr>
        <w:fldChar w:fldCharType="end"/>
      </w:r>
      <w:r w:rsidR="00FC6D60" w:rsidRPr="00F71F57">
        <w:rPr>
          <w:rFonts w:asciiTheme="majorBidi" w:hAnsiTheme="majorBidi" w:cstheme="majorBidi"/>
          <w:sz w:val="24"/>
          <w:szCs w:val="24"/>
          <w:lang w:val="en-GB" w:bidi="fa-IR"/>
        </w:rPr>
        <w:t>.</w:t>
      </w:r>
      <w:r w:rsidR="0028388B" w:rsidRPr="00F71F57">
        <w:rPr>
          <w:rFonts w:asciiTheme="majorBidi" w:hAnsiTheme="majorBidi" w:cstheme="majorBidi"/>
          <w:sz w:val="24"/>
          <w:szCs w:val="24"/>
          <w:lang w:val="en-GB" w:bidi="fa-IR"/>
        </w:rPr>
        <w:t xml:space="preserve"> </w:t>
      </w:r>
      <w:r w:rsidR="00FC6D60" w:rsidRPr="00F71F57">
        <w:rPr>
          <w:rFonts w:asciiTheme="majorBidi" w:hAnsiTheme="majorBidi" w:cstheme="majorBidi"/>
          <w:sz w:val="24"/>
          <w:szCs w:val="24"/>
          <w:lang w:val="en-GB" w:bidi="fa-IR"/>
        </w:rPr>
        <w:t>In addition to clinical observations, neuroplasticity mechanisms such as synaptogenesis and neurogenesis play a significant role in supporting cognitive resilience. Studies have demonstrated that engaging in cognitive training or therapeutic interventions can enhance neuroplasticity, thereby reinforcing cognitive reserve. For instance, participants undergoing cognitive rehabilitation have shown increased levels of brain-derived neurotrophic factor (BDNF), a key molecule involved in neuronal survival, growth, and synaptic plasticity. These findings suggest that therapies aimed at enhancing neuroplasticity may help bolster cognitive reserve, enabling patients to better manage the effects of neurodegeneration. Supporting these clinical insights, preclinical studies have provided mechanistic evidence for the biological foundations of neuroplasticity and cognitive reserve. Research using animal models has shown that environmental enrichment and learning experiences can induce structural changes in the brain, including increased dendritic branching and synapse formation</w:t>
      </w:r>
      <w:r w:rsidR="00FC6D60" w:rsidRPr="00F71F57">
        <w:rPr>
          <w:rFonts w:asciiTheme="majorBidi" w:hAnsiTheme="majorBidi" w:cstheme="majorBidi"/>
          <w:sz w:val="24"/>
          <w:szCs w:val="24"/>
          <w:lang w:val="en-GB" w:bidi="fa-IR"/>
        </w:rPr>
        <w:fldChar w:fldCharType="begin"/>
      </w:r>
      <w:r w:rsidR="00FC6D60" w:rsidRPr="00F71F57">
        <w:rPr>
          <w:rFonts w:asciiTheme="majorBidi" w:hAnsiTheme="majorBidi" w:cstheme="majorBidi"/>
          <w:sz w:val="24"/>
          <w:szCs w:val="24"/>
          <w:lang w:val="en-GB" w:bidi="fa-IR"/>
        </w:rPr>
        <w:instrText xml:space="preserve"> ADDIN EN.CITE &lt;EndNote&gt;&lt;Cite&gt;&lt;Author&gt;Colavitta&lt;/Author&gt;&lt;Year&gt;2023&lt;/Year&gt;&lt;RecNum&gt;185&lt;/RecNum&gt;&lt;DisplayText&gt;(Colavitta &amp;amp; Barrantes, 2023)&lt;/DisplayText&gt;&lt;record&gt;&lt;rec-number&gt;185&lt;/rec-number&gt;&lt;foreign-keys&gt;&lt;key app="EN" db-id="2ptrtps0adr9vke22dn5tpwzrsfaxtxrfwet" timestamp="1755770512"&gt;185&lt;/key&gt;&lt;/foreign-keys&gt;&lt;ref-type name="Journal Article"&gt;17&lt;/ref-type&gt;&lt;contributors&gt;&lt;authors&gt;&lt;author&gt;Colavitta, María F.&lt;/author&gt;&lt;author&gt;Barrantes, Francisco J.&lt;/author&gt;&lt;/authors&gt;&lt;/contributors&gt;&lt;titles&gt;&lt;title&gt;Therapeutic Strategies Aimed at Improving Neuroplasticity in Alzheimer Disease&lt;/title&gt;&lt;secondary-title&gt;Pharmaceutics&lt;/secondary-title&gt;&lt;/titles&gt;&lt;periodical&gt;&lt;full-title&gt;Pharmaceutics&lt;/full-title&gt;&lt;/periodical&gt;&lt;pages&gt;2052&lt;/pages&gt;&lt;volume&gt;15&lt;/volume&gt;&lt;number&gt;8&lt;/number&gt;&lt;dates&gt;&lt;year&gt;2023&lt;/year&gt;&lt;/dates&gt;&lt;urls&gt;&lt;/urls&gt;&lt;electronic-resource-num&gt;10.3390/pharmaceutics15082052&lt;/electronic-resource-num&gt;&lt;/record&gt;&lt;/Cite&gt;&lt;/EndNote&gt;</w:instrText>
      </w:r>
      <w:r w:rsidR="00FC6D60" w:rsidRPr="00F71F57">
        <w:rPr>
          <w:rFonts w:asciiTheme="majorBidi" w:hAnsiTheme="majorBidi" w:cstheme="majorBidi"/>
          <w:sz w:val="24"/>
          <w:szCs w:val="24"/>
          <w:lang w:val="en-GB" w:bidi="fa-IR"/>
        </w:rPr>
        <w:fldChar w:fldCharType="separate"/>
      </w:r>
      <w:r w:rsidR="00FC6D60" w:rsidRPr="00F71F57">
        <w:rPr>
          <w:rFonts w:asciiTheme="majorBidi" w:hAnsiTheme="majorBidi" w:cstheme="majorBidi"/>
          <w:sz w:val="24"/>
          <w:szCs w:val="24"/>
          <w:lang w:val="en-GB" w:bidi="fa-IR"/>
        </w:rPr>
        <w:t>(</w:t>
      </w:r>
      <w:hyperlink w:anchor="_ENREF_50" w:tooltip="Colavitta, 2023 #185" w:history="1">
        <w:r w:rsidR="00DE113E" w:rsidRPr="00F71F57">
          <w:rPr>
            <w:rFonts w:asciiTheme="majorBidi" w:hAnsiTheme="majorBidi" w:cstheme="majorBidi"/>
            <w:sz w:val="24"/>
            <w:szCs w:val="24"/>
            <w:lang w:val="en-GB" w:bidi="fa-IR"/>
          </w:rPr>
          <w:t>Colavitta &amp; Barrantes, 2023</w:t>
        </w:r>
      </w:hyperlink>
      <w:r w:rsidR="00FC6D60" w:rsidRPr="00F71F57">
        <w:rPr>
          <w:rFonts w:asciiTheme="majorBidi" w:hAnsiTheme="majorBidi" w:cstheme="majorBidi"/>
          <w:sz w:val="24"/>
          <w:szCs w:val="24"/>
          <w:lang w:val="en-GB" w:bidi="fa-IR"/>
        </w:rPr>
        <w:t>)</w:t>
      </w:r>
      <w:r w:rsidR="00FC6D60" w:rsidRPr="00F71F57">
        <w:rPr>
          <w:rFonts w:asciiTheme="majorBidi" w:hAnsiTheme="majorBidi" w:cstheme="majorBidi"/>
          <w:sz w:val="24"/>
          <w:szCs w:val="24"/>
          <w:lang w:val="en-GB" w:bidi="fa-IR"/>
        </w:rPr>
        <w:fldChar w:fldCharType="end"/>
      </w:r>
      <w:r w:rsidR="00FC6D60" w:rsidRPr="00F71F57">
        <w:rPr>
          <w:rFonts w:asciiTheme="majorBidi" w:hAnsiTheme="majorBidi" w:cstheme="majorBidi"/>
          <w:sz w:val="24"/>
          <w:szCs w:val="24"/>
          <w:lang w:val="en-GB" w:bidi="fa-IR"/>
        </w:rPr>
        <w:t xml:space="preserve">. </w:t>
      </w:r>
      <w:r w:rsidR="0028388B"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Complementing these structural findings, neuroimaging studies—particularly those utilizing positron emission tomography (PET)—demonstrate that individuals with higher cognitive reserve exhibit more efficient utilization of neural resources, enabling the adoption of alternative cognitive strategies in the face of brain pathology In particular, the findings support the cognitive reserve hypothesis, showing that functional aspects of neural networks can compensate for pathological changes</w:t>
      </w:r>
      <w:r w:rsidR="00FC6D60" w:rsidRPr="00F71F57">
        <w:rPr>
          <w:rFonts w:asciiTheme="majorBidi" w:hAnsiTheme="majorBidi" w:cstheme="majorBidi"/>
          <w:sz w:val="24"/>
          <w:szCs w:val="24"/>
          <w:lang w:val="en-GB" w:bidi="fa-IR"/>
        </w:rPr>
        <w:t xml:space="preserve"> </w:t>
      </w:r>
      <w:r w:rsidR="00FC6D60" w:rsidRPr="00F71F57">
        <w:rPr>
          <w:rFonts w:asciiTheme="majorBidi" w:hAnsiTheme="majorBidi" w:cstheme="majorBidi"/>
          <w:sz w:val="24"/>
          <w:szCs w:val="24"/>
          <w:lang w:val="en-GB" w:bidi="fa-IR"/>
        </w:rPr>
        <w:fldChar w:fldCharType="begin"/>
      </w:r>
      <w:r w:rsidR="00FC6D60" w:rsidRPr="00F71F57">
        <w:rPr>
          <w:rFonts w:asciiTheme="majorBidi" w:hAnsiTheme="majorBidi" w:cstheme="majorBidi"/>
          <w:sz w:val="24"/>
          <w:szCs w:val="24"/>
          <w:lang w:val="en-GB" w:bidi="fa-IR"/>
        </w:rPr>
        <w:instrText xml:space="preserve"> ADDIN EN.CITE &lt;EndNote&gt;&lt;Cite&gt;&lt;Author&gt;Kemppainen&lt;/Author&gt;&lt;Year&gt;2007&lt;/Year&gt;&lt;RecNum&gt;186&lt;/RecNum&gt;&lt;DisplayText&gt;(Kemppainen et al., 2007)&lt;/DisplayText&gt;&lt;record&gt;&lt;rec-number&gt;186&lt;/rec-number&gt;&lt;foreign-keys&gt;&lt;key app="EN" db-id="2ptrtps0adr9vke22dn5tpwzrsfaxtxrfwet" timestamp="1755770883"&gt;186&lt;/key&gt;&lt;/foreign-keys&gt;&lt;ref-type name="Journal Article"&gt;17&lt;/ref-type&gt;&lt;contributors&gt;&lt;authors&gt;&lt;author&gt;Kemppainen, Nina&lt;/author&gt;&lt;author&gt;Aalto, Sargo&lt;/author&gt;&lt;author&gt;Karrasch, Mira&lt;/author&gt;&lt;author&gt;Någren, Kjell&lt;/author&gt;&lt;author&gt;Savisto, Nina&lt;/author&gt;&lt;author&gt;Oikonen, Vesa&lt;/author&gt;&lt;author&gt;Viitanen, Matti&lt;/author&gt;&lt;author&gt;Parkkola, Riitta&lt;/author&gt;&lt;author&gt;Rinne, Juha O.&lt;/author&gt;&lt;/authors&gt;&lt;/contributors&gt;&lt;titles&gt;&lt;title&gt;Cognitive Reserve Hypothesis: Pittsburgh Compound B and Fluorodeoxyglucose Positron Emission Tomography in Relation to Education in Mild Alzheimer&amp;apos;s Disease&lt;/title&gt;&lt;secondary-title&gt;Annals of Neurology&lt;/secondary-title&gt;&lt;/titles&gt;&lt;periodical&gt;&lt;full-title&gt;Annals of Neurology&lt;/full-title&gt;&lt;/periodical&gt;&lt;pages&gt;112-118&lt;/pages&gt;&lt;volume&gt;63&lt;/volume&gt;&lt;number&gt;1&lt;/number&gt;&lt;dates&gt;&lt;year&gt;2007&lt;/year&gt;&lt;/dates&gt;&lt;urls&gt;&lt;/urls&gt;&lt;electronic-resource-num&gt;10.1002/ana.21212&lt;/electronic-resource-num&gt;&lt;/record&gt;&lt;/Cite&gt;&lt;/EndNote&gt;</w:instrText>
      </w:r>
      <w:r w:rsidR="00FC6D60" w:rsidRPr="00F71F57">
        <w:rPr>
          <w:rFonts w:asciiTheme="majorBidi" w:hAnsiTheme="majorBidi" w:cstheme="majorBidi"/>
          <w:sz w:val="24"/>
          <w:szCs w:val="24"/>
          <w:lang w:val="en-GB" w:bidi="fa-IR"/>
        </w:rPr>
        <w:fldChar w:fldCharType="separate"/>
      </w:r>
      <w:r w:rsidR="00FC6D60" w:rsidRPr="00F71F57">
        <w:rPr>
          <w:rFonts w:asciiTheme="majorBidi" w:hAnsiTheme="majorBidi" w:cstheme="majorBidi"/>
          <w:sz w:val="24"/>
          <w:szCs w:val="24"/>
          <w:lang w:val="en-GB" w:bidi="fa-IR"/>
        </w:rPr>
        <w:t>(</w:t>
      </w:r>
      <w:hyperlink w:anchor="_ENREF_122" w:tooltip="Kemppainen, 2007 #186" w:history="1">
        <w:r w:rsidR="00DE113E" w:rsidRPr="00F71F57">
          <w:rPr>
            <w:rFonts w:asciiTheme="majorBidi" w:hAnsiTheme="majorBidi" w:cstheme="majorBidi"/>
            <w:sz w:val="24"/>
            <w:szCs w:val="24"/>
            <w:lang w:val="en-GB" w:bidi="fa-IR"/>
          </w:rPr>
          <w:t>Kemppainen et al., 2007</w:t>
        </w:r>
      </w:hyperlink>
      <w:r w:rsidR="00FC6D60" w:rsidRPr="00F71F57">
        <w:rPr>
          <w:rFonts w:asciiTheme="majorBidi" w:hAnsiTheme="majorBidi" w:cstheme="majorBidi"/>
          <w:sz w:val="24"/>
          <w:szCs w:val="24"/>
          <w:lang w:val="en-GB" w:bidi="fa-IR"/>
        </w:rPr>
        <w:t>)</w:t>
      </w:r>
      <w:r w:rsidR="00FC6D60"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Patients with mild AD exhibited alterations in amyloid and glucose metabolism correlating with cognitive reserve factors, indicating a neuroprotective effect. Moreover, the relationship between cognitive reserve and neuroplasticity suggests that enhancing cognitive </w:t>
      </w:r>
      <w:r w:rsidRPr="00F71F57">
        <w:rPr>
          <w:rFonts w:asciiTheme="majorBidi" w:hAnsiTheme="majorBidi" w:cstheme="majorBidi"/>
          <w:sz w:val="24"/>
          <w:szCs w:val="24"/>
          <w:lang w:val="en-GB" w:bidi="fa-IR"/>
        </w:rPr>
        <w:lastRenderedPageBreak/>
        <w:t xml:space="preserve">engagement through stimulating activities can foster resilience </w:t>
      </w:r>
      <w:r w:rsidR="00FC6D60" w:rsidRPr="00F71F57">
        <w:rPr>
          <w:rFonts w:asciiTheme="majorBidi" w:hAnsiTheme="majorBidi" w:cstheme="majorBidi"/>
          <w:sz w:val="24"/>
          <w:szCs w:val="24"/>
          <w:lang w:val="en-GB" w:bidi="fa-IR"/>
        </w:rPr>
        <w:fldChar w:fldCharType="begin"/>
      </w:r>
      <w:r w:rsidR="0028388B" w:rsidRPr="00F71F57">
        <w:rPr>
          <w:rFonts w:asciiTheme="majorBidi" w:hAnsiTheme="majorBidi" w:cstheme="majorBidi"/>
          <w:sz w:val="24"/>
          <w:szCs w:val="24"/>
          <w:lang w:val="en-GB" w:bidi="fa-IR"/>
        </w:rPr>
        <w:instrText xml:space="preserve"> ADDIN EN.CITE &lt;EndNote&gt;&lt;Cite&gt;&lt;Author&gt;Stern&lt;/Author&gt;&lt;Year&gt;2009&lt;/Year&gt;&lt;RecNum&gt;182&lt;/RecNum&gt;&lt;DisplayText&gt;(Jicha &amp;amp; Rentz, 2013; Stern, 2009)&lt;/DisplayText&gt;&lt;record&gt;&lt;rec-number&gt;182&lt;/rec-number&gt;&lt;foreign-keys&gt;&lt;key app="EN" db-id="2ptrtps0adr9vke22dn5tpwzrsfaxtxrfwet" timestamp="1755769683"&gt;182&lt;/key&gt;&lt;/foreign-keys&gt;&lt;ref-type name="Journal Article"&gt;17&lt;/ref-type&gt;&lt;contributors&gt;&lt;authors&gt;&lt;author&gt;Stern, Yaakov&lt;/author&gt;&lt;/authors&gt;&lt;/contributors&gt;&lt;titles&gt;&lt;title&gt;Cognitive Reserve</w:instrText>
      </w:r>
      <w:r w:rsidR="0028388B" w:rsidRPr="00F71F57">
        <w:rPr>
          <w:rFonts w:ascii="Segoe UI Symbol" w:hAnsi="Segoe UI Symbol" w:cs="Segoe UI Symbol"/>
          <w:sz w:val="24"/>
          <w:szCs w:val="24"/>
          <w:lang w:val="en-GB" w:bidi="fa-IR"/>
        </w:rPr>
        <w:instrText>☆</w:instrText>
      </w:r>
      <w:r w:rsidR="0028388B" w:rsidRPr="00F71F57">
        <w:rPr>
          <w:rFonts w:asciiTheme="majorBidi" w:hAnsiTheme="majorBidi" w:cstheme="majorBidi"/>
          <w:sz w:val="24"/>
          <w:szCs w:val="24"/>
          <w:lang w:val="en-GB" w:bidi="fa-IR"/>
        </w:rPr>
        <w:instrText>&lt;/title&gt;&lt;secondary-title&gt;Neuropsychologia&lt;/secondary-title&gt;&lt;/titles&gt;&lt;periodical&gt;&lt;full-title&gt;Neuropsychologia&lt;/full-title&gt;&lt;/periodical&gt;&lt;pages&gt;2015-2028&lt;/pages&gt;&lt;volume&gt;47&lt;/volume&gt;&lt;number&gt;10&lt;/number&gt;&lt;dates&gt;&lt;year&gt;2009&lt;/year&gt;&lt;/dates&gt;&lt;urls&gt;&lt;/urls&gt;&lt;electronic-resource-num&gt;10.1016/j.neuropsychologia.2009.03.004&lt;/electronic-resource-num&gt;&lt;/record&gt;&lt;/Cite&gt;&lt;Cite&gt;&lt;Author&gt;Jicha&lt;/Author&gt;&lt;Year&gt;2013&lt;/Year&gt;&lt;RecNum&gt;184&lt;/RecNum&gt;&lt;record&gt;&lt;rec-number&gt;184&lt;/rec-number&gt;&lt;foreign-keys&gt;&lt;key app="EN" db-id="2ptrtps0adr9vke22dn5tpwzrsfaxtxrfwet" timestamp="1755770419"&gt;184&lt;/key&gt;&lt;/foreign-keys&gt;&lt;ref-type name="Journal Article"&gt;17&lt;/ref-type&gt;&lt;contributors&gt;&lt;authors&gt;&lt;author&gt;Jicha, Gregory A.&lt;/author&gt;&lt;author&gt;Rentz, Dorene M.&lt;/author&gt;&lt;/authors&gt;&lt;/contributors&gt;&lt;titles&gt;&lt;title&gt;Cognitive and Brain Reserve and the Diagnosis and Treatment of Preclinical Alzheimer Disease&lt;/title&gt;&lt;secondary-title&gt;Neurology&lt;/secondary-title&gt;&lt;/titles&gt;&lt;periodical&gt;&lt;full-title&gt;Neurology&lt;/full-title&gt;&lt;/periodical&gt;&lt;pages&gt;1180-1181&lt;/pages&gt;&lt;volume&gt;80&lt;/volume&gt;&lt;number&gt;13&lt;/number&gt;&lt;dates&gt;&lt;year&gt;2013&lt;/year&gt;&lt;/dates&gt;&lt;urls&gt;&lt;/urls&gt;&lt;electronic-resource-num&gt;10.1212/wnl.0b013e318289714a&lt;/electronic-resource-num&gt;&lt;/record&gt;&lt;/Cite&gt;&lt;/EndNote&gt;</w:instrText>
      </w:r>
      <w:r w:rsidR="00FC6D60" w:rsidRPr="00F71F57">
        <w:rPr>
          <w:rFonts w:asciiTheme="majorBidi" w:hAnsiTheme="majorBidi" w:cstheme="majorBidi"/>
          <w:sz w:val="24"/>
          <w:szCs w:val="24"/>
          <w:lang w:val="en-GB" w:bidi="fa-IR"/>
        </w:rPr>
        <w:fldChar w:fldCharType="separate"/>
      </w:r>
      <w:r w:rsidR="0028388B" w:rsidRPr="00F71F57">
        <w:rPr>
          <w:rFonts w:asciiTheme="majorBidi" w:hAnsiTheme="majorBidi" w:cstheme="majorBidi"/>
          <w:sz w:val="24"/>
          <w:szCs w:val="24"/>
          <w:lang w:val="en-GB" w:bidi="fa-IR"/>
        </w:rPr>
        <w:t>(</w:t>
      </w:r>
      <w:hyperlink w:anchor="_ENREF_116" w:tooltip="Jicha, 2013 #184" w:history="1">
        <w:r w:rsidR="00DE113E" w:rsidRPr="00F71F57">
          <w:rPr>
            <w:rFonts w:asciiTheme="majorBidi" w:hAnsiTheme="majorBidi" w:cstheme="majorBidi"/>
            <w:sz w:val="24"/>
            <w:szCs w:val="24"/>
            <w:lang w:val="en-GB" w:bidi="fa-IR"/>
          </w:rPr>
          <w:t>Jicha &amp; Rentz, 2013</w:t>
        </w:r>
      </w:hyperlink>
      <w:r w:rsidR="0028388B" w:rsidRPr="00F71F57">
        <w:rPr>
          <w:rFonts w:asciiTheme="majorBidi" w:hAnsiTheme="majorBidi" w:cstheme="majorBidi"/>
          <w:sz w:val="24"/>
          <w:szCs w:val="24"/>
          <w:lang w:val="en-GB" w:bidi="fa-IR"/>
        </w:rPr>
        <w:t xml:space="preserve">; </w:t>
      </w:r>
      <w:hyperlink w:anchor="_ENREF_229" w:tooltip="Stern, 2009 #182" w:history="1">
        <w:r w:rsidR="00DE113E" w:rsidRPr="00F71F57">
          <w:rPr>
            <w:rFonts w:asciiTheme="majorBidi" w:hAnsiTheme="majorBidi" w:cstheme="majorBidi"/>
            <w:sz w:val="24"/>
            <w:szCs w:val="24"/>
            <w:lang w:val="en-GB" w:bidi="fa-IR"/>
          </w:rPr>
          <w:t>Stern, 2009</w:t>
        </w:r>
      </w:hyperlink>
      <w:r w:rsidR="0028388B" w:rsidRPr="00F71F57">
        <w:rPr>
          <w:rFonts w:asciiTheme="majorBidi" w:hAnsiTheme="majorBidi" w:cstheme="majorBidi"/>
          <w:sz w:val="24"/>
          <w:szCs w:val="24"/>
          <w:lang w:val="en-GB" w:bidi="fa-IR"/>
        </w:rPr>
        <w:t>)</w:t>
      </w:r>
      <w:r w:rsidR="00FC6D60" w:rsidRPr="00F71F57">
        <w:rPr>
          <w:rFonts w:asciiTheme="majorBidi" w:hAnsiTheme="majorBidi" w:cstheme="majorBidi"/>
          <w:sz w:val="24"/>
          <w:szCs w:val="24"/>
          <w:lang w:val="en-GB" w:bidi="fa-IR"/>
        </w:rPr>
        <w:fldChar w:fldCharType="end"/>
      </w:r>
      <w:r w:rsidR="0028388B"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Recent insights also show that neuroplasticity engendered by experiential factors can buffer against psychological effects related to neurodegeneration. For example, activities that promote cognitive engagement have been shown to activate neuroplasticity pathways in the brain, offering protective benefits that mitigate cognitive declines associated with stress, anxiety, and depression, which are commonly seen in neurodegenerative disorders </w:t>
      </w:r>
      <w:r w:rsidR="0028388B" w:rsidRPr="00F71F57">
        <w:rPr>
          <w:rFonts w:asciiTheme="majorBidi" w:hAnsiTheme="majorBidi" w:cstheme="majorBidi"/>
          <w:sz w:val="24"/>
          <w:szCs w:val="24"/>
          <w:lang w:val="en-GB" w:bidi="fa-IR"/>
        </w:rPr>
        <w:fldChar w:fldCharType="begin"/>
      </w:r>
      <w:r w:rsidR="0028388B" w:rsidRPr="00F71F57">
        <w:rPr>
          <w:rFonts w:asciiTheme="majorBidi" w:hAnsiTheme="majorBidi" w:cstheme="majorBidi"/>
          <w:sz w:val="24"/>
          <w:szCs w:val="24"/>
          <w:lang w:val="en-GB" w:bidi="fa-IR"/>
        </w:rPr>
        <w:instrText xml:space="preserve"> ADDIN EN.CITE &lt;EndNote&gt;&lt;Cite&gt;&lt;Author&gt;Árgyelán&lt;/Author&gt;&lt;Year&gt;2019&lt;/Year&gt;&lt;RecNum&gt;187&lt;/RecNum&gt;&lt;DisplayText&gt;(Árgyelán et al., 2019)&lt;/DisplayText&gt;&lt;record&gt;&lt;rec-number&gt;187&lt;/rec-number&gt;&lt;foreign-keys&gt;&lt;key app="EN" db-id="2ptrtps0adr9vke22dn5tpwzrsfaxtxrfwet" timestamp="1755771135"&gt;187&lt;/key&gt;&lt;/foreign-keys&gt;&lt;ref-type name="Journal Article"&gt;17&lt;/ref-type&gt;&lt;contributors&gt;&lt;authors&gt;&lt;author&gt;Árgyelán, Miklós&lt;/author&gt;&lt;author&gt;Oltedal, Leif&lt;/author&gt;&lt;author&gt;Deng, Zhi‐De&lt;/author&gt;&lt;author&gt;Wade, Benjamin&lt;/author&gt;&lt;author&gt;Bikson, Marom&lt;/author&gt;&lt;author&gt;Joanlanne, Andrea&lt;/author&gt;&lt;author&gt;Sanghani, Sohag&lt;/author&gt;&lt;author&gt;Bartsch, Hauke&lt;/author&gt;&lt;author&gt;Cano, Marta&lt;/author&gt;&lt;author&gt;Dale, Anders M.&lt;/author&gt;&lt;author&gt;Dannlowski, Udo&lt;/author&gt;&lt;author&gt;Dols, Annemiek&lt;/author&gt;&lt;author&gt;Enneking, Verena&lt;/author&gt;&lt;author&gt;Espinoza, Randall&lt;/author&gt;&lt;author&gt;Keßler, Ute&lt;/author&gt;&lt;author&gt;Narr, Katherine L.&lt;/author&gt;&lt;author&gt;Øedegaard, Ketil J.&lt;/author&gt;&lt;author&gt;Oudega, Mardien L.&lt;/author&gt;&lt;author&gt;Redlich, Ronny&lt;/author&gt;&lt;author&gt;Stek, Max L.&lt;/author&gt;&lt;author&gt;Takamiya, Akihiro&lt;/author&gt;&lt;author&gt;Emsell, Louise&lt;/author&gt;&lt;author&gt;Bouckaert, Filip&lt;/author&gt;&lt;author&gt;Sienaert, Pascal&lt;/author&gt;&lt;author&gt;Pujol, Jesús&lt;/author&gt;&lt;author&gt;Tendolkar, Indira&lt;/author&gt;&lt;author&gt;Eijndhoven, Philip van&lt;/author&gt;&lt;author&gt;Petrides, Georgios&lt;/author&gt;&lt;author&gt;Malhotra, Anil K.&lt;/author&gt;&lt;author&gt;Abbott, Chris&lt;/author&gt;&lt;/authors&gt;&lt;/contributors&gt;&lt;titles&gt;&lt;title&gt;Electric Field Causes Volumetric Changes in the Human Brain&lt;/title&gt;&lt;secondary-title&gt;Elife&lt;/secondary-title&gt;&lt;/titles&gt;&lt;periodical&gt;&lt;full-title&gt;eLife&lt;/full-title&gt;&lt;/periodical&gt;&lt;volume&gt;8&lt;/volume&gt;&lt;dates&gt;&lt;year&gt;2019&lt;/year&gt;&lt;/dates&gt;&lt;urls&gt;&lt;/urls&gt;&lt;electronic-resource-num&gt;10.7554/elife.49115&lt;/electronic-resource-num&gt;&lt;/record&gt;&lt;/Cite&gt;&lt;/EndNote&gt;</w:instrText>
      </w:r>
      <w:r w:rsidR="0028388B" w:rsidRPr="00F71F57">
        <w:rPr>
          <w:rFonts w:asciiTheme="majorBidi" w:hAnsiTheme="majorBidi" w:cstheme="majorBidi"/>
          <w:sz w:val="24"/>
          <w:szCs w:val="24"/>
          <w:lang w:val="en-GB" w:bidi="fa-IR"/>
        </w:rPr>
        <w:fldChar w:fldCharType="separate"/>
      </w:r>
      <w:r w:rsidR="0028388B" w:rsidRPr="00F71F57">
        <w:rPr>
          <w:rFonts w:asciiTheme="majorBidi" w:hAnsiTheme="majorBidi" w:cstheme="majorBidi"/>
          <w:sz w:val="24"/>
          <w:szCs w:val="24"/>
          <w:lang w:val="en-GB" w:bidi="fa-IR"/>
        </w:rPr>
        <w:t>(</w:t>
      </w:r>
      <w:hyperlink w:anchor="_ENREF_8" w:tooltip="Árgyelán, 2019 #187" w:history="1">
        <w:r w:rsidR="00DE113E" w:rsidRPr="00F71F57">
          <w:rPr>
            <w:rFonts w:asciiTheme="majorBidi" w:hAnsiTheme="majorBidi" w:cstheme="majorBidi"/>
            <w:sz w:val="24"/>
            <w:szCs w:val="24"/>
            <w:lang w:val="en-GB" w:bidi="fa-IR"/>
          </w:rPr>
          <w:t>Árgyelán et al., 2019</w:t>
        </w:r>
      </w:hyperlink>
      <w:r w:rsidR="0028388B" w:rsidRPr="00F71F57">
        <w:rPr>
          <w:rFonts w:asciiTheme="majorBidi" w:hAnsiTheme="majorBidi" w:cstheme="majorBidi"/>
          <w:sz w:val="24"/>
          <w:szCs w:val="24"/>
          <w:lang w:val="en-GB" w:bidi="fa-IR"/>
        </w:rPr>
        <w:t>)</w:t>
      </w:r>
      <w:r w:rsidR="0028388B"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This connection draws attention to the importance of social and environmental contexts in supporting cognitive health, emphasizing that lifestyle choices may significantly contribute to cognitive reserve and its interaction with neuroplasticity.</w:t>
      </w:r>
      <w:r w:rsidR="0028388B"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As our understanding of the interaction between cognitive reserve and neuroplasticity deepens, the development of targeted interventions becomes increasingly crucial. This includes harnessing strategies that optimize neuroplasticity through physical activity, cognitive training, and medical therapies aimed at increasing neurotrophic factors like BDNF </w:t>
      </w:r>
      <w:r w:rsidR="0028388B" w:rsidRPr="00F71F57">
        <w:rPr>
          <w:rFonts w:asciiTheme="majorBidi" w:hAnsiTheme="majorBidi" w:cstheme="majorBidi"/>
          <w:sz w:val="24"/>
          <w:szCs w:val="24"/>
          <w:lang w:val="en-GB" w:bidi="fa-IR"/>
        </w:rPr>
        <w:fldChar w:fldCharType="begin"/>
      </w:r>
      <w:r w:rsidR="0028388B" w:rsidRPr="00F71F57">
        <w:rPr>
          <w:rFonts w:asciiTheme="majorBidi" w:hAnsiTheme="majorBidi" w:cstheme="majorBidi"/>
          <w:sz w:val="24"/>
          <w:szCs w:val="24"/>
          <w:lang w:val="en-GB" w:bidi="fa-IR"/>
        </w:rPr>
        <w:instrText xml:space="preserve"> ADDIN EN.CITE &lt;EndNote&gt;&lt;Cite&gt;&lt;Author&gt;Colavitta&lt;/Author&gt;&lt;Year&gt;2023&lt;/Year&gt;&lt;RecNum&gt;185&lt;/RecNum&gt;&lt;DisplayText&gt;(Colavitta &amp;amp; Barrantes, 2023)&lt;/DisplayText&gt;&lt;record&gt;&lt;rec-number&gt;185&lt;/rec-number&gt;&lt;foreign-keys&gt;&lt;key app="EN" db-id="2ptrtps0adr9vke22dn5tpwzrsfaxtxrfwet" timestamp="1755770512"&gt;185&lt;/key&gt;&lt;/foreign-keys&gt;&lt;ref-type name="Journal Article"&gt;17&lt;/ref-type&gt;&lt;contributors&gt;&lt;authors&gt;&lt;author&gt;Colavitta, María F.&lt;/author&gt;&lt;author&gt;Barrantes, Francisco J.&lt;/author&gt;&lt;/authors&gt;&lt;/contributors&gt;&lt;titles&gt;&lt;title&gt;Therapeutic Strategies Aimed at Improving Neuroplasticity in Alzheimer Disease&lt;/title&gt;&lt;secondary-title&gt;Pharmaceutics&lt;/secondary-title&gt;&lt;/titles&gt;&lt;periodical&gt;&lt;full-title&gt;Pharmaceutics&lt;/full-title&gt;&lt;/periodical&gt;&lt;pages&gt;2052&lt;/pages&gt;&lt;volume&gt;15&lt;/volume&gt;&lt;number&gt;8&lt;/number&gt;&lt;dates&gt;&lt;year&gt;2023&lt;/year&gt;&lt;/dates&gt;&lt;urls&gt;&lt;/urls&gt;&lt;electronic-resource-num&gt;10.3390/pharmaceutics15082052&lt;/electronic-resource-num&gt;&lt;/record&gt;&lt;/Cite&gt;&lt;/EndNote&gt;</w:instrText>
      </w:r>
      <w:r w:rsidR="0028388B" w:rsidRPr="00F71F57">
        <w:rPr>
          <w:rFonts w:asciiTheme="majorBidi" w:hAnsiTheme="majorBidi" w:cstheme="majorBidi"/>
          <w:sz w:val="24"/>
          <w:szCs w:val="24"/>
          <w:lang w:val="en-GB" w:bidi="fa-IR"/>
        </w:rPr>
        <w:fldChar w:fldCharType="separate"/>
      </w:r>
      <w:r w:rsidR="0028388B" w:rsidRPr="00F71F57">
        <w:rPr>
          <w:rFonts w:asciiTheme="majorBidi" w:hAnsiTheme="majorBidi" w:cstheme="majorBidi"/>
          <w:sz w:val="24"/>
          <w:szCs w:val="24"/>
          <w:lang w:val="en-GB" w:bidi="fa-IR"/>
        </w:rPr>
        <w:t>(</w:t>
      </w:r>
      <w:hyperlink w:anchor="_ENREF_50" w:tooltip="Colavitta, 2023 #185" w:history="1">
        <w:r w:rsidR="00DE113E" w:rsidRPr="00F71F57">
          <w:rPr>
            <w:rFonts w:asciiTheme="majorBidi" w:hAnsiTheme="majorBidi" w:cstheme="majorBidi"/>
            <w:sz w:val="24"/>
            <w:szCs w:val="24"/>
            <w:lang w:val="en-GB" w:bidi="fa-IR"/>
          </w:rPr>
          <w:t>Colavitta &amp; Barrantes, 2023</w:t>
        </w:r>
      </w:hyperlink>
      <w:r w:rsidR="0028388B" w:rsidRPr="00F71F57">
        <w:rPr>
          <w:rFonts w:asciiTheme="majorBidi" w:hAnsiTheme="majorBidi" w:cstheme="majorBidi"/>
          <w:sz w:val="24"/>
          <w:szCs w:val="24"/>
          <w:lang w:val="en-GB" w:bidi="fa-IR"/>
        </w:rPr>
        <w:t>)</w:t>
      </w:r>
      <w:r w:rsidR="0028388B"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These therapeutic approaches have the potential to not only delay the onset of symptomatic expression in neurodegenerative diseases but also enhance the overall quality of life for affected individuals </w:t>
      </w:r>
      <w:r w:rsidR="0028388B" w:rsidRPr="00F71F57">
        <w:rPr>
          <w:rFonts w:asciiTheme="majorBidi" w:hAnsiTheme="majorBidi" w:cstheme="majorBidi"/>
          <w:sz w:val="24"/>
          <w:szCs w:val="24"/>
          <w:lang w:val="en-GB" w:bidi="fa-IR"/>
        </w:rPr>
        <w:fldChar w:fldCharType="begin"/>
      </w:r>
      <w:r w:rsidR="0028388B" w:rsidRPr="00F71F57">
        <w:rPr>
          <w:rFonts w:asciiTheme="majorBidi" w:hAnsiTheme="majorBidi" w:cstheme="majorBidi"/>
          <w:sz w:val="24"/>
          <w:szCs w:val="24"/>
          <w:lang w:val="en-GB" w:bidi="fa-IR"/>
        </w:rPr>
        <w:instrText xml:space="preserve"> ADDIN EN.CITE &lt;EndNote&gt;&lt;Cite&gt;&lt;Author&gt;Moga&lt;/Author&gt;&lt;Year&gt;2019&lt;/Year&gt;&lt;RecNum&gt;188&lt;/RecNum&gt;&lt;DisplayText&gt;(Moga et al., 2019)&lt;/DisplayText&gt;&lt;record&gt;&lt;rec-number&gt;188&lt;/rec-number&gt;&lt;foreign-keys&gt;&lt;key app="EN" db-id="2ptrtps0adr9vke22dn5tpwzrsfaxtxrfwet" timestamp="1755771189"&gt;188&lt;/key&gt;&lt;/foreign-keys&gt;&lt;ref-type name="Journal Article"&gt;17&lt;/ref-type&gt;&lt;contributors&gt;&lt;authors&gt;&lt;author&gt;Moga, Daniela C.&lt;/author&gt;&lt;author&gt;Beech, Brooke F.&lt;/author&gt;&lt;author&gt;Abner, Erin L.&lt;/author&gt;&lt;author&gt;Schmitt, Frederick A.&lt;/author&gt;&lt;author&gt;Khouli, Riham H. El&lt;/author&gt;&lt;author&gt;Martinez, Ashley I.&lt;/author&gt;&lt;author&gt;Eckmann, Lynne&lt;/author&gt;&lt;author&gt;Huffmyer, Mark&lt;/author&gt;&lt;author&gt;George, Rosmy&lt;/author&gt;&lt;author&gt;Jicha, Gregory A.&lt;/author&gt;&lt;/authors&gt;&lt;/contributors&gt;&lt;titles&gt;&lt;title&gt;INtervention for Cognitive Reserve Enhancement in Delaying the Onset of Alzheimer’s Symptomatic Expression (INCREASE), a Randomized Controlled Trial: Rationale, Study Design, and Protocol&lt;/title&gt;&lt;secondary-title&gt;Trials&lt;/secondary-title&gt;&lt;/titles&gt;&lt;periodical&gt;&lt;full-title&gt;Trials&lt;/full-title&gt;&lt;/periodical&gt;&lt;volume&gt;20&lt;/volume&gt;&lt;number&gt;1&lt;/number&gt;&lt;dates&gt;&lt;year&gt;2019&lt;/year&gt;&lt;/dates&gt;&lt;urls&gt;&lt;/urls&gt;&lt;electronic-resource-num&gt;10.1186/s13063-019-3993-0&lt;/electronic-resource-num&gt;&lt;/record&gt;&lt;/Cite&gt;&lt;/EndNote&gt;</w:instrText>
      </w:r>
      <w:r w:rsidR="0028388B" w:rsidRPr="00F71F57">
        <w:rPr>
          <w:rFonts w:asciiTheme="majorBidi" w:hAnsiTheme="majorBidi" w:cstheme="majorBidi"/>
          <w:sz w:val="24"/>
          <w:szCs w:val="24"/>
          <w:lang w:val="en-GB" w:bidi="fa-IR"/>
        </w:rPr>
        <w:fldChar w:fldCharType="separate"/>
      </w:r>
      <w:r w:rsidR="0028388B" w:rsidRPr="00F71F57">
        <w:rPr>
          <w:rFonts w:asciiTheme="majorBidi" w:hAnsiTheme="majorBidi" w:cstheme="majorBidi"/>
          <w:sz w:val="24"/>
          <w:szCs w:val="24"/>
          <w:lang w:val="en-GB" w:bidi="fa-IR"/>
        </w:rPr>
        <w:t>(</w:t>
      </w:r>
      <w:hyperlink w:anchor="_ENREF_158" w:tooltip="Moga, 2019 #188" w:history="1">
        <w:r w:rsidR="00DE113E" w:rsidRPr="00F71F57">
          <w:rPr>
            <w:rFonts w:asciiTheme="majorBidi" w:hAnsiTheme="majorBidi" w:cstheme="majorBidi"/>
            <w:sz w:val="24"/>
            <w:szCs w:val="24"/>
            <w:lang w:val="en-GB" w:bidi="fa-IR"/>
          </w:rPr>
          <w:t>Moga et al., 2019</w:t>
        </w:r>
      </w:hyperlink>
      <w:r w:rsidR="0028388B" w:rsidRPr="00F71F57">
        <w:rPr>
          <w:rFonts w:asciiTheme="majorBidi" w:hAnsiTheme="majorBidi" w:cstheme="majorBidi"/>
          <w:sz w:val="24"/>
          <w:szCs w:val="24"/>
          <w:lang w:val="en-GB" w:bidi="fa-IR"/>
        </w:rPr>
        <w:t>)</w:t>
      </w:r>
      <w:r w:rsidR="0028388B" w:rsidRPr="00F71F57">
        <w:rPr>
          <w:rFonts w:asciiTheme="majorBidi" w:hAnsiTheme="majorBidi" w:cstheme="majorBidi"/>
          <w:sz w:val="24"/>
          <w:szCs w:val="24"/>
          <w:lang w:val="en-GB" w:bidi="fa-IR"/>
        </w:rPr>
        <w:fldChar w:fldCharType="end"/>
      </w:r>
      <w:r w:rsidR="0028388B"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In conclusion, the relationship between neuroplasticity and cognitive reserve is pivotal for understanding resilience in neurodegenerative diseases. The synthesis of clinical and preclinical research underscores the potential for interventions that leverage neuroplastic mechanisms to bolster cognitive reserve, providing critical benefits in sustaining cognitive health amidst the challenges posed by aging and neurodegeneration.</w:t>
      </w:r>
    </w:p>
    <w:p w14:paraId="6A762FF6" w14:textId="531AE435" w:rsidR="00540530" w:rsidRPr="00F71F57" w:rsidRDefault="00540530" w:rsidP="00C80A17">
      <w:pPr>
        <w:ind w:left="1080"/>
        <w:jc w:val="both"/>
        <w:rPr>
          <w:rFonts w:asciiTheme="majorBidi" w:hAnsiTheme="majorBidi" w:cstheme="majorBidi"/>
          <w:sz w:val="24"/>
          <w:szCs w:val="24"/>
          <w:lang w:val="en-GB" w:bidi="fa-IR"/>
        </w:rPr>
      </w:pPr>
    </w:p>
    <w:p w14:paraId="014AC49D" w14:textId="07BE6325" w:rsidR="00540530" w:rsidRPr="00F71F57" w:rsidRDefault="00540530" w:rsidP="00D623DE">
      <w:pPr>
        <w:pStyle w:val="Heading3"/>
        <w:ind w:left="1080"/>
        <w:rPr>
          <w:lang w:val="en-GB" w:bidi="fa-IR"/>
        </w:rPr>
      </w:pPr>
      <w:bookmarkStart w:id="31" w:name="_Toc214875838"/>
      <w:r w:rsidRPr="00F71F57">
        <w:rPr>
          <w:lang w:val="en-GB" w:bidi="fa-IR"/>
        </w:rPr>
        <w:t>1.2.5 Translational Applications of Touchscreen Paradigms in Cognitive Neuroscience</w:t>
      </w:r>
      <w:bookmarkEnd w:id="31"/>
    </w:p>
    <w:p w14:paraId="32E9400B" w14:textId="4B5040C8" w:rsidR="00E939A9" w:rsidRDefault="00A71F4A" w:rsidP="00C80A17">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As highlighted earlier, different tasks are employed to assess cognitive impairments in rodents and humans.</w:t>
      </w:r>
      <w:r w:rsidRPr="00F71F57">
        <w:rPr>
          <w:rFonts w:asciiTheme="majorBidi" w:hAnsiTheme="majorBidi" w:cstheme="majorBidi"/>
          <w:sz w:val="24"/>
          <w:szCs w:val="24"/>
          <w:rtl/>
          <w:lang w:val="en-GB" w:bidi="fa-IR"/>
        </w:rPr>
        <w:t xml:space="preserve"> </w:t>
      </w:r>
      <w:r w:rsidRPr="00F71F57">
        <w:rPr>
          <w:rFonts w:asciiTheme="majorBidi" w:hAnsiTheme="majorBidi" w:cstheme="majorBidi"/>
          <w:sz w:val="24"/>
          <w:szCs w:val="24"/>
          <w:lang w:val="en-GB" w:bidi="fa-IR"/>
        </w:rPr>
        <w:t xml:space="preserve">The translation of preclinical </w:t>
      </w:r>
      <w:r w:rsidRPr="00F71F57">
        <w:rPr>
          <w:rFonts w:asciiTheme="majorBidi" w:hAnsiTheme="majorBidi" w:cstheme="majorBidi"/>
          <w:sz w:val="24"/>
          <w:szCs w:val="24"/>
          <w:lang w:val="en-GB" w:bidi="fa-IR"/>
        </w:rPr>
        <w:lastRenderedPageBreak/>
        <w:t>findings into effective clinical interventions for neurodegenerative and neuropsychiatric disorders remains a major challenge. One of the critical barriers is the limited reproducibility and poor translational validity of traditional behavioral assays commonly used in rodent models</w:t>
      </w:r>
      <w:r w:rsidR="009A108F" w:rsidRPr="00F71F57">
        <w:rPr>
          <w:rFonts w:asciiTheme="majorBidi" w:hAnsiTheme="majorBidi" w:cstheme="majorBidi"/>
          <w:sz w:val="24"/>
          <w:szCs w:val="24"/>
          <w:lang w:val="en-GB" w:bidi="fa-IR"/>
        </w:rPr>
        <w:fldChar w:fldCharType="begin">
          <w:fldData xml:space="preserve">PEVuZE5vdGU+PENpdGU+PEF1dGhvcj5CdXR0b248L0F1dGhvcj48WWVhcj4yMDEzPC9ZZWFyPjxS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</w:fldData>
        </w:fldChar>
      </w:r>
      <w:r w:rsidR="009A108F" w:rsidRPr="00F71F57">
        <w:rPr>
          <w:rFonts w:asciiTheme="majorBidi" w:hAnsiTheme="majorBidi" w:cstheme="majorBidi"/>
          <w:sz w:val="24"/>
          <w:szCs w:val="24"/>
          <w:lang w:val="en-GB" w:bidi="fa-IR"/>
        </w:rPr>
        <w:instrText xml:space="preserve"> ADDIN EN.CITE </w:instrText>
      </w:r>
      <w:r w:rsidR="009A108F" w:rsidRPr="00F71F57">
        <w:rPr>
          <w:rFonts w:asciiTheme="majorBidi" w:hAnsiTheme="majorBidi" w:cstheme="majorBidi"/>
          <w:sz w:val="24"/>
          <w:szCs w:val="24"/>
          <w:lang w:val="en-GB" w:bidi="fa-IR"/>
        </w:rPr>
        <w:fldChar w:fldCharType="begin">
          <w:fldData xml:space="preserve">PEVuZE5vdGU+PENpdGU+PEF1dGhvcj5CdXR0b248L0F1dGhvcj48WWVhcj4yMDEzPC9ZZWFyPjxS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</w:fldData>
        </w:fldChar>
      </w:r>
      <w:r w:rsidR="009A108F" w:rsidRPr="00F71F57">
        <w:rPr>
          <w:rFonts w:asciiTheme="majorBidi" w:hAnsiTheme="majorBidi" w:cstheme="majorBidi"/>
          <w:sz w:val="24"/>
          <w:szCs w:val="24"/>
          <w:lang w:val="en-GB" w:bidi="fa-IR"/>
        </w:rPr>
        <w:instrText xml:space="preserve"> ADDIN EN.CITE.DATA </w:instrText>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end"/>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separate"/>
      </w:r>
      <w:r w:rsidR="009A108F" w:rsidRPr="00F71F57">
        <w:rPr>
          <w:rFonts w:asciiTheme="majorBidi" w:hAnsiTheme="majorBidi" w:cstheme="majorBidi"/>
          <w:sz w:val="24"/>
          <w:szCs w:val="24"/>
          <w:lang w:val="en-GB" w:bidi="fa-IR"/>
        </w:rPr>
        <w:t>(</w:t>
      </w:r>
      <w:hyperlink w:anchor="_ENREF_35" w:tooltip="Button, 2013 #313" w:history="1">
        <w:r w:rsidR="00DE113E" w:rsidRPr="00F71F57">
          <w:rPr>
            <w:rFonts w:asciiTheme="majorBidi" w:hAnsiTheme="majorBidi" w:cstheme="majorBidi"/>
            <w:sz w:val="24"/>
            <w:szCs w:val="24"/>
            <w:lang w:val="en-GB" w:bidi="fa-IR"/>
          </w:rPr>
          <w:t>Button et al., 2013</w:t>
        </w:r>
      </w:hyperlink>
      <w:r w:rsidR="009A108F" w:rsidRPr="00F71F57">
        <w:rPr>
          <w:rFonts w:asciiTheme="majorBidi" w:hAnsiTheme="majorBidi" w:cstheme="majorBidi"/>
          <w:sz w:val="24"/>
          <w:szCs w:val="24"/>
          <w:lang w:val="en-GB" w:bidi="fa-IR"/>
        </w:rPr>
        <w:t xml:space="preserve">; </w:t>
      </w:r>
      <w:hyperlink w:anchor="_ENREF_99" w:tooltip="Hånell, 2014 #314" w:history="1">
        <w:r w:rsidR="00DE113E" w:rsidRPr="00F71F57">
          <w:rPr>
            <w:rFonts w:asciiTheme="majorBidi" w:hAnsiTheme="majorBidi" w:cstheme="majorBidi"/>
            <w:sz w:val="24"/>
            <w:szCs w:val="24"/>
            <w:lang w:val="en-GB" w:bidi="fa-IR"/>
          </w:rPr>
          <w:t>Hånell &amp; Marklund, 2014</w:t>
        </w:r>
      </w:hyperlink>
      <w:r w:rsidR="009A108F" w:rsidRPr="00F71F57">
        <w:rPr>
          <w:rFonts w:asciiTheme="majorBidi" w:hAnsiTheme="majorBidi" w:cstheme="majorBidi"/>
          <w:sz w:val="24"/>
          <w:szCs w:val="24"/>
          <w:lang w:val="en-GB" w:bidi="fa-IR"/>
        </w:rPr>
        <w:t>)</w:t>
      </w:r>
      <w:r w:rsidR="009A108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xml:space="preserve">. Classical paradigms, such as the Morris Water Maze or fear conditioning, often differ substantially from human cognitive assessments in terms of sensory modality, stress levels, and motivational context, thus reducing their predictive validity </w:t>
      </w:r>
      <w:r w:rsidR="009A108F" w:rsidRPr="00F71F57">
        <w:rPr>
          <w:rFonts w:asciiTheme="majorBidi" w:hAnsiTheme="majorBidi" w:cstheme="majorBidi"/>
          <w:sz w:val="24"/>
          <w:szCs w:val="24"/>
          <w:lang w:val="en-GB" w:bidi="fa-IR"/>
        </w:rPr>
        <w:fldChar w:fldCharType="begin">
          <w:fldData xml:space="preserve">PEVuZE5vdGU+PENpdGU+PEF1dGhvcj5EZXNsYXVyaWVyczwvQXV0aG9yPjxZZWFyPjIwMTg8L1ll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</w:fldData>
        </w:fldChar>
      </w:r>
      <w:r w:rsidR="009A108F" w:rsidRPr="00F71F57">
        <w:rPr>
          <w:rFonts w:asciiTheme="majorBidi" w:hAnsiTheme="majorBidi" w:cstheme="majorBidi"/>
          <w:sz w:val="24"/>
          <w:szCs w:val="24"/>
          <w:lang w:val="en-GB" w:bidi="fa-IR"/>
        </w:rPr>
        <w:instrText xml:space="preserve"> ADDIN EN.CITE </w:instrText>
      </w:r>
      <w:r w:rsidR="009A108F" w:rsidRPr="00F71F57">
        <w:rPr>
          <w:rFonts w:asciiTheme="majorBidi" w:hAnsiTheme="majorBidi" w:cstheme="majorBidi"/>
          <w:sz w:val="24"/>
          <w:szCs w:val="24"/>
          <w:lang w:val="en-GB" w:bidi="fa-IR"/>
        </w:rPr>
        <w:fldChar w:fldCharType="begin">
          <w:fldData xml:space="preserve">PEVuZE5vdGU+PENpdGU+PEF1dGhvcj5EZXNsYXVyaWVyczwvQXV0aG9yPjxZZWFyPjIwMTg8L1ll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</w:fldData>
        </w:fldChar>
      </w:r>
      <w:r w:rsidR="009A108F" w:rsidRPr="00F71F57">
        <w:rPr>
          <w:rFonts w:asciiTheme="majorBidi" w:hAnsiTheme="majorBidi" w:cstheme="majorBidi"/>
          <w:sz w:val="24"/>
          <w:szCs w:val="24"/>
          <w:lang w:val="en-GB" w:bidi="fa-IR"/>
        </w:rPr>
        <w:instrText xml:space="preserve"> ADDIN EN.CITE.DATA </w:instrText>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end"/>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separate"/>
      </w:r>
      <w:r w:rsidR="009A108F" w:rsidRPr="00F71F57">
        <w:rPr>
          <w:rFonts w:asciiTheme="majorBidi" w:hAnsiTheme="majorBidi" w:cstheme="majorBidi"/>
          <w:sz w:val="24"/>
          <w:szCs w:val="24"/>
          <w:lang w:val="en-GB" w:bidi="fa-IR"/>
        </w:rPr>
        <w:t>(</w:t>
      </w:r>
      <w:hyperlink w:anchor="_ENREF_60" w:tooltip="Deslauriers, 2018 #315" w:history="1">
        <w:r w:rsidR="00DE113E" w:rsidRPr="00F71F57">
          <w:rPr>
            <w:rFonts w:asciiTheme="majorBidi" w:hAnsiTheme="majorBidi" w:cstheme="majorBidi"/>
            <w:sz w:val="24"/>
            <w:szCs w:val="24"/>
            <w:lang w:val="en-GB" w:bidi="fa-IR"/>
          </w:rPr>
          <w:t>Deslauriers et al., 2018</w:t>
        </w:r>
      </w:hyperlink>
      <w:r w:rsidR="009A108F" w:rsidRPr="00F71F57">
        <w:rPr>
          <w:rFonts w:asciiTheme="majorBidi" w:hAnsiTheme="majorBidi" w:cstheme="majorBidi"/>
          <w:sz w:val="24"/>
          <w:szCs w:val="24"/>
          <w:lang w:val="en-GB" w:bidi="fa-IR"/>
        </w:rPr>
        <w:t xml:space="preserve">; </w:t>
      </w:r>
      <w:hyperlink w:anchor="_ENREF_110" w:tooltip="Insel, 2010 #316" w:history="1">
        <w:r w:rsidR="00DE113E" w:rsidRPr="00F71F57">
          <w:rPr>
            <w:rFonts w:asciiTheme="majorBidi" w:hAnsiTheme="majorBidi" w:cstheme="majorBidi"/>
            <w:sz w:val="24"/>
            <w:szCs w:val="24"/>
            <w:lang w:val="en-GB" w:bidi="fa-IR"/>
          </w:rPr>
          <w:t>Insel, 2010</w:t>
        </w:r>
      </w:hyperlink>
      <w:r w:rsidR="009A108F" w:rsidRPr="00F71F57">
        <w:rPr>
          <w:rFonts w:asciiTheme="majorBidi" w:hAnsiTheme="majorBidi" w:cstheme="majorBidi"/>
          <w:sz w:val="24"/>
          <w:szCs w:val="24"/>
          <w:lang w:val="en-GB" w:bidi="fa-IR"/>
        </w:rPr>
        <w:t>)</w:t>
      </w:r>
      <w:r w:rsidR="009A108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9A108F"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Touchscreen-based cognitive testing platforms have been developed to overcome these limitations by providing highly standardized, automated, and cross-species comparable paradigms </w:t>
      </w:r>
      <w:r w:rsidR="009A108F" w:rsidRPr="00F71F57">
        <w:rPr>
          <w:rFonts w:asciiTheme="majorBidi" w:hAnsiTheme="majorBidi" w:cstheme="majorBidi"/>
          <w:sz w:val="24"/>
          <w:szCs w:val="24"/>
          <w:lang w:val="en-GB" w:bidi="fa-IR"/>
        </w:rPr>
        <w:fldChar w:fldCharType="begin">
          <w:fldData xml:space="preserve">PEVuZE5vdGU+PENpdGU+PEF1dGhvcj5CdXNzZXk8L0F1dGhvcj48WWVhcj4yMDEyPC9ZZWFyPjxS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==
</w:fldData>
        </w:fldChar>
      </w:r>
      <w:r w:rsidR="000A35E3">
        <w:rPr>
          <w:rFonts w:asciiTheme="majorBidi" w:hAnsiTheme="majorBidi" w:cstheme="majorBidi"/>
          <w:sz w:val="24"/>
          <w:szCs w:val="24"/>
          <w:lang w:val="en-GB" w:bidi="fa-IR"/>
        </w:rPr>
        <w:instrText xml:space="preserve"> ADDIN EN.CITE </w:instrText>
      </w:r>
      <w:r w:rsidR="000A35E3">
        <w:rPr>
          <w:rFonts w:asciiTheme="majorBidi" w:hAnsiTheme="majorBidi" w:cstheme="majorBidi"/>
          <w:sz w:val="24"/>
          <w:szCs w:val="24"/>
          <w:lang w:val="en-GB" w:bidi="fa-IR"/>
        </w:rPr>
        <w:fldChar w:fldCharType="begin">
          <w:fldData xml:space="preserve">PEVuZE5vdGU+PENpdGU+PEF1dGhvcj5CdXNzZXk8L0F1dGhvcj48WWVhcj4yMDEyPC9ZZWFyPjxS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==
</w:fldData>
        </w:fldChar>
      </w:r>
      <w:r w:rsidR="000A35E3">
        <w:rPr>
          <w:rFonts w:asciiTheme="majorBidi" w:hAnsiTheme="majorBidi" w:cstheme="majorBidi"/>
          <w:sz w:val="24"/>
          <w:szCs w:val="24"/>
          <w:lang w:val="en-GB" w:bidi="fa-IR"/>
        </w:rPr>
        <w:instrText xml:space="preserve"> ADDIN EN.CITE.DATA </w:instrText>
      </w:r>
      <w:r w:rsidR="000A35E3">
        <w:rPr>
          <w:rFonts w:asciiTheme="majorBidi" w:hAnsiTheme="majorBidi" w:cstheme="majorBidi"/>
          <w:sz w:val="24"/>
          <w:szCs w:val="24"/>
          <w:lang w:val="en-GB" w:bidi="fa-IR"/>
        </w:rPr>
      </w:r>
      <w:r w:rsidR="000A35E3">
        <w:rPr>
          <w:rFonts w:asciiTheme="majorBidi" w:hAnsiTheme="majorBidi" w:cstheme="majorBidi"/>
          <w:sz w:val="24"/>
          <w:szCs w:val="24"/>
          <w:lang w:val="en-GB" w:bidi="fa-IR"/>
        </w:rPr>
        <w:fldChar w:fldCharType="end"/>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separate"/>
      </w:r>
      <w:r w:rsidR="000A35E3">
        <w:rPr>
          <w:rFonts w:asciiTheme="majorBidi" w:hAnsiTheme="majorBidi" w:cstheme="majorBidi"/>
          <w:noProof/>
          <w:sz w:val="24"/>
          <w:szCs w:val="24"/>
          <w:lang w:val="en-GB" w:bidi="fa-IR"/>
        </w:rPr>
        <w:t>(</w:t>
      </w:r>
      <w:hyperlink w:anchor="_ENREF_34" w:tooltip="Bussey, 2012 #317" w:history="1">
        <w:r w:rsidR="00DE113E">
          <w:rPr>
            <w:rFonts w:asciiTheme="majorBidi" w:hAnsiTheme="majorBidi" w:cstheme="majorBidi"/>
            <w:noProof/>
            <w:sz w:val="24"/>
            <w:szCs w:val="24"/>
            <w:lang w:val="en-GB" w:bidi="fa-IR"/>
          </w:rPr>
          <w:t>Bussey et al., 2012b</w:t>
        </w:r>
      </w:hyperlink>
      <w:r w:rsidR="000A35E3">
        <w:rPr>
          <w:rFonts w:asciiTheme="majorBidi" w:hAnsiTheme="majorBidi" w:cstheme="majorBidi"/>
          <w:noProof/>
          <w:sz w:val="24"/>
          <w:szCs w:val="24"/>
          <w:lang w:val="en-GB" w:bidi="fa-IR"/>
        </w:rPr>
        <w:t xml:space="preserve">; </w:t>
      </w:r>
      <w:hyperlink w:anchor="_ENREF_107" w:tooltip="Hvoslef-Eide, 2016 #318" w:history="1">
        <w:r w:rsidR="00DE113E">
          <w:rPr>
            <w:rFonts w:asciiTheme="majorBidi" w:hAnsiTheme="majorBidi" w:cstheme="majorBidi"/>
            <w:noProof/>
            <w:sz w:val="24"/>
            <w:szCs w:val="24"/>
            <w:lang w:val="en-GB" w:bidi="fa-IR"/>
          </w:rPr>
          <w:t>Hvoslef-Eide et al., 2016</w:t>
        </w:r>
      </w:hyperlink>
      <w:r w:rsidR="000A35E3">
        <w:rPr>
          <w:rFonts w:asciiTheme="majorBidi" w:hAnsiTheme="majorBidi" w:cstheme="majorBidi"/>
          <w:noProof/>
          <w:sz w:val="24"/>
          <w:szCs w:val="24"/>
          <w:lang w:val="en-GB" w:bidi="fa-IR"/>
        </w:rPr>
        <w:t>)</w:t>
      </w:r>
      <w:r w:rsidR="009A108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These systems enable rodents to perform tasks that are structurally analogous—or in some cases identical—to human computerized cognitive batteries such as CANTAB, thereby increasing both reproducibility and translational validity</w:t>
      </w:r>
      <w:r w:rsidR="009A108F" w:rsidRPr="00F71F57">
        <w:rPr>
          <w:rFonts w:asciiTheme="majorBidi" w:hAnsiTheme="majorBidi" w:cstheme="majorBidi"/>
          <w:sz w:val="24"/>
          <w:szCs w:val="24"/>
          <w:lang w:val="en-GB" w:bidi="fa-IR"/>
        </w:rPr>
        <w:fldChar w:fldCharType="begin">
          <w:fldData xml:space="preserve">PEVuZE5vdGU+PENpdGU+PEF1dGhvcj5CYXJuZXR0PC9BdXRob3I+PFllYXI+MjAxNjwvWWVhcj48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</w:fldData>
        </w:fldChar>
      </w:r>
      <w:r w:rsidR="009A108F" w:rsidRPr="00F71F57">
        <w:rPr>
          <w:rFonts w:asciiTheme="majorBidi" w:hAnsiTheme="majorBidi" w:cstheme="majorBidi"/>
          <w:sz w:val="24"/>
          <w:szCs w:val="24"/>
          <w:lang w:val="en-GB" w:bidi="fa-IR"/>
        </w:rPr>
        <w:instrText xml:space="preserve"> ADDIN EN.CITE </w:instrText>
      </w:r>
      <w:r w:rsidR="009A108F" w:rsidRPr="00F71F57">
        <w:rPr>
          <w:rFonts w:asciiTheme="majorBidi" w:hAnsiTheme="majorBidi" w:cstheme="majorBidi"/>
          <w:sz w:val="24"/>
          <w:szCs w:val="24"/>
          <w:lang w:val="en-GB" w:bidi="fa-IR"/>
        </w:rPr>
        <w:fldChar w:fldCharType="begin">
          <w:fldData xml:space="preserve">PEVuZE5vdGU+PENpdGU+PEF1dGhvcj5CYXJuZXR0PC9BdXRob3I+PFllYXI+MjAxNjwvWWVhcj48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</w:fldData>
        </w:fldChar>
      </w:r>
      <w:r w:rsidR="009A108F" w:rsidRPr="00F71F57">
        <w:rPr>
          <w:rFonts w:asciiTheme="majorBidi" w:hAnsiTheme="majorBidi" w:cstheme="majorBidi"/>
          <w:sz w:val="24"/>
          <w:szCs w:val="24"/>
          <w:lang w:val="en-GB" w:bidi="fa-IR"/>
        </w:rPr>
        <w:instrText xml:space="preserve"> ADDIN EN.CITE.DATA </w:instrText>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end"/>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separate"/>
      </w:r>
      <w:r w:rsidR="009A108F" w:rsidRPr="00F71F57">
        <w:rPr>
          <w:rFonts w:asciiTheme="majorBidi" w:hAnsiTheme="majorBidi" w:cstheme="majorBidi"/>
          <w:sz w:val="24"/>
          <w:szCs w:val="24"/>
          <w:lang w:val="en-GB" w:bidi="fa-IR"/>
        </w:rPr>
        <w:t>(</w:t>
      </w:r>
      <w:hyperlink w:anchor="_ENREF_15" w:tooltip="Barnett, 2016 #354" w:history="1">
        <w:r w:rsidR="00DE113E" w:rsidRPr="00F71F57">
          <w:rPr>
            <w:rFonts w:asciiTheme="majorBidi" w:hAnsiTheme="majorBidi" w:cstheme="majorBidi"/>
            <w:sz w:val="24"/>
            <w:szCs w:val="24"/>
            <w:lang w:val="en-GB" w:bidi="fa-IR"/>
          </w:rPr>
          <w:t>Barnett et al., 2016</w:t>
        </w:r>
      </w:hyperlink>
      <w:r w:rsidR="009A108F" w:rsidRPr="00F71F57">
        <w:rPr>
          <w:rFonts w:asciiTheme="majorBidi" w:hAnsiTheme="majorBidi" w:cstheme="majorBidi"/>
          <w:sz w:val="24"/>
          <w:szCs w:val="24"/>
          <w:lang w:val="en-GB" w:bidi="fa-IR"/>
        </w:rPr>
        <w:t xml:space="preserve">; </w:t>
      </w:r>
      <w:hyperlink w:anchor="_ENREF_169" w:tooltip="Nithianantharajah, 2015 #320" w:history="1">
        <w:r w:rsidR="00DE113E" w:rsidRPr="00F71F57">
          <w:rPr>
            <w:rFonts w:asciiTheme="majorBidi" w:hAnsiTheme="majorBidi" w:cstheme="majorBidi"/>
            <w:sz w:val="24"/>
            <w:szCs w:val="24"/>
            <w:lang w:val="en-GB" w:bidi="fa-IR"/>
          </w:rPr>
          <w:t>Nithianantharajah et al., 2015</w:t>
        </w:r>
      </w:hyperlink>
      <w:r w:rsidR="009A108F" w:rsidRPr="00F71F57">
        <w:rPr>
          <w:rFonts w:asciiTheme="majorBidi" w:hAnsiTheme="majorBidi" w:cstheme="majorBidi"/>
          <w:sz w:val="24"/>
          <w:szCs w:val="24"/>
          <w:lang w:val="en-GB" w:bidi="fa-IR"/>
        </w:rPr>
        <w:t>)</w:t>
      </w:r>
      <w:r w:rsidR="009A108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The Bussey-Saksida touchscreen chamber, for example, allows the assessment of a wide range of domains, including attention, working memory, cognitive flexibility, and decision-making, in ways that parallel human task performance</w:t>
      </w:r>
      <w:r w:rsidR="009A108F" w:rsidRPr="00F71F57">
        <w:rPr>
          <w:rFonts w:asciiTheme="majorBidi" w:hAnsiTheme="majorBidi" w:cstheme="majorBidi"/>
          <w:sz w:val="24"/>
          <w:szCs w:val="24"/>
          <w:rtl/>
          <w:lang w:val="en-GB" w:bidi="fa-IR"/>
        </w:rPr>
        <w:t xml:space="preserve"> </w:t>
      </w:r>
      <w:r w:rsidR="009A108F" w:rsidRPr="00F71F57">
        <w:rPr>
          <w:rFonts w:asciiTheme="majorBidi" w:hAnsiTheme="majorBidi" w:cstheme="majorBidi"/>
          <w:sz w:val="24"/>
          <w:szCs w:val="24"/>
          <w:lang w:val="en-GB" w:bidi="fa-IR"/>
        </w:rPr>
        <w:fldChar w:fldCharType="begin">
          <w:fldData xml:space="preserve">PEVuZE5vdGU+PENpdGU+PEF1dGhvcj5Ib3JuZXI8L0F1dGhvcj48WWVhcj4yMDEzPC9ZZWFyPjxS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==
</w:fldData>
        </w:fldChar>
      </w:r>
      <w:r w:rsidR="000A35E3">
        <w:rPr>
          <w:rFonts w:asciiTheme="majorBidi" w:hAnsiTheme="majorBidi" w:cstheme="majorBidi"/>
          <w:sz w:val="24"/>
          <w:szCs w:val="24"/>
          <w:lang w:val="en-GB" w:bidi="fa-IR"/>
        </w:rPr>
        <w:instrText xml:space="preserve"> ADDIN EN.CITE </w:instrText>
      </w:r>
      <w:r w:rsidR="000A35E3">
        <w:rPr>
          <w:rFonts w:asciiTheme="majorBidi" w:hAnsiTheme="majorBidi" w:cstheme="majorBidi"/>
          <w:sz w:val="24"/>
          <w:szCs w:val="24"/>
          <w:lang w:val="en-GB" w:bidi="fa-IR"/>
        </w:rPr>
        <w:fldChar w:fldCharType="begin">
          <w:fldData xml:space="preserve">PEVuZE5vdGU+PENpdGU+PEF1dGhvcj5Ib3JuZXI8L0F1dGhvcj48WWVhcj4yMDEzPC9ZZWFyPjxS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==
</w:fldData>
        </w:fldChar>
      </w:r>
      <w:r w:rsidR="000A35E3">
        <w:rPr>
          <w:rFonts w:asciiTheme="majorBidi" w:hAnsiTheme="majorBidi" w:cstheme="majorBidi"/>
          <w:sz w:val="24"/>
          <w:szCs w:val="24"/>
          <w:lang w:val="en-GB" w:bidi="fa-IR"/>
        </w:rPr>
        <w:instrText xml:space="preserve"> ADDIN EN.CITE.DATA </w:instrText>
      </w:r>
      <w:r w:rsidR="000A35E3">
        <w:rPr>
          <w:rFonts w:asciiTheme="majorBidi" w:hAnsiTheme="majorBidi" w:cstheme="majorBidi"/>
          <w:sz w:val="24"/>
          <w:szCs w:val="24"/>
          <w:lang w:val="en-GB" w:bidi="fa-IR"/>
        </w:rPr>
      </w:r>
      <w:r w:rsidR="000A35E3">
        <w:rPr>
          <w:rFonts w:asciiTheme="majorBidi" w:hAnsiTheme="majorBidi" w:cstheme="majorBidi"/>
          <w:sz w:val="24"/>
          <w:szCs w:val="24"/>
          <w:lang w:val="en-GB" w:bidi="fa-IR"/>
        </w:rPr>
        <w:fldChar w:fldCharType="end"/>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separate"/>
      </w:r>
      <w:r w:rsidR="000A35E3">
        <w:rPr>
          <w:rFonts w:asciiTheme="majorBidi" w:hAnsiTheme="majorBidi" w:cstheme="majorBidi"/>
          <w:noProof/>
          <w:sz w:val="24"/>
          <w:szCs w:val="24"/>
          <w:lang w:val="en-GB" w:bidi="fa-IR"/>
        </w:rPr>
        <w:t>(</w:t>
      </w:r>
      <w:hyperlink w:anchor="_ENREF_106" w:tooltip="Horner, 2013 #321" w:history="1">
        <w:r w:rsidR="00DE113E">
          <w:rPr>
            <w:rFonts w:asciiTheme="majorBidi" w:hAnsiTheme="majorBidi" w:cstheme="majorBidi"/>
            <w:noProof/>
            <w:sz w:val="24"/>
            <w:szCs w:val="24"/>
            <w:lang w:val="en-GB" w:bidi="fa-IR"/>
          </w:rPr>
          <w:t>Alexa E. Horner et al., 2013</w:t>
        </w:r>
      </w:hyperlink>
      <w:r w:rsidR="000A35E3">
        <w:rPr>
          <w:rFonts w:asciiTheme="majorBidi" w:hAnsiTheme="majorBidi" w:cstheme="majorBidi"/>
          <w:noProof/>
          <w:sz w:val="24"/>
          <w:szCs w:val="24"/>
          <w:lang w:val="en-GB" w:bidi="fa-IR"/>
        </w:rPr>
        <w:t xml:space="preserve">; </w:t>
      </w:r>
      <w:hyperlink w:anchor="_ENREF_204" w:tooltip="Romberg, 2013 #322" w:history="1">
        <w:r w:rsidR="00DE113E">
          <w:rPr>
            <w:rFonts w:asciiTheme="majorBidi" w:hAnsiTheme="majorBidi" w:cstheme="majorBidi"/>
            <w:noProof/>
            <w:sz w:val="24"/>
            <w:szCs w:val="24"/>
            <w:lang w:val="en-GB" w:bidi="fa-IR"/>
          </w:rPr>
          <w:t>Romberg et al., 2013</w:t>
        </w:r>
      </w:hyperlink>
      <w:r w:rsidR="000A35E3">
        <w:rPr>
          <w:rFonts w:asciiTheme="majorBidi" w:hAnsiTheme="majorBidi" w:cstheme="majorBidi"/>
          <w:noProof/>
          <w:sz w:val="24"/>
          <w:szCs w:val="24"/>
          <w:lang w:val="en-GB" w:bidi="fa-IR"/>
        </w:rPr>
        <w:t>)</w:t>
      </w:r>
      <w:r w:rsidR="009A108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9A108F"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A key advantage of touchscreen paradigms is the facilitation of both forward translation</w:t>
      </w:r>
      <w:r w:rsidR="00F305B5" w:rsidRPr="00F71F57">
        <w:rPr>
          <w:rFonts w:asciiTheme="majorBidi" w:hAnsiTheme="majorBidi" w:cstheme="majorBidi"/>
          <w:sz w:val="24"/>
          <w:szCs w:val="24"/>
          <w:rtl/>
          <w:lang w:val="en-GB" w:bidi="fa-IR"/>
        </w:rPr>
        <w:t xml:space="preserve"> </w:t>
      </w:r>
      <w:r w:rsidRPr="00F71F57">
        <w:rPr>
          <w:rFonts w:asciiTheme="majorBidi" w:hAnsiTheme="majorBidi" w:cstheme="majorBidi"/>
          <w:sz w:val="24"/>
          <w:szCs w:val="24"/>
          <w:lang w:val="en-GB" w:bidi="fa-IR"/>
        </w:rPr>
        <w:t xml:space="preserve">(adapting animal tasks to human protocols, e.g., virtual navigation analogues of the Morris Water Maze) and reverse translation (adapting human tasks for rodents, e.g., the 5-Choice Serial Reaction Time Task or Paired Associate Learning) </w:t>
      </w:r>
      <w:r w:rsidR="009A108F" w:rsidRPr="00F71F57">
        <w:rPr>
          <w:rFonts w:asciiTheme="majorBidi" w:hAnsiTheme="majorBidi" w:cstheme="majorBidi"/>
          <w:sz w:val="24"/>
          <w:szCs w:val="24"/>
          <w:lang w:val="en-GB" w:bidi="fa-IR"/>
        </w:rPr>
        <w:fldChar w:fldCharType="begin"/>
      </w:r>
      <w:r w:rsidR="009A108F" w:rsidRPr="00F71F57">
        <w:rPr>
          <w:rFonts w:asciiTheme="majorBidi" w:hAnsiTheme="majorBidi" w:cstheme="majorBidi"/>
          <w:sz w:val="24"/>
          <w:szCs w:val="24"/>
          <w:lang w:val="en-GB" w:bidi="fa-IR"/>
        </w:rPr>
        <w:instrText xml:space="preserve"> ADDIN EN.CITE &lt;EndNote&gt;&lt;Cite&gt;&lt;Author&gt;Bohbot&lt;/Author&gt;&lt;Year&gt;2004&lt;/Year&gt;&lt;RecNum&gt;323&lt;/RecNum&gt;&lt;DisplayText&gt;(Bohbot et al., 2004)&lt;/DisplayText&gt;&lt;record&gt;&lt;rec-number&gt;323&lt;/rec-number&gt;&lt;foreign-keys&gt;&lt;key app="EN" db-id="2ptrtps0adr9vke22dn5tpwzrsfaxtxrfwet" timestamp="1756379466"&gt;323&lt;/key&gt;&lt;/foreign-keys&gt;&lt;ref-type name="Journal Article"&gt;17&lt;/ref-type&gt;&lt;contributors&gt;&lt;authors&gt;&lt;author&gt;Bohbot, Véronique D.&lt;/author&gt;&lt;author&gt;Iaria, Giuseppe&lt;/author&gt;&lt;author&gt;Petrides, Michael&lt;/author&gt;&lt;/authors&gt;&lt;/contributors&gt;&lt;titles&gt;&lt;title&gt;Hippocampal Function and Spatial Memory: Evidence From Functional Neuroimaging in Healthy Participants and Performance of Patients With Medial Temporal Lobe Resections&lt;/title&gt;&lt;secondary-title&gt;Neuropsychology&lt;/secondary-title&gt;&lt;/titles&gt;&lt;periodical&gt;&lt;full-title&gt;Neuropsychology&lt;/full-title&gt;&lt;/periodical&gt;&lt;pages&gt;418-425&lt;/pages&gt;&lt;volume&gt;18&lt;/volume&gt;&lt;number&gt;3&lt;/number&gt;&lt;keywords&gt;&lt;keyword&gt;*Caudate Nucleus&lt;/keyword&gt;&lt;keyword&gt;*Cognitive Processes&lt;/keyword&gt;&lt;keyword&gt;*Hippocampus&lt;/keyword&gt;&lt;keyword&gt;*Spatial Memory&lt;/keyword&gt;&lt;keyword&gt;*Temporal Lobe&lt;/keyword&gt;&lt;keyword&gt;Neuroimaging&lt;/keyword&gt;&lt;keyword&gt;Strategies&lt;/keyword&gt;&lt;/keywords&gt;&lt;dates&gt;&lt;year&gt;2004&lt;/year&gt;&lt;/dates&gt;&lt;pub-location&gt;US&lt;/pub-location&gt;&lt;publisher&gt;American Psychological Association&lt;/publisher&gt;&lt;isbn&gt;1931-1559(Electronic),0894-4105(Print)&lt;/isbn&gt;&lt;urls&gt;&lt;/urls&gt;&lt;electronic-resource-num&gt;10.1037/0894-4105.18.3.418&lt;/electronic-resource-num&gt;&lt;/record&gt;&lt;/Cite&gt;&lt;/EndNote&gt;</w:instrText>
      </w:r>
      <w:r w:rsidR="009A108F" w:rsidRPr="00F71F57">
        <w:rPr>
          <w:rFonts w:asciiTheme="majorBidi" w:hAnsiTheme="majorBidi" w:cstheme="majorBidi"/>
          <w:sz w:val="24"/>
          <w:szCs w:val="24"/>
          <w:lang w:val="en-GB" w:bidi="fa-IR"/>
        </w:rPr>
        <w:fldChar w:fldCharType="separate"/>
      </w:r>
      <w:r w:rsidR="009A108F" w:rsidRPr="00F71F57">
        <w:rPr>
          <w:rFonts w:asciiTheme="majorBidi" w:hAnsiTheme="majorBidi" w:cstheme="majorBidi"/>
          <w:sz w:val="24"/>
          <w:szCs w:val="24"/>
          <w:lang w:val="en-GB" w:bidi="fa-IR"/>
        </w:rPr>
        <w:t>(</w:t>
      </w:r>
      <w:hyperlink w:anchor="_ENREF_24" w:tooltip="Bohbot, 2004 #323" w:history="1">
        <w:r w:rsidR="00DE113E" w:rsidRPr="00F71F57">
          <w:rPr>
            <w:rFonts w:asciiTheme="majorBidi" w:hAnsiTheme="majorBidi" w:cstheme="majorBidi"/>
            <w:sz w:val="24"/>
            <w:szCs w:val="24"/>
            <w:lang w:val="en-GB" w:bidi="fa-IR"/>
          </w:rPr>
          <w:t>Bohbot et al., 2004</w:t>
        </w:r>
      </w:hyperlink>
      <w:r w:rsidR="009A108F" w:rsidRPr="00F71F57">
        <w:rPr>
          <w:rFonts w:asciiTheme="majorBidi" w:hAnsiTheme="majorBidi" w:cstheme="majorBidi"/>
          <w:sz w:val="24"/>
          <w:szCs w:val="24"/>
          <w:lang w:val="en-GB" w:bidi="fa-IR"/>
        </w:rPr>
        <w:t>)</w:t>
      </w:r>
      <w:r w:rsidR="009A108F" w:rsidRPr="00F71F57">
        <w:rPr>
          <w:rFonts w:asciiTheme="majorBidi" w:hAnsiTheme="majorBidi" w:cstheme="majorBidi"/>
          <w:sz w:val="24"/>
          <w:szCs w:val="24"/>
          <w:lang w:val="en-GB" w:bidi="fa-IR"/>
        </w:rPr>
        <w:fldChar w:fldCharType="end"/>
      </w:r>
      <w:r w:rsidR="009A108F" w:rsidRPr="00F71F57">
        <w:rPr>
          <w:lang w:val="en-GB"/>
        </w:rPr>
        <w:t xml:space="preserve"> </w:t>
      </w:r>
      <w:r w:rsidR="009A108F" w:rsidRPr="00F71F57">
        <w:rPr>
          <w:rFonts w:asciiTheme="majorBidi" w:hAnsiTheme="majorBidi" w:cstheme="majorBidi"/>
          <w:sz w:val="24"/>
          <w:szCs w:val="24"/>
          <w:lang w:val="en-GB" w:bidi="fa-IR"/>
        </w:rPr>
        <w:fldChar w:fldCharType="begin"/>
      </w:r>
      <w:r w:rsidR="00C41E3C">
        <w:rPr>
          <w:rFonts w:asciiTheme="majorBidi" w:hAnsiTheme="majorBidi" w:cstheme="majorBidi"/>
          <w:sz w:val="24"/>
          <w:szCs w:val="24"/>
          <w:lang w:val="en-GB" w:bidi="fa-IR"/>
        </w:rPr>
        <w:instrText xml:space="preserve"> ADDIN EN.CITE &lt;EndNote&gt;&lt;Cite&gt;&lt;Author&gt;Talpos&lt;/Author&gt;&lt;Year&gt;2010&lt;/Year&gt;&lt;RecNum&gt;324&lt;/RecNum&gt;&lt;DisplayText&gt;(Talpos et al., 2010a)&lt;/DisplayText&gt;&lt;record&gt;&lt;rec-number&gt;324&lt;/rec-number&gt;&lt;foreign-keys&gt;&lt;key app="EN" db-id="2ptrtps0adr9vke22dn5tpwzrsfaxtxrfwet" timestamp="1756379486"&gt;324&lt;/key&gt;&lt;/foreign-keys&gt;&lt;ref-type name="Journal Article"&gt;17&lt;/ref-type&gt;&lt;contributors&gt;&lt;authors&gt;&lt;author&gt;Talpos, J. C.&lt;/author&gt;&lt;author&gt;McTighe, S. M.&lt;/author&gt;&lt;author&gt;Dias, R.&lt;/author&gt;&lt;author&gt;Saksida, L. M.&lt;/author&gt;&lt;author&gt;Bussey, T. J.&lt;/author&gt;&lt;/authors&gt;&lt;/contributors&gt;&lt;titles&gt;&lt;title&gt;Trial-unique, delayed nonmatching-to-location (TUNL): A novel, highly hippocampus-dependent automated touchscreen test of location memory and pattern separation&lt;/title&gt;&lt;secondary-title&gt;Neurobiology of Learning and Memory&lt;/secondary-title&gt;&lt;/titles&gt;&lt;periodical&gt;&lt;full-title&gt;Neurobiology of Learning and Memory&lt;/full-title&gt;&lt;/periodical&gt;&lt;pages&gt;341-352&lt;/pages&gt;&lt;volume&gt;94&lt;/volume&gt;&lt;number&gt;3&lt;/number&gt;&lt;keywords&gt;&lt;keyword&gt;High-throughput&lt;/keyword&gt;&lt;keyword&gt;Automated&lt;/keyword&gt;&lt;keyword&gt;Delayed nonmatch-to-position&lt;/keyword&gt;&lt;keyword&gt;Hippocampus&lt;/keyword&gt;&lt;keyword&gt;Spatial learning&lt;/keyword&gt;&lt;keyword&gt;Pattern separation&lt;/keyword&gt;&lt;/keywords&gt;&lt;dates&gt;&lt;year&gt;2010&lt;/year&gt;&lt;pub-dates&gt;&lt;date&gt;2010/10/01/&lt;/date&gt;&lt;/pub-dates&gt;&lt;/dates&gt;&lt;isbn&gt;1074-7427&lt;/isbn&gt;&lt;urls&gt;&lt;related-urls&gt;&lt;url&gt;https://www.sciencedirect.com/science/article/pii/S1074742710001267&lt;/url&gt;&lt;/related-urls&gt;&lt;/urls&gt;&lt;electronic-resource-num&gt;https://doi.org/10.1016/j.nlm.2010.07.006&lt;/electronic-resource-num&gt;&lt;/record&gt;&lt;/Cite&gt;&lt;/EndNote&gt;</w:instrText>
      </w:r>
      <w:r w:rsidR="009A108F" w:rsidRPr="00F71F57">
        <w:rPr>
          <w:rFonts w:asciiTheme="majorBidi" w:hAnsiTheme="majorBidi" w:cstheme="majorBidi"/>
          <w:sz w:val="24"/>
          <w:szCs w:val="24"/>
          <w:lang w:val="en-GB" w:bidi="fa-IR"/>
        </w:rPr>
        <w:fldChar w:fldCharType="separate"/>
      </w:r>
      <w:r w:rsidR="00C41E3C">
        <w:rPr>
          <w:rFonts w:asciiTheme="majorBidi" w:hAnsiTheme="majorBidi" w:cstheme="majorBidi"/>
          <w:noProof/>
          <w:sz w:val="24"/>
          <w:szCs w:val="24"/>
          <w:lang w:val="en-GB" w:bidi="fa-IR"/>
        </w:rPr>
        <w:t>(</w:t>
      </w:r>
      <w:hyperlink w:anchor="_ENREF_239" w:tooltip="Talpos, 2010 #324" w:history="1">
        <w:r w:rsidR="00DE113E">
          <w:rPr>
            <w:rFonts w:asciiTheme="majorBidi" w:hAnsiTheme="majorBidi" w:cstheme="majorBidi"/>
            <w:noProof/>
            <w:sz w:val="24"/>
            <w:szCs w:val="24"/>
            <w:lang w:val="en-GB" w:bidi="fa-IR"/>
          </w:rPr>
          <w:t>Talpos et al., 2010a</w:t>
        </w:r>
      </w:hyperlink>
      <w:r w:rsidR="00C41E3C">
        <w:rPr>
          <w:rFonts w:asciiTheme="majorBidi" w:hAnsiTheme="majorBidi" w:cstheme="majorBidi"/>
          <w:noProof/>
          <w:sz w:val="24"/>
          <w:szCs w:val="24"/>
          <w:lang w:val="en-GB" w:bidi="fa-IR"/>
        </w:rPr>
        <w:t>)</w:t>
      </w:r>
      <w:r w:rsidR="009A108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This bidirectional approach enables researchers to establish homologous measures of cognition across species and to validate rodent models against known patient phenotypes</w:t>
      </w:r>
      <w:r w:rsidR="009A108F" w:rsidRPr="00F71F57">
        <w:rPr>
          <w:lang w:val="en-GB"/>
        </w:rPr>
        <w:t xml:space="preserve"> </w:t>
      </w:r>
      <w:r w:rsidR="009A108F" w:rsidRPr="00F71F57">
        <w:rPr>
          <w:rFonts w:asciiTheme="majorBidi" w:hAnsiTheme="majorBidi" w:cstheme="majorBidi"/>
          <w:sz w:val="24"/>
          <w:szCs w:val="24"/>
          <w:lang w:val="en-GB" w:bidi="fa-IR"/>
        </w:rPr>
        <w:fldChar w:fldCharType="begin">
          <w:fldData xml:space="preserve">PEVuZE5vdGU+PENpdGU+PEF1dGhvcj5Sb21iZXJnPC9BdXRob3I+PFllYXI+MjAxMTwvWWVhcj48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</w:fldData>
        </w:fldChar>
      </w:r>
      <w:r w:rsidR="00B220D7">
        <w:rPr>
          <w:rFonts w:asciiTheme="majorBidi" w:hAnsiTheme="majorBidi" w:cstheme="majorBidi"/>
          <w:sz w:val="24"/>
          <w:szCs w:val="24"/>
          <w:lang w:val="en-GB" w:bidi="fa-IR"/>
        </w:rPr>
        <w:instrText xml:space="preserve"> ADDIN EN.CITE </w:instrText>
      </w:r>
      <w:r w:rsidR="00B220D7">
        <w:rPr>
          <w:rFonts w:asciiTheme="majorBidi" w:hAnsiTheme="majorBidi" w:cstheme="majorBidi"/>
          <w:sz w:val="24"/>
          <w:szCs w:val="24"/>
          <w:lang w:val="en-GB" w:bidi="fa-IR"/>
        </w:rPr>
        <w:fldChar w:fldCharType="begin">
          <w:fldData xml:space="preserve">PEVuZE5vdGU+PENpdGU+PEF1dGhvcj5Sb21iZXJnPC9BdXRob3I+PFllYXI+MjAxMTwvWWVhcj48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</w:fldData>
        </w:fldChar>
      </w:r>
      <w:r w:rsidR="00B220D7">
        <w:rPr>
          <w:rFonts w:asciiTheme="majorBidi" w:hAnsiTheme="majorBidi" w:cstheme="majorBidi"/>
          <w:sz w:val="24"/>
          <w:szCs w:val="24"/>
          <w:lang w:val="en-GB" w:bidi="fa-IR"/>
        </w:rPr>
        <w:instrText xml:space="preserve"> ADDIN EN.CITE.DATA </w:instrText>
      </w:r>
      <w:r w:rsidR="00B220D7">
        <w:rPr>
          <w:rFonts w:asciiTheme="majorBidi" w:hAnsiTheme="majorBidi" w:cstheme="majorBidi"/>
          <w:sz w:val="24"/>
          <w:szCs w:val="24"/>
          <w:lang w:val="en-GB" w:bidi="fa-IR"/>
        </w:rPr>
      </w:r>
      <w:r w:rsidR="00B220D7">
        <w:rPr>
          <w:rFonts w:asciiTheme="majorBidi" w:hAnsiTheme="majorBidi" w:cstheme="majorBidi"/>
          <w:sz w:val="24"/>
          <w:szCs w:val="24"/>
          <w:lang w:val="en-GB" w:bidi="fa-IR"/>
        </w:rPr>
        <w:fldChar w:fldCharType="end"/>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separate"/>
      </w:r>
      <w:r w:rsidR="00B220D7">
        <w:rPr>
          <w:rFonts w:asciiTheme="majorBidi" w:hAnsiTheme="majorBidi" w:cstheme="majorBidi"/>
          <w:noProof/>
          <w:sz w:val="24"/>
          <w:szCs w:val="24"/>
          <w:lang w:val="en-GB" w:bidi="fa-IR"/>
        </w:rPr>
        <w:t>(</w:t>
      </w:r>
      <w:hyperlink w:anchor="_ENREF_167" w:tooltip="Nilsson, 2018 #326" w:history="1">
        <w:r w:rsidR="00DE113E">
          <w:rPr>
            <w:rFonts w:asciiTheme="majorBidi" w:hAnsiTheme="majorBidi" w:cstheme="majorBidi"/>
            <w:noProof/>
            <w:sz w:val="24"/>
            <w:szCs w:val="24"/>
            <w:lang w:val="en-GB" w:bidi="fa-IR"/>
          </w:rPr>
          <w:t>Nilsson et al., 2018</w:t>
        </w:r>
      </w:hyperlink>
      <w:r w:rsidR="00B220D7">
        <w:rPr>
          <w:rFonts w:asciiTheme="majorBidi" w:hAnsiTheme="majorBidi" w:cstheme="majorBidi"/>
          <w:noProof/>
          <w:sz w:val="24"/>
          <w:szCs w:val="24"/>
          <w:lang w:val="en-GB" w:bidi="fa-IR"/>
        </w:rPr>
        <w:t xml:space="preserve">; </w:t>
      </w:r>
      <w:hyperlink w:anchor="_ENREF_206" w:tooltip="Romberg, 2011 #325" w:history="1">
        <w:r w:rsidR="00DE113E">
          <w:rPr>
            <w:rFonts w:asciiTheme="majorBidi" w:hAnsiTheme="majorBidi" w:cstheme="majorBidi"/>
            <w:noProof/>
            <w:sz w:val="24"/>
            <w:szCs w:val="24"/>
            <w:lang w:val="en-GB" w:bidi="fa-IR"/>
          </w:rPr>
          <w:t>C. Romberg et al., 2011</w:t>
        </w:r>
      </w:hyperlink>
      <w:r w:rsidR="00B220D7">
        <w:rPr>
          <w:rFonts w:asciiTheme="majorBidi" w:hAnsiTheme="majorBidi" w:cstheme="majorBidi"/>
          <w:noProof/>
          <w:sz w:val="24"/>
          <w:szCs w:val="24"/>
          <w:lang w:val="en-GB" w:bidi="fa-IR"/>
        </w:rPr>
        <w:t>)</w:t>
      </w:r>
      <w:r w:rsidR="009A108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r w:rsidR="009A108F" w:rsidRPr="00F71F57">
        <w:rPr>
          <w:rFonts w:asciiTheme="majorBidi" w:hAnsiTheme="majorBidi" w:cstheme="majorBidi"/>
          <w:sz w:val="24"/>
          <w:szCs w:val="24"/>
          <w:lang w:val="en-GB" w:bidi="fa-IR"/>
        </w:rPr>
        <w:t xml:space="preserve"> </w:t>
      </w:r>
      <w:r w:rsidRPr="00F71F57">
        <w:rPr>
          <w:rFonts w:asciiTheme="majorBidi" w:hAnsiTheme="majorBidi" w:cstheme="majorBidi"/>
          <w:sz w:val="24"/>
          <w:szCs w:val="24"/>
          <w:lang w:val="en-GB" w:bidi="fa-IR"/>
        </w:rPr>
        <w:t xml:space="preserve">Importantly, touchscreen paradigms have opened the possibility of co-clinical trials, in which rodent models and human patients are assessed in parallel using identical tasks. Such frameworks, </w:t>
      </w:r>
      <w:r w:rsidRPr="00F71F57">
        <w:rPr>
          <w:rFonts w:asciiTheme="majorBidi" w:hAnsiTheme="majorBidi" w:cstheme="majorBidi"/>
          <w:sz w:val="24"/>
          <w:szCs w:val="24"/>
          <w:lang w:val="en-GB" w:bidi="fa-IR"/>
        </w:rPr>
        <w:lastRenderedPageBreak/>
        <w:t xml:space="preserve">initially pioneered in oncology, allow for the rapid screening of candidate therapeutics and the stratification of patient populations based on genetic, molecular, or cognitive criteria </w:t>
      </w:r>
      <w:r w:rsidR="009A108F" w:rsidRPr="00F71F57">
        <w:rPr>
          <w:rFonts w:asciiTheme="majorBidi" w:hAnsiTheme="majorBidi" w:cstheme="majorBidi"/>
          <w:sz w:val="24"/>
          <w:szCs w:val="24"/>
          <w:lang w:val="en-GB" w:bidi="fa-IR"/>
        </w:rPr>
        <w:fldChar w:fldCharType="begin">
          <w:fldData xml:space="preserve">PEVuZE5vdGU+PENpdGU+PEF1dGhvcj5DbG9oZXNzeTwvQXV0aG9yPjxZZWFyPjIwMTU8L1llYXI+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=
</w:fldData>
        </w:fldChar>
      </w:r>
      <w:r w:rsidR="009A108F" w:rsidRPr="00F71F57">
        <w:rPr>
          <w:rFonts w:asciiTheme="majorBidi" w:hAnsiTheme="majorBidi" w:cstheme="majorBidi"/>
          <w:sz w:val="24"/>
          <w:szCs w:val="24"/>
          <w:lang w:val="en-GB" w:bidi="fa-IR"/>
        </w:rPr>
        <w:instrText xml:space="preserve"> ADDIN EN.CITE </w:instrText>
      </w:r>
      <w:r w:rsidR="009A108F" w:rsidRPr="00F71F57">
        <w:rPr>
          <w:rFonts w:asciiTheme="majorBidi" w:hAnsiTheme="majorBidi" w:cstheme="majorBidi"/>
          <w:sz w:val="24"/>
          <w:szCs w:val="24"/>
          <w:lang w:val="en-GB" w:bidi="fa-IR"/>
        </w:rPr>
        <w:fldChar w:fldCharType="begin">
          <w:fldData xml:space="preserve">PEVuZE5vdGU+PENpdGU+PEF1dGhvcj5DbG9oZXNzeTwvQXV0aG9yPjxZZWFyPjIwMTU8L1llYXI+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=
</w:fldData>
        </w:fldChar>
      </w:r>
      <w:r w:rsidR="009A108F" w:rsidRPr="00F71F57">
        <w:rPr>
          <w:rFonts w:asciiTheme="majorBidi" w:hAnsiTheme="majorBidi" w:cstheme="majorBidi"/>
          <w:sz w:val="24"/>
          <w:szCs w:val="24"/>
          <w:lang w:val="en-GB" w:bidi="fa-IR"/>
        </w:rPr>
        <w:instrText xml:space="preserve"> ADDIN EN.CITE.DATA </w:instrText>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end"/>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separate"/>
      </w:r>
      <w:r w:rsidR="009A108F" w:rsidRPr="00F71F57">
        <w:rPr>
          <w:rFonts w:asciiTheme="majorBidi" w:hAnsiTheme="majorBidi" w:cstheme="majorBidi"/>
          <w:sz w:val="24"/>
          <w:szCs w:val="24"/>
          <w:lang w:val="en-GB" w:bidi="fa-IR"/>
        </w:rPr>
        <w:t>(</w:t>
      </w:r>
      <w:hyperlink w:anchor="_ENREF_49" w:tooltip="Clohessy, 2015 #327" w:history="1">
        <w:r w:rsidR="00DE113E" w:rsidRPr="00F71F57">
          <w:rPr>
            <w:rFonts w:asciiTheme="majorBidi" w:hAnsiTheme="majorBidi" w:cstheme="majorBidi"/>
            <w:sz w:val="24"/>
            <w:szCs w:val="24"/>
            <w:lang w:val="en-GB" w:bidi="fa-IR"/>
          </w:rPr>
          <w:t>Clohessy &amp; Pandolfi, 2015</w:t>
        </w:r>
      </w:hyperlink>
      <w:r w:rsidR="009A108F" w:rsidRPr="00F71F57">
        <w:rPr>
          <w:rFonts w:asciiTheme="majorBidi" w:hAnsiTheme="majorBidi" w:cstheme="majorBidi"/>
          <w:sz w:val="24"/>
          <w:szCs w:val="24"/>
          <w:lang w:val="en-GB" w:bidi="fa-IR"/>
        </w:rPr>
        <w:t xml:space="preserve">; </w:t>
      </w:r>
      <w:hyperlink w:anchor="_ENREF_177" w:tooltip="Palmer, 2021 #311" w:history="1">
        <w:r w:rsidR="00DE113E" w:rsidRPr="00F71F57">
          <w:rPr>
            <w:rFonts w:asciiTheme="majorBidi" w:hAnsiTheme="majorBidi" w:cstheme="majorBidi"/>
            <w:sz w:val="24"/>
            <w:szCs w:val="24"/>
            <w:lang w:val="en-GB" w:bidi="fa-IR"/>
          </w:rPr>
          <w:t>Palmer et al., 2021</w:t>
        </w:r>
      </w:hyperlink>
      <w:r w:rsidR="009A108F" w:rsidRPr="00F71F57">
        <w:rPr>
          <w:rFonts w:asciiTheme="majorBidi" w:hAnsiTheme="majorBidi" w:cstheme="majorBidi"/>
          <w:sz w:val="24"/>
          <w:szCs w:val="24"/>
          <w:lang w:val="en-GB" w:bidi="fa-IR"/>
        </w:rPr>
        <w:t>)</w:t>
      </w:r>
      <w:r w:rsidR="009A108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 Early evidence indicates that this approach could accelerate drug discovery and improve the likelihood of clinical success in conditions such as Alzheimer’s disease, Huntington’s disease, and schizophrenia</w:t>
      </w:r>
      <w:r w:rsidR="009A108F" w:rsidRPr="00F71F57">
        <w:rPr>
          <w:lang w:val="en-GB"/>
        </w:rPr>
        <w:t xml:space="preserve"> </w:t>
      </w:r>
      <w:r w:rsidR="009A108F" w:rsidRPr="00F71F57">
        <w:rPr>
          <w:rFonts w:asciiTheme="majorBidi" w:hAnsiTheme="majorBidi" w:cstheme="majorBidi"/>
          <w:sz w:val="24"/>
          <w:szCs w:val="24"/>
          <w:lang w:val="en-GB" w:bidi="fa-IR"/>
        </w:rPr>
        <w:fldChar w:fldCharType="begin">
          <w:fldData xml:space="preserve">PEVuZE5vdGU+PENpdGU+PEF1dGhvcj5IZWF0aDwvQXV0aG9yPjxZZWFyPjIwMTk8L1llYXI+PFJl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</w:fldData>
        </w:fldChar>
      </w:r>
      <w:r w:rsidR="009A108F" w:rsidRPr="00F71F57">
        <w:rPr>
          <w:rFonts w:asciiTheme="majorBidi" w:hAnsiTheme="majorBidi" w:cstheme="majorBidi"/>
          <w:sz w:val="24"/>
          <w:szCs w:val="24"/>
          <w:lang w:val="en-GB" w:bidi="fa-IR"/>
        </w:rPr>
        <w:instrText xml:space="preserve"> ADDIN EN.CITE </w:instrText>
      </w:r>
      <w:r w:rsidR="009A108F" w:rsidRPr="00F71F57">
        <w:rPr>
          <w:rFonts w:asciiTheme="majorBidi" w:hAnsiTheme="majorBidi" w:cstheme="majorBidi"/>
          <w:sz w:val="24"/>
          <w:szCs w:val="24"/>
          <w:lang w:val="en-GB" w:bidi="fa-IR"/>
        </w:rPr>
        <w:fldChar w:fldCharType="begin">
          <w:fldData xml:space="preserve">PEVuZE5vdGU+PENpdGU+PEF1dGhvcj5IZWF0aDwvQXV0aG9yPjxZZWFyPjIwMTk8L1llYXI+PFJl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</w:fldData>
        </w:fldChar>
      </w:r>
      <w:r w:rsidR="009A108F" w:rsidRPr="00F71F57">
        <w:rPr>
          <w:rFonts w:asciiTheme="majorBidi" w:hAnsiTheme="majorBidi" w:cstheme="majorBidi"/>
          <w:sz w:val="24"/>
          <w:szCs w:val="24"/>
          <w:lang w:val="en-GB" w:bidi="fa-IR"/>
        </w:rPr>
        <w:instrText xml:space="preserve"> ADDIN EN.CITE.DATA </w:instrText>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end"/>
      </w:r>
      <w:r w:rsidR="009A108F" w:rsidRPr="00F71F57">
        <w:rPr>
          <w:rFonts w:asciiTheme="majorBidi" w:hAnsiTheme="majorBidi" w:cstheme="majorBidi"/>
          <w:sz w:val="24"/>
          <w:szCs w:val="24"/>
          <w:lang w:val="en-GB" w:bidi="fa-IR"/>
        </w:rPr>
      </w:r>
      <w:r w:rsidR="009A108F" w:rsidRPr="00F71F57">
        <w:rPr>
          <w:rFonts w:asciiTheme="majorBidi" w:hAnsiTheme="majorBidi" w:cstheme="majorBidi"/>
          <w:sz w:val="24"/>
          <w:szCs w:val="24"/>
          <w:lang w:val="en-GB" w:bidi="fa-IR"/>
        </w:rPr>
        <w:fldChar w:fldCharType="separate"/>
      </w:r>
      <w:r w:rsidR="009A108F" w:rsidRPr="00F71F57">
        <w:rPr>
          <w:rFonts w:asciiTheme="majorBidi" w:hAnsiTheme="majorBidi" w:cstheme="majorBidi"/>
          <w:sz w:val="24"/>
          <w:szCs w:val="24"/>
          <w:lang w:val="en-GB" w:bidi="fa-IR"/>
        </w:rPr>
        <w:t>(</w:t>
      </w:r>
      <w:hyperlink w:anchor="_ENREF_101" w:tooltip="Heath, 2019 #329" w:history="1">
        <w:r w:rsidR="00DE113E" w:rsidRPr="00F71F57">
          <w:rPr>
            <w:rFonts w:asciiTheme="majorBidi" w:hAnsiTheme="majorBidi" w:cstheme="majorBidi"/>
            <w:sz w:val="24"/>
            <w:szCs w:val="24"/>
            <w:lang w:val="en-GB" w:bidi="fa-IR"/>
          </w:rPr>
          <w:t>Heath et al., 2019</w:t>
        </w:r>
      </w:hyperlink>
      <w:r w:rsidR="009A108F" w:rsidRPr="00F71F57">
        <w:rPr>
          <w:rFonts w:asciiTheme="majorBidi" w:hAnsiTheme="majorBidi" w:cstheme="majorBidi"/>
          <w:sz w:val="24"/>
          <w:szCs w:val="24"/>
          <w:lang w:val="en-GB" w:bidi="fa-IR"/>
        </w:rPr>
        <w:t xml:space="preserve">; </w:t>
      </w:r>
      <w:hyperlink w:anchor="_ENREF_222" w:tooltip="Shepherd, 2021 #330" w:history="1">
        <w:r w:rsidR="00DE113E" w:rsidRPr="00F71F57">
          <w:rPr>
            <w:rFonts w:asciiTheme="majorBidi" w:hAnsiTheme="majorBidi" w:cstheme="majorBidi"/>
            <w:sz w:val="24"/>
            <w:szCs w:val="24"/>
            <w:lang w:val="en-GB" w:bidi="fa-IR"/>
          </w:rPr>
          <w:t>Shepherd, May, et al., 2021</w:t>
        </w:r>
      </w:hyperlink>
      <w:r w:rsidR="009A108F" w:rsidRPr="00F71F57">
        <w:rPr>
          <w:rFonts w:asciiTheme="majorBidi" w:hAnsiTheme="majorBidi" w:cstheme="majorBidi"/>
          <w:sz w:val="24"/>
          <w:szCs w:val="24"/>
          <w:lang w:val="en-GB" w:bidi="fa-IR"/>
        </w:rPr>
        <w:t>)</w:t>
      </w:r>
      <w:r w:rsidR="009A108F" w:rsidRPr="00F71F57">
        <w:rPr>
          <w:rFonts w:asciiTheme="majorBidi" w:hAnsiTheme="majorBidi" w:cstheme="majorBidi"/>
          <w:sz w:val="24"/>
          <w:szCs w:val="24"/>
          <w:lang w:val="en-GB" w:bidi="fa-IR"/>
        </w:rPr>
        <w:fldChar w:fldCharType="end"/>
      </w:r>
      <w:r w:rsidRPr="00F71F57">
        <w:rPr>
          <w:rFonts w:asciiTheme="majorBidi" w:hAnsiTheme="majorBidi" w:cstheme="majorBidi"/>
          <w:sz w:val="24"/>
          <w:szCs w:val="24"/>
          <w:lang w:val="en-GB" w:bidi="fa-IR"/>
        </w:rPr>
        <w:t>.</w:t>
      </w:r>
    </w:p>
    <w:p w14:paraId="59C39FF7" w14:textId="77777777" w:rsidR="00CD6C40" w:rsidRDefault="00CD6C40" w:rsidP="00D623DE">
      <w:pPr>
        <w:rPr>
          <w:rFonts w:asciiTheme="majorBidi" w:hAnsiTheme="majorBidi" w:cstheme="majorBidi"/>
          <w:b/>
          <w:bCs/>
          <w:sz w:val="24"/>
          <w:szCs w:val="24"/>
          <w:lang w:val="en-GB" w:bidi="fa-IR"/>
        </w:rPr>
      </w:pPr>
    </w:p>
    <w:p w14:paraId="5C00EBC8" w14:textId="2E2EF040" w:rsidR="00002B54" w:rsidRPr="00F71F57" w:rsidRDefault="00002B54" w:rsidP="00D623DE">
      <w:pPr>
        <w:pStyle w:val="Heading2"/>
        <w:ind w:left="1080"/>
        <w:rPr>
          <w:lang w:val="en-GB" w:bidi="fa-IR"/>
        </w:rPr>
      </w:pPr>
      <w:bookmarkStart w:id="32" w:name="_Toc214875839"/>
      <w:r w:rsidRPr="00F71F57">
        <w:rPr>
          <w:lang w:val="en-GB" w:bidi="fa-IR"/>
        </w:rPr>
        <w:t>1.</w:t>
      </w:r>
      <w:r w:rsidR="003167B3" w:rsidRPr="00F71F57">
        <w:rPr>
          <w:lang w:val="en-GB" w:bidi="fa-IR"/>
        </w:rPr>
        <w:t>3</w:t>
      </w:r>
      <w:r w:rsidRPr="00F71F57">
        <w:rPr>
          <w:lang w:val="en-GB" w:bidi="fa-IR"/>
        </w:rPr>
        <w:t xml:space="preserve"> Role of Plant-Derived Compounds in Cognitive Enhancement</w:t>
      </w:r>
      <w:bookmarkEnd w:id="32"/>
    </w:p>
    <w:p w14:paraId="1DB899A9" w14:textId="32EA2720" w:rsidR="00DB7309" w:rsidRPr="00F71F57" w:rsidRDefault="00DB7309" w:rsidP="00D623DE">
      <w:pPr>
        <w:pStyle w:val="Heading3"/>
        <w:ind w:left="1080"/>
        <w:rPr>
          <w:lang w:val="en-GB" w:bidi="fa-IR"/>
        </w:rPr>
      </w:pPr>
      <w:bookmarkStart w:id="33" w:name="_Toc214875840"/>
      <w:r w:rsidRPr="00F71F57">
        <w:rPr>
          <w:lang w:val="en-GB" w:bidi="fa-IR"/>
        </w:rPr>
        <w:t>1.</w:t>
      </w:r>
      <w:r w:rsidR="003167B3" w:rsidRPr="00F71F57">
        <w:rPr>
          <w:lang w:val="en-GB" w:bidi="fa-IR"/>
        </w:rPr>
        <w:t>3</w:t>
      </w:r>
      <w:r w:rsidRPr="00F71F57">
        <w:rPr>
          <w:lang w:val="en-GB" w:bidi="fa-IR"/>
        </w:rPr>
        <w:t>.1 Natural Products as Cognitive Enhancers</w:t>
      </w:r>
      <w:bookmarkEnd w:id="33"/>
    </w:p>
    <w:p w14:paraId="769E21F5" w14:textId="3F9480C1" w:rsidR="00B7192C" w:rsidRPr="00D4551A" w:rsidRDefault="00C06842" w:rsidP="00C80A17">
      <w:pPr>
        <w:spacing w:line="360" w:lineRule="auto"/>
        <w:ind w:left="1080"/>
        <w:jc w:val="both"/>
        <w:rPr>
          <w:rFonts w:asciiTheme="majorBidi" w:hAnsiTheme="majorBidi" w:cstheme="majorBidi"/>
          <w:sz w:val="24"/>
          <w:szCs w:val="24"/>
          <w:lang w:val="en-GB" w:bidi="fa-IR"/>
        </w:rPr>
      </w:pPr>
      <w:r w:rsidRPr="00C06842">
        <w:rPr>
          <w:rFonts w:asciiTheme="majorBidi" w:hAnsiTheme="majorBidi" w:cstheme="majorBidi"/>
          <w:sz w:val="24"/>
          <w:szCs w:val="24"/>
          <w:lang w:bidi="fa-IR"/>
        </w:rPr>
        <w:t xml:space="preserve">Natural products originating from plants are now receiving acknowledgment because they show promise in improving </w:t>
      </w:r>
      <w:r w:rsidR="00B9679F">
        <w:rPr>
          <w:rFonts w:asciiTheme="majorBidi" w:hAnsiTheme="majorBidi" w:cstheme="majorBidi"/>
          <w:sz w:val="24"/>
          <w:szCs w:val="24"/>
          <w:lang w:bidi="fa-IR"/>
        </w:rPr>
        <w:t>cognition</w:t>
      </w:r>
      <w:r w:rsidRPr="00C06842">
        <w:rPr>
          <w:rFonts w:asciiTheme="majorBidi" w:hAnsiTheme="majorBidi" w:cstheme="majorBidi"/>
          <w:sz w:val="24"/>
          <w:szCs w:val="24"/>
          <w:lang w:bidi="fa-IR"/>
        </w:rPr>
        <w:t xml:space="preserve">. The bioactive compounds in these plants produce positive effects through their ability to modulate cholinergic systems and their dual role as antioxidants and neuroprotective agents. Scientists have discovered multiple plant extracts that improve cognitive function based on preclinical research results. For example, the memory of amnesic mice improved when they received </w:t>
      </w:r>
      <w:r w:rsidRPr="00C06842">
        <w:rPr>
          <w:rFonts w:asciiTheme="majorBidi" w:hAnsiTheme="majorBidi" w:cstheme="majorBidi"/>
          <w:i/>
          <w:iCs/>
          <w:sz w:val="24"/>
          <w:szCs w:val="24"/>
          <w:lang w:bidi="fa-IR"/>
        </w:rPr>
        <w:t>Morinda lucida</w:t>
      </w:r>
      <w:r w:rsidRPr="00C06842">
        <w:rPr>
          <w:rFonts w:asciiTheme="majorBidi" w:hAnsiTheme="majorBidi" w:cstheme="majorBidi"/>
          <w:sz w:val="24"/>
          <w:szCs w:val="24"/>
          <w:lang w:bidi="fa-IR"/>
        </w:rPr>
        <w:t xml:space="preserve"> and </w:t>
      </w:r>
      <w:r w:rsidRPr="00C06842">
        <w:rPr>
          <w:rFonts w:asciiTheme="majorBidi" w:hAnsiTheme="majorBidi" w:cstheme="majorBidi"/>
          <w:i/>
          <w:iCs/>
          <w:sz w:val="24"/>
          <w:szCs w:val="24"/>
          <w:lang w:bidi="fa-IR"/>
        </w:rPr>
        <w:t>Peltophorum pterocarpum</w:t>
      </w:r>
      <w:r w:rsidRPr="00C06842">
        <w:rPr>
          <w:rFonts w:asciiTheme="majorBidi" w:hAnsiTheme="majorBidi" w:cstheme="majorBidi"/>
          <w:sz w:val="24"/>
          <w:szCs w:val="24"/>
          <w:lang w:bidi="fa-IR"/>
        </w:rPr>
        <w:t xml:space="preserve">, which worked through dose-dependent mechanisms, while </w:t>
      </w:r>
      <w:r w:rsidRPr="00C06842">
        <w:rPr>
          <w:rFonts w:asciiTheme="majorBidi" w:hAnsiTheme="majorBidi" w:cstheme="majorBidi"/>
          <w:i/>
          <w:iCs/>
          <w:sz w:val="24"/>
          <w:szCs w:val="24"/>
          <w:lang w:bidi="fa-IR"/>
        </w:rPr>
        <w:t>Peltophorum pterocarpum</w:t>
      </w:r>
      <w:r w:rsidRPr="00C06842">
        <w:rPr>
          <w:rFonts w:asciiTheme="majorBidi" w:hAnsiTheme="majorBidi" w:cstheme="majorBidi"/>
          <w:sz w:val="24"/>
          <w:szCs w:val="24"/>
          <w:lang w:bidi="fa-IR"/>
        </w:rPr>
        <w:t xml:space="preserve"> increased acetylcholine levels by inhibiting cholinesterase activity</w:t>
      </w:r>
      <w:r w:rsidRPr="00C06842">
        <w:rPr>
          <w:rFonts w:asciiTheme="majorBidi" w:hAnsiTheme="majorBidi" w:cstheme="majorBidi"/>
          <w:sz w:val="24"/>
          <w:szCs w:val="24"/>
          <w:lang w:val="en-GB" w:bidi="fa-IR"/>
        </w:rPr>
        <w:t xml:space="preserve"> </w:t>
      </w:r>
      <w:r w:rsidRPr="00C06842">
        <w:rPr>
          <w:rFonts w:asciiTheme="majorBidi" w:hAnsiTheme="majorBidi" w:cstheme="majorBidi"/>
          <w:sz w:val="24"/>
          <w:szCs w:val="24"/>
          <w:lang w:val="en-GB" w:bidi="fa-IR"/>
        </w:rPr>
        <w:fldChar w:fldCharType="begin"/>
      </w:r>
      <w:r w:rsidRPr="00C06842">
        <w:rPr>
          <w:rFonts w:asciiTheme="majorBidi" w:hAnsiTheme="majorBidi" w:cstheme="majorBidi"/>
          <w:sz w:val="24"/>
          <w:szCs w:val="24"/>
          <w:lang w:val="en-GB" w:bidi="fa-IR"/>
        </w:rPr>
        <w:instrText xml:space="preserve"> ADDIN EN.CITE &lt;EndNote&gt;&lt;Cite&gt;&lt;Author&gt;Elufioye&lt;/Author&gt;&lt;Year&gt;2017&lt;/Year&gt;&lt;RecNum&gt;198&lt;/RecNum&gt;&lt;DisplayText&gt;(Elufioye &amp;amp; A, 2017)&lt;/DisplayText&gt;&lt;record&gt;&lt;rec-number&gt;198&lt;/rec-number&gt;&lt;foreign-keys&gt;&lt;key app="EN" db-id="2ptrtps0adr9vke22dn5tpwzrsfaxtxrfwet" timestamp="1755776521"&gt;198&lt;/key&gt;&lt;/foreign-keys&gt;&lt;ref-type name="Journal Article"&gt;17&lt;/ref-type&gt;&lt;contributors&gt;&lt;authors&gt;&lt;author&gt;Elufioye, Taiwo O.&lt;/author&gt;&lt;author&gt;A, Hameed Halimah&lt;/author&gt;&lt;/authors&gt;&lt;/contributors&gt;&lt;titles&gt;&lt;title&gt;Cognitive-Enhancing Properties of Morinda Lucida (Rubiaceae) and Peltophorum Pterocarpum (Fabaceae) in Scopolamine-Induced Amnesic Mice&lt;/title&gt;&lt;secondary-title&gt;African Journal of Traditional Complementary and Alternative Medicines&lt;/secondary-title&gt;&lt;/titles&gt;&lt;periodical&gt;&lt;full-title&gt;African Journal of Traditional Complementary and Alternative Medicines&lt;/full-title&gt;&lt;/periodical&gt;&lt;pages&gt;136-141&lt;/pages&gt;&lt;volume&gt;14&lt;/volume&gt;&lt;number&gt;3&lt;/number&gt;&lt;dates&gt;&lt;year&gt;2017&lt;/year&gt;&lt;/dates&gt;&lt;urls&gt;&lt;/urls&gt;&lt;electronic-resource-num&gt;10.21010/ajtcam.v14i3.14&lt;/electronic-resource-num&gt;&lt;/record&gt;&lt;/Cite&gt;&lt;/EndNote&gt;</w:instrText>
      </w:r>
      <w:r w:rsidRPr="00C06842">
        <w:rPr>
          <w:rFonts w:asciiTheme="majorBidi" w:hAnsiTheme="majorBidi" w:cstheme="majorBidi"/>
          <w:sz w:val="24"/>
          <w:szCs w:val="24"/>
          <w:lang w:val="en-GB" w:bidi="fa-IR"/>
        </w:rPr>
        <w:fldChar w:fldCharType="separate"/>
      </w:r>
      <w:r w:rsidRPr="00C06842">
        <w:rPr>
          <w:rFonts w:asciiTheme="majorBidi" w:hAnsiTheme="majorBidi" w:cstheme="majorBidi"/>
          <w:sz w:val="24"/>
          <w:szCs w:val="24"/>
          <w:lang w:val="en-GB" w:bidi="fa-IR"/>
        </w:rPr>
        <w:t>(</w:t>
      </w:r>
      <w:hyperlink w:anchor="_ENREF_70" w:tooltip="Elufioye, 2017 #198" w:history="1">
        <w:r w:rsidR="00DE113E" w:rsidRPr="00C06842">
          <w:rPr>
            <w:rFonts w:asciiTheme="majorBidi" w:hAnsiTheme="majorBidi" w:cstheme="majorBidi"/>
            <w:sz w:val="24"/>
            <w:szCs w:val="24"/>
            <w:lang w:val="en-GB" w:bidi="fa-IR"/>
          </w:rPr>
          <w:t>Elufioye &amp; A, 2017</w:t>
        </w:r>
      </w:hyperlink>
      <w:r w:rsidRPr="00C06842">
        <w:rPr>
          <w:rFonts w:asciiTheme="majorBidi" w:hAnsiTheme="majorBidi" w:cstheme="majorBidi"/>
          <w:sz w:val="24"/>
          <w:szCs w:val="24"/>
          <w:lang w:val="en-GB" w:bidi="fa-IR"/>
        </w:rPr>
        <w:t>)</w:t>
      </w:r>
      <w:r w:rsidRPr="00C06842">
        <w:rPr>
          <w:rFonts w:asciiTheme="majorBidi" w:hAnsiTheme="majorBidi" w:cstheme="majorBidi"/>
          <w:sz w:val="24"/>
          <w:szCs w:val="24"/>
          <w:lang w:bidi="fa-IR"/>
        </w:rPr>
        <w:fldChar w:fldCharType="end"/>
      </w:r>
      <w:r>
        <w:rPr>
          <w:rFonts w:asciiTheme="majorBidi" w:hAnsiTheme="majorBidi" w:cstheme="majorBidi"/>
          <w:sz w:val="24"/>
          <w:szCs w:val="24"/>
          <w:lang w:bidi="fa-IR"/>
        </w:rPr>
        <w:t xml:space="preserve">. </w:t>
      </w:r>
      <w:r w:rsidRPr="00C06842">
        <w:rPr>
          <w:rFonts w:asciiTheme="majorBidi" w:hAnsiTheme="majorBidi" w:cstheme="majorBidi"/>
          <w:i/>
          <w:iCs/>
          <w:sz w:val="24"/>
          <w:szCs w:val="24"/>
          <w:lang w:bidi="fa-IR"/>
        </w:rPr>
        <w:t>Parquetina nigrescens</w:t>
      </w:r>
      <w:r w:rsidRPr="00C06842">
        <w:rPr>
          <w:rFonts w:asciiTheme="majorBidi" w:hAnsiTheme="majorBidi" w:cstheme="majorBidi"/>
          <w:sz w:val="24"/>
          <w:szCs w:val="24"/>
          <w:lang w:bidi="fa-IR"/>
        </w:rPr>
        <w:t xml:space="preserve"> and </w:t>
      </w:r>
      <w:r w:rsidRPr="00C06842">
        <w:rPr>
          <w:rFonts w:asciiTheme="majorBidi" w:hAnsiTheme="majorBidi" w:cstheme="majorBidi"/>
          <w:i/>
          <w:iCs/>
          <w:sz w:val="24"/>
          <w:szCs w:val="24"/>
          <w:lang w:bidi="fa-IR"/>
        </w:rPr>
        <w:t>Spondias mombin</w:t>
      </w:r>
      <w:r w:rsidRPr="00C06842">
        <w:rPr>
          <w:rFonts w:asciiTheme="majorBidi" w:hAnsiTheme="majorBidi" w:cstheme="majorBidi"/>
          <w:sz w:val="24"/>
          <w:szCs w:val="24"/>
          <w:lang w:bidi="fa-IR"/>
        </w:rPr>
        <w:t xml:space="preserve"> prevented neurochemical alterations linked to cognitive dysfunction, highlighting their antioxidant and cholinergic effects </w:t>
      </w:r>
      <w:r w:rsidRPr="00C06842">
        <w:rPr>
          <w:rFonts w:asciiTheme="majorBidi" w:hAnsiTheme="majorBidi" w:cstheme="majorBidi"/>
          <w:sz w:val="24"/>
          <w:szCs w:val="24"/>
          <w:lang w:val="en-GB" w:bidi="fa-IR"/>
        </w:rPr>
        <w:fldChar w:fldCharType="begin"/>
      </w:r>
      <w:r w:rsidRPr="00C06842">
        <w:rPr>
          <w:rFonts w:asciiTheme="majorBidi" w:hAnsiTheme="majorBidi" w:cstheme="majorBidi"/>
          <w:sz w:val="24"/>
          <w:szCs w:val="24"/>
          <w:lang w:val="en-GB" w:bidi="fa-IR"/>
        </w:rPr>
        <w:instrText xml:space="preserve"> ADDIN EN.CITE &lt;EndNote&gt;&lt;Cite&gt;&lt;Author&gt;Ademosun&lt;/Author&gt;&lt;Year&gt;2022&lt;/Year&gt;&lt;RecNum&gt;199&lt;/RecNum&gt;&lt;DisplayText&gt;(Ademosun et al., 2022)&lt;/DisplayText&gt;&lt;record&gt;&lt;rec-number&gt;199&lt;/rec-number&gt;&lt;foreign-keys&gt;&lt;key app="EN" db-id="2ptrtps0adr9vke22dn5tpwzrsfaxtxrfwet" timestamp="1755776598"&gt;199&lt;/key&gt;&lt;/foreign-keys&gt;&lt;ref-type name="Journal Article"&gt;17&lt;/ref-type&gt;&lt;contributors&gt;&lt;authors&gt;&lt;author&gt;Ademosun, Ayokunle O.&lt;/author&gt;&lt;author&gt;Popoola, Temitope V.&lt;/author&gt;&lt;author&gt;Oboh, Ganiyu&lt;/author&gt;&lt;author&gt;Fasakin, Olamide Wilson&lt;/author&gt;&lt;/authors&gt;&lt;/contributors&gt;&lt;titles&gt;&lt;title&gt;&amp;lt;i&amp;gt;Parquetina Nigrescens&amp;lt;/I&amp;gt; And &amp;lt;i&amp;gt;Spondias Mombin&amp;lt;/I&amp;gt; Protects Against Neurochemical Alterations in the Scopolamine Model of Cognitive Dysfunction&lt;/title&gt;&lt;secondary-title&gt;Journal of Food Biochemistry&lt;/secondary-title&gt;&lt;/titles&gt;&lt;periodical&gt;&lt;full-title&gt;Journal of Food Biochemistry&lt;/full-title&gt;&lt;/periodical&gt;&lt;volume&gt;46&lt;/volume&gt;&lt;number&gt;11&lt;/number&gt;&lt;dates&gt;&lt;year&gt;2022&lt;/year&gt;&lt;/dates&gt;&lt;urls&gt;&lt;/urls&gt;&lt;electronic-resource-num&gt;10.1111/jfbc.14213&lt;/electronic-resource-num&gt;&lt;/record&gt;&lt;/Cite&gt;&lt;/EndNote&gt;</w:instrText>
      </w:r>
      <w:r w:rsidRPr="00C06842">
        <w:rPr>
          <w:rFonts w:asciiTheme="majorBidi" w:hAnsiTheme="majorBidi" w:cstheme="majorBidi"/>
          <w:sz w:val="24"/>
          <w:szCs w:val="24"/>
          <w:lang w:val="en-GB" w:bidi="fa-IR"/>
        </w:rPr>
        <w:fldChar w:fldCharType="separate"/>
      </w:r>
      <w:r w:rsidRPr="00C06842">
        <w:rPr>
          <w:rFonts w:asciiTheme="majorBidi" w:hAnsiTheme="majorBidi" w:cstheme="majorBidi"/>
          <w:sz w:val="24"/>
          <w:szCs w:val="24"/>
          <w:lang w:val="en-GB" w:bidi="fa-IR"/>
        </w:rPr>
        <w:t>(</w:t>
      </w:r>
      <w:hyperlink w:anchor="_ENREF_1" w:tooltip="Ademosun, 2022 #199" w:history="1">
        <w:r w:rsidR="00DE113E" w:rsidRPr="00C06842">
          <w:rPr>
            <w:rFonts w:asciiTheme="majorBidi" w:hAnsiTheme="majorBidi" w:cstheme="majorBidi"/>
            <w:sz w:val="24"/>
            <w:szCs w:val="24"/>
            <w:lang w:val="en-GB" w:bidi="fa-IR"/>
          </w:rPr>
          <w:t>Ademosun et al., 2022</w:t>
        </w:r>
      </w:hyperlink>
      <w:r w:rsidRPr="00C06842">
        <w:rPr>
          <w:rFonts w:asciiTheme="majorBidi" w:hAnsiTheme="majorBidi" w:cstheme="majorBidi"/>
          <w:sz w:val="24"/>
          <w:szCs w:val="24"/>
          <w:lang w:val="en-GB" w:bidi="fa-IR"/>
        </w:rPr>
        <w:t>)</w:t>
      </w:r>
      <w:r w:rsidRPr="00C06842">
        <w:rPr>
          <w:rFonts w:asciiTheme="majorBidi" w:hAnsiTheme="majorBidi" w:cstheme="majorBidi"/>
          <w:sz w:val="24"/>
          <w:szCs w:val="24"/>
          <w:lang w:bidi="fa-IR"/>
        </w:rPr>
        <w:fldChar w:fldCharType="end"/>
      </w:r>
      <w:r w:rsidRPr="00C06842">
        <w:rPr>
          <w:rFonts w:asciiTheme="majorBidi" w:hAnsiTheme="majorBidi" w:cstheme="majorBidi"/>
          <w:sz w:val="24"/>
          <w:szCs w:val="24"/>
          <w:lang w:bidi="fa-IR"/>
        </w:rPr>
        <w:t xml:space="preserve">. Also, the extracts from </w:t>
      </w:r>
      <w:r w:rsidRPr="00C06842">
        <w:rPr>
          <w:rFonts w:asciiTheme="majorBidi" w:hAnsiTheme="majorBidi" w:cstheme="majorBidi"/>
          <w:i/>
          <w:iCs/>
          <w:sz w:val="24"/>
          <w:szCs w:val="24"/>
          <w:lang w:bidi="fa-IR"/>
        </w:rPr>
        <w:t>Mangifera indica</w:t>
      </w:r>
      <w:r w:rsidRPr="00C06842">
        <w:rPr>
          <w:rFonts w:asciiTheme="majorBidi" w:hAnsiTheme="majorBidi" w:cstheme="majorBidi"/>
          <w:sz w:val="24"/>
          <w:szCs w:val="24"/>
          <w:lang w:bidi="fa-IR"/>
        </w:rPr>
        <w:t xml:space="preserve"> fruit protect against memory loss by improving brain cholinergic systems and decreasing oxidative damage</w:t>
      </w:r>
      <w:r w:rsidRPr="00C06842">
        <w:rPr>
          <w:rFonts w:asciiTheme="majorBidi" w:hAnsiTheme="majorBidi" w:cstheme="majorBidi"/>
          <w:sz w:val="24"/>
          <w:szCs w:val="24"/>
          <w:lang w:val="en-GB" w:bidi="fa-IR"/>
        </w:rPr>
        <w:t xml:space="preserve"> </w:t>
      </w:r>
      <w:r w:rsidRPr="00C06842">
        <w:rPr>
          <w:rFonts w:asciiTheme="majorBidi" w:hAnsiTheme="majorBidi" w:cstheme="majorBidi"/>
          <w:sz w:val="24"/>
          <w:szCs w:val="24"/>
          <w:lang w:val="en-GB" w:bidi="fa-IR"/>
        </w:rPr>
        <w:fldChar w:fldCharType="begin"/>
      </w:r>
      <w:r w:rsidRPr="00C06842">
        <w:rPr>
          <w:rFonts w:asciiTheme="majorBidi" w:hAnsiTheme="majorBidi" w:cstheme="majorBidi"/>
          <w:sz w:val="24"/>
          <w:szCs w:val="24"/>
          <w:lang w:val="en-GB" w:bidi="fa-IR"/>
        </w:rPr>
        <w:instrText xml:space="preserve"> ADDIN EN.CITE &lt;EndNote&gt;&lt;Cite&gt;&lt;Author&gt;Penido&lt;/Author&gt;&lt;Year&gt;2017&lt;/Year&gt;&lt;RecNum&gt;200&lt;/RecNum&gt;&lt;DisplayText&gt;(Penido et al., 2017)&lt;/DisplayText&gt;&lt;record&gt;&lt;rec-number&gt;200&lt;/rec-number&gt;&lt;foreign-keys&gt;&lt;key app="EN" db-id="2ptrtps0adr9vke22dn5tpwzrsfaxtxrfwet" timestamp="1755776643"&gt;200&lt;/key&gt;&lt;/foreign-keys&gt;&lt;ref-type name="Journal Article"&gt;17&lt;/ref-type&gt;&lt;contributors&gt;&lt;authors&gt;&lt;author&gt;Penido, Alexandre Batista&lt;/author&gt;&lt;author&gt;Morais, Selene Maia de&lt;/author&gt;&lt;author&gt;Ribeiro, Alan Bezerra&lt;/author&gt;&lt;author&gt;Alves, Daniela Ribeiro&lt;/author&gt;&lt;author&gt;Rodrigues, Ana Lívya Moreira&lt;/author&gt;&lt;author&gt;Santos, Leonardo Hunaldo dos&lt;/author&gt;&lt;author&gt;Menezes, Jane Eire Silva Alencar de&lt;/author&gt;&lt;/authors&gt;&lt;/contributors&gt;&lt;titles&gt;&lt;title&gt;Medicinal Plants From Northeastern Brazil Against Alzheimer’s Disease&lt;/title&gt;&lt;secondary-title&gt;Evidence-Based Complementary and Alternative Medicine&lt;/secondary-title&gt;&lt;/titles&gt;&lt;periodical&gt;&lt;full-title&gt;Evidence-Based Complementary and Alternative Medicine&lt;/full-title&gt;&lt;/periodical&gt;&lt;volume&gt;2017&lt;/volume&gt;&lt;number&gt;1&lt;/number&gt;&lt;dates&gt;&lt;year&gt;2017&lt;/year&gt;&lt;/dates&gt;&lt;urls&gt;&lt;/urls&gt;&lt;electronic-resource-num&gt;10.1155/2017/1753673&lt;/electronic-resource-num&gt;&lt;/record&gt;&lt;/Cite&gt;&lt;/EndNote&gt;</w:instrText>
      </w:r>
      <w:r w:rsidRPr="00C06842">
        <w:rPr>
          <w:rFonts w:asciiTheme="majorBidi" w:hAnsiTheme="majorBidi" w:cstheme="majorBidi"/>
          <w:sz w:val="24"/>
          <w:szCs w:val="24"/>
          <w:lang w:val="en-GB" w:bidi="fa-IR"/>
        </w:rPr>
        <w:fldChar w:fldCharType="separate"/>
      </w:r>
      <w:r w:rsidRPr="00C06842">
        <w:rPr>
          <w:rFonts w:asciiTheme="majorBidi" w:hAnsiTheme="majorBidi" w:cstheme="majorBidi"/>
          <w:sz w:val="24"/>
          <w:szCs w:val="24"/>
          <w:lang w:val="en-GB" w:bidi="fa-IR"/>
        </w:rPr>
        <w:t>(</w:t>
      </w:r>
      <w:hyperlink w:anchor="_ENREF_180" w:tooltip="Penido, 2017 #200" w:history="1">
        <w:r w:rsidR="00DE113E" w:rsidRPr="00C06842">
          <w:rPr>
            <w:rFonts w:asciiTheme="majorBidi" w:hAnsiTheme="majorBidi" w:cstheme="majorBidi"/>
            <w:sz w:val="24"/>
            <w:szCs w:val="24"/>
            <w:lang w:val="en-GB" w:bidi="fa-IR"/>
          </w:rPr>
          <w:t>Penido et al., 2017</w:t>
        </w:r>
      </w:hyperlink>
      <w:r w:rsidRPr="00C06842">
        <w:rPr>
          <w:rFonts w:asciiTheme="majorBidi" w:hAnsiTheme="majorBidi" w:cstheme="majorBidi"/>
          <w:sz w:val="24"/>
          <w:szCs w:val="24"/>
          <w:lang w:val="en-GB" w:bidi="fa-IR"/>
        </w:rPr>
        <w:t>)</w:t>
      </w:r>
      <w:r w:rsidRPr="00C06842">
        <w:rPr>
          <w:rFonts w:asciiTheme="majorBidi" w:hAnsiTheme="majorBidi" w:cstheme="majorBidi"/>
          <w:sz w:val="24"/>
          <w:szCs w:val="24"/>
          <w:lang w:bidi="fa-IR"/>
        </w:rPr>
        <w:fldChar w:fldCharType="end"/>
      </w:r>
      <w:r w:rsidRPr="00C06842">
        <w:rPr>
          <w:rFonts w:asciiTheme="majorBidi" w:hAnsiTheme="majorBidi" w:cstheme="majorBidi"/>
          <w:sz w:val="24"/>
          <w:szCs w:val="24"/>
          <w:lang w:bidi="fa-IR"/>
        </w:rPr>
        <w:t>. A</w:t>
      </w:r>
      <w:r>
        <w:rPr>
          <w:rFonts w:asciiTheme="majorBidi" w:hAnsiTheme="majorBidi" w:cstheme="majorBidi"/>
          <w:sz w:val="24"/>
          <w:szCs w:val="24"/>
          <w:lang w:bidi="fa-IR"/>
        </w:rPr>
        <w:t xml:space="preserve">s well as, </w:t>
      </w:r>
      <w:r w:rsidRPr="00C06842">
        <w:rPr>
          <w:rFonts w:asciiTheme="majorBidi" w:hAnsiTheme="majorBidi" w:cstheme="majorBidi"/>
          <w:i/>
          <w:iCs/>
          <w:sz w:val="24"/>
          <w:szCs w:val="24"/>
          <w:lang w:bidi="fa-IR"/>
        </w:rPr>
        <w:t>Lonchocarpus eriocalyx</w:t>
      </w:r>
      <w:r w:rsidRPr="00C06842">
        <w:rPr>
          <w:rFonts w:asciiTheme="majorBidi" w:hAnsiTheme="majorBidi" w:cstheme="majorBidi"/>
          <w:sz w:val="24"/>
          <w:szCs w:val="24"/>
          <w:lang w:bidi="fa-IR"/>
        </w:rPr>
        <w:t xml:space="preserve"> has been shown to improve memory performance through decreased oxidative damage and better spatial learning abilities</w:t>
      </w:r>
      <w:r w:rsidR="00D4551A">
        <w:rPr>
          <w:rFonts w:asciiTheme="majorBidi" w:hAnsiTheme="majorBidi" w:cstheme="majorBidi"/>
          <w:sz w:val="24"/>
          <w:szCs w:val="24"/>
          <w:lang w:bidi="fa-IR"/>
        </w:rPr>
        <w:t xml:space="preserve"> </w:t>
      </w:r>
      <w:r w:rsidR="00D4551A" w:rsidRPr="00D4551A">
        <w:rPr>
          <w:rFonts w:asciiTheme="majorBidi" w:hAnsiTheme="majorBidi" w:cstheme="majorBidi"/>
          <w:sz w:val="24"/>
          <w:szCs w:val="24"/>
          <w:lang w:val="en-GB" w:bidi="fa-IR"/>
        </w:rPr>
        <w:fldChar w:fldCharType="begin"/>
      </w:r>
      <w:r w:rsidR="00D4551A" w:rsidRPr="00D4551A">
        <w:rPr>
          <w:rFonts w:asciiTheme="majorBidi" w:hAnsiTheme="majorBidi" w:cstheme="majorBidi"/>
          <w:sz w:val="24"/>
          <w:szCs w:val="24"/>
          <w:lang w:val="en-GB" w:bidi="fa-IR"/>
        </w:rPr>
        <w:instrText xml:space="preserve"> ADDIN EN.CITE &lt;EndNote&gt;&lt;Cite&gt;&lt;Author&gt;Moriasi&lt;/Author&gt;&lt;Year&gt;2020&lt;/Year&gt;&lt;RecNum&gt;201&lt;/RecNum&gt;&lt;DisplayText&gt;(Moriasi et al., 2020)&lt;/DisplayText&gt;&lt;record&gt;&lt;rec-number&gt;201&lt;/rec-number&gt;&lt;foreign-keys&gt;&lt;key app="EN" db-id="2ptrtps0adr9vke22dn5tpwzrsfaxtxrfwet" timestamp="1755776674"&gt;201&lt;/key&gt;&lt;/foreign-keys&gt;&lt;ref-type name="Journal Article"&gt;17&lt;/ref-type&gt;&lt;contributors&gt;&lt;authors&gt;&lt;author&gt;Moriasi, Gervason&lt;/author&gt;&lt;author&gt;Ireri, Anthony Muriithi&lt;/author&gt;&lt;author&gt;Ngugi, Mathew Piero&lt;/author&gt;&lt;/authors&gt;&lt;/contributors&gt;&lt;titles&gt;&lt;title&gt;Cognitive-Enhancing, Ex Vivo Antilipid Peroxidation and Qualitative Phytochemical Evaluation of the Aqueous and Methanolic Stem Bark Extracts of Lonchocarpus Eriocalyx (Harms.)&lt;/title&gt;&lt;secondary-title&gt;Biochemistry Research International&lt;/secondary-title&gt;&lt;/titles&gt;&lt;periodical&gt;&lt;full-title&gt;Biochemistry Research International&lt;/full-title&gt;&lt;/periodical&gt;&lt;pages&gt;1-16&lt;/pages&gt;&lt;volume&gt;2020&lt;/volume&gt;&lt;dates&gt;&lt;year&gt;2020&lt;/year&gt;&lt;/dates&gt;&lt;urls&gt;&lt;/urls&gt;&lt;electronic-resource-num&gt;10.1155/2020/8819045&lt;/electronic-resource-num&gt;&lt;/record&gt;&lt;/Cite&gt;&lt;/EndNote&gt;</w:instrText>
      </w:r>
      <w:r w:rsidR="00D4551A" w:rsidRPr="00D4551A">
        <w:rPr>
          <w:rFonts w:asciiTheme="majorBidi" w:hAnsiTheme="majorBidi" w:cstheme="majorBidi"/>
          <w:sz w:val="24"/>
          <w:szCs w:val="24"/>
          <w:lang w:val="en-GB" w:bidi="fa-IR"/>
        </w:rPr>
        <w:fldChar w:fldCharType="separate"/>
      </w:r>
      <w:r w:rsidR="00D4551A" w:rsidRPr="00D4551A">
        <w:rPr>
          <w:rFonts w:asciiTheme="majorBidi" w:hAnsiTheme="majorBidi" w:cstheme="majorBidi"/>
          <w:sz w:val="24"/>
          <w:szCs w:val="24"/>
          <w:lang w:val="en-GB" w:bidi="fa-IR"/>
        </w:rPr>
        <w:t>(</w:t>
      </w:r>
      <w:hyperlink w:anchor="_ENREF_162" w:tooltip="Moriasi, 2020 #201" w:history="1">
        <w:r w:rsidR="00DE113E" w:rsidRPr="00D4551A">
          <w:rPr>
            <w:rFonts w:asciiTheme="majorBidi" w:hAnsiTheme="majorBidi" w:cstheme="majorBidi"/>
            <w:sz w:val="24"/>
            <w:szCs w:val="24"/>
            <w:lang w:val="en-GB" w:bidi="fa-IR"/>
          </w:rPr>
          <w:t>Moriasi et al., 2020</w:t>
        </w:r>
      </w:hyperlink>
      <w:r w:rsidR="00D4551A" w:rsidRPr="00D4551A">
        <w:rPr>
          <w:rFonts w:asciiTheme="majorBidi" w:hAnsiTheme="majorBidi" w:cstheme="majorBidi"/>
          <w:sz w:val="24"/>
          <w:szCs w:val="24"/>
          <w:lang w:val="en-GB" w:bidi="fa-IR"/>
        </w:rPr>
        <w:t>)</w:t>
      </w:r>
      <w:r w:rsidR="00D4551A" w:rsidRPr="00D4551A">
        <w:rPr>
          <w:rFonts w:asciiTheme="majorBidi" w:hAnsiTheme="majorBidi" w:cstheme="majorBidi"/>
          <w:sz w:val="24"/>
          <w:szCs w:val="24"/>
          <w:lang w:bidi="fa-IR"/>
        </w:rPr>
        <w:fldChar w:fldCharType="end"/>
      </w:r>
      <w:r w:rsidRPr="00C06842">
        <w:rPr>
          <w:rFonts w:asciiTheme="majorBidi" w:hAnsiTheme="majorBidi" w:cstheme="majorBidi"/>
          <w:sz w:val="24"/>
          <w:szCs w:val="24"/>
          <w:lang w:bidi="fa-IR"/>
        </w:rPr>
        <w:t xml:space="preserve">. </w:t>
      </w:r>
      <w:r w:rsidRPr="00C06842">
        <w:rPr>
          <w:rFonts w:asciiTheme="majorBidi" w:hAnsiTheme="majorBidi" w:cstheme="majorBidi"/>
          <w:i/>
          <w:iCs/>
          <w:sz w:val="24"/>
          <w:szCs w:val="24"/>
          <w:lang w:bidi="fa-IR"/>
        </w:rPr>
        <w:t>Zingiber officinale</w:t>
      </w:r>
      <w:r w:rsidRPr="00C06842">
        <w:rPr>
          <w:rFonts w:asciiTheme="majorBidi" w:hAnsiTheme="majorBidi" w:cstheme="majorBidi"/>
          <w:sz w:val="24"/>
          <w:szCs w:val="24"/>
          <w:lang w:bidi="fa-IR"/>
        </w:rPr>
        <w:t xml:space="preserve"> (ginger) enhances mental functions in healthy individuals through its ability to block cholinesterase enzymes and raise acetylcholine concentrations</w:t>
      </w:r>
      <w:r w:rsidR="00D4551A" w:rsidRPr="00D4551A">
        <w:rPr>
          <w:rFonts w:asciiTheme="majorBidi" w:hAnsiTheme="majorBidi" w:cstheme="majorBidi"/>
          <w:sz w:val="24"/>
          <w:szCs w:val="24"/>
          <w:lang w:val="en-GB" w:bidi="fa-IR"/>
        </w:rPr>
        <w:fldChar w:fldCharType="begin"/>
      </w:r>
      <w:r w:rsidR="00D4551A" w:rsidRPr="00D4551A">
        <w:rPr>
          <w:rFonts w:asciiTheme="majorBidi" w:hAnsiTheme="majorBidi" w:cstheme="majorBidi"/>
          <w:sz w:val="24"/>
          <w:szCs w:val="24"/>
          <w:lang w:val="en-GB" w:bidi="fa-IR"/>
        </w:rPr>
        <w:instrText xml:space="preserve"> ADDIN EN.CITE &lt;EndNote&gt;&lt;Cite&gt;&lt;Author&gt;Saenghong&lt;/Author&gt;&lt;Year&gt;2012&lt;/Year&gt;&lt;RecNum&gt;202&lt;/RecNum&gt;&lt;DisplayText&gt;(Saenghong et al., 2012)&lt;/DisplayText&gt;&lt;record&gt;&lt;rec-number&gt;202&lt;/rec-number&gt;&lt;foreign-keys&gt;&lt;key app="EN" db-id="2ptrtps0adr9vke22dn5tpwzrsfaxtxrfwet" timestamp="1755776718"&gt;202&lt;/key&gt;&lt;/foreign-keys&gt;&lt;ref-type name="Journal Article"&gt;17&lt;/ref-type&gt;&lt;contributors&gt;&lt;authors&gt;&lt;author&gt;Saenghong, Naritsara&lt;/author&gt;&lt;author&gt;Wattanathorn, Jintanaporn&lt;/author&gt;&lt;author&gt;Muchimapura, Supaporn&lt;/author&gt;&lt;author&gt;Tong-un, Terdthai&lt;/author&gt;&lt;author&gt;Piyavhatkul, Nawanant&lt;/author&gt;&lt;author&gt;Banchonglikitkul, Chuleratana&lt;/author&gt;&lt;author&gt;Kajsongkram, Tanwarat&lt;/author&gt;&lt;/authors&gt;&lt;/contributors&gt;&lt;titles&gt;&lt;title&gt;&amp;lt;i&amp;gt;Zingiber Officinale&amp;lt;/I&amp;gt;Improves Cognitive Function of the Middle-Aged Healthy Women&lt;/title&gt;&lt;secondary-title&gt;Evidence-Based Complementary and Alternative Medicine&lt;/secondary-title&gt;&lt;/titles&gt;&lt;periodical&gt;&lt;full-title&gt;Evidence-Based Complementary and Alternative Medicine&lt;/full-title&gt;&lt;/periodical&gt;&lt;pages&gt;1-9&lt;/pages&gt;&lt;volume&gt;2012&lt;/volume&gt;&lt;dates&gt;&lt;year&gt;2012&lt;/year&gt;&lt;/dates&gt;&lt;urls&gt;&lt;/urls&gt;&lt;electronic-resource-num&gt;10.1155/2012/383062&lt;/electronic-resource-num&gt;&lt;/record&gt;&lt;/Cite&gt;&lt;/EndNote&gt;</w:instrText>
      </w:r>
      <w:r w:rsidR="00D4551A" w:rsidRPr="00D4551A">
        <w:rPr>
          <w:rFonts w:asciiTheme="majorBidi" w:hAnsiTheme="majorBidi" w:cstheme="majorBidi"/>
          <w:sz w:val="24"/>
          <w:szCs w:val="24"/>
          <w:lang w:val="en-GB" w:bidi="fa-IR"/>
        </w:rPr>
        <w:fldChar w:fldCharType="separate"/>
      </w:r>
      <w:r w:rsidR="00D4551A" w:rsidRPr="00D4551A">
        <w:rPr>
          <w:rFonts w:asciiTheme="majorBidi" w:hAnsiTheme="majorBidi" w:cstheme="majorBidi"/>
          <w:sz w:val="24"/>
          <w:szCs w:val="24"/>
          <w:lang w:val="en-GB" w:bidi="fa-IR"/>
        </w:rPr>
        <w:t>(</w:t>
      </w:r>
      <w:hyperlink w:anchor="_ENREF_208" w:tooltip="Saenghong, 2012 #202" w:history="1">
        <w:r w:rsidR="00DE113E" w:rsidRPr="00D4551A">
          <w:rPr>
            <w:rFonts w:asciiTheme="majorBidi" w:hAnsiTheme="majorBidi" w:cstheme="majorBidi"/>
            <w:sz w:val="24"/>
            <w:szCs w:val="24"/>
            <w:lang w:val="en-GB" w:bidi="fa-IR"/>
          </w:rPr>
          <w:t>Saenghong et al., 2012</w:t>
        </w:r>
      </w:hyperlink>
      <w:r w:rsidR="00D4551A" w:rsidRPr="00D4551A">
        <w:rPr>
          <w:rFonts w:asciiTheme="majorBidi" w:hAnsiTheme="majorBidi" w:cstheme="majorBidi"/>
          <w:sz w:val="24"/>
          <w:szCs w:val="24"/>
          <w:lang w:val="en-GB" w:bidi="fa-IR"/>
        </w:rPr>
        <w:t>)</w:t>
      </w:r>
      <w:r w:rsidR="00D4551A" w:rsidRPr="00D4551A">
        <w:rPr>
          <w:rFonts w:asciiTheme="majorBidi" w:hAnsiTheme="majorBidi" w:cstheme="majorBidi"/>
          <w:sz w:val="24"/>
          <w:szCs w:val="24"/>
          <w:lang w:bidi="fa-IR"/>
        </w:rPr>
        <w:fldChar w:fldCharType="end"/>
      </w:r>
      <w:r w:rsidRPr="00C06842">
        <w:rPr>
          <w:rFonts w:asciiTheme="majorBidi" w:hAnsiTheme="majorBidi" w:cstheme="majorBidi"/>
          <w:sz w:val="24"/>
          <w:szCs w:val="24"/>
          <w:lang w:bidi="fa-IR"/>
        </w:rPr>
        <w:t xml:space="preserve">. Multiple research studies prove </w:t>
      </w:r>
      <w:r w:rsidRPr="00C06842">
        <w:rPr>
          <w:rFonts w:asciiTheme="majorBidi" w:hAnsiTheme="majorBidi" w:cstheme="majorBidi"/>
          <w:sz w:val="24"/>
          <w:szCs w:val="24"/>
          <w:lang w:bidi="fa-IR"/>
        </w:rPr>
        <w:lastRenderedPageBreak/>
        <w:t xml:space="preserve">that </w:t>
      </w:r>
      <w:r w:rsidRPr="00C06842">
        <w:rPr>
          <w:rFonts w:asciiTheme="majorBidi" w:hAnsiTheme="majorBidi" w:cstheme="majorBidi"/>
          <w:i/>
          <w:iCs/>
          <w:sz w:val="24"/>
          <w:szCs w:val="24"/>
          <w:lang w:bidi="fa-IR"/>
        </w:rPr>
        <w:t>Centella asiatica</w:t>
      </w:r>
      <w:r w:rsidRPr="00C06842">
        <w:rPr>
          <w:rFonts w:asciiTheme="majorBidi" w:hAnsiTheme="majorBidi" w:cstheme="majorBidi"/>
          <w:sz w:val="24"/>
          <w:szCs w:val="24"/>
          <w:lang w:bidi="fa-IR"/>
        </w:rPr>
        <w:t xml:space="preserve"> boosts cognitive functions through its ability to regulate mitochondrial operations and antioxidant defense systems </w:t>
      </w:r>
      <w:r w:rsidR="00D4551A" w:rsidRPr="00D4551A">
        <w:rPr>
          <w:rFonts w:asciiTheme="majorBidi" w:hAnsiTheme="majorBidi" w:cstheme="majorBidi"/>
          <w:sz w:val="24"/>
          <w:szCs w:val="24"/>
          <w:lang w:val="en-GB" w:bidi="fa-IR"/>
        </w:rPr>
        <w:fldChar w:fldCharType="begin"/>
      </w:r>
      <w:r w:rsidR="00D4551A" w:rsidRPr="00D4551A">
        <w:rPr>
          <w:rFonts w:asciiTheme="majorBidi" w:hAnsiTheme="majorBidi" w:cstheme="majorBidi"/>
          <w:sz w:val="24"/>
          <w:szCs w:val="24"/>
          <w:lang w:val="en-GB" w:bidi="fa-IR"/>
        </w:rPr>
        <w:instrText xml:space="preserve"> ADDIN EN.CITE &lt;EndNote&gt;&lt;Cite&gt;&lt;Author&gt;Gray&lt;/Author&gt;&lt;Year&gt;2016&lt;/Year&gt;&lt;RecNum&gt;203&lt;/RecNum&gt;&lt;DisplayText&gt;(Gray et al., 2016)&lt;/DisplayText&gt;&lt;record&gt;&lt;rec-number&gt;203&lt;/rec-number&gt;&lt;foreign-keys&gt;&lt;key app="EN" db-id="2ptrtps0adr9vke22dn5tpwzrsfaxtxrfwet" timestamp="1755776749"&gt;203&lt;/key&gt;&lt;/foreign-keys&gt;&lt;ref-type name="Journal Article"&gt;17&lt;/ref-type&gt;&lt;contributors&gt;&lt;authors&gt;&lt;author&gt;Gray, Nora E.&lt;/author&gt;&lt;author&gt;Harris, Christopher&lt;/author&gt;&lt;author&gt;Quinn, Joseph F.&lt;/author&gt;&lt;author&gt;Soumyanath, Amala&lt;/author&gt;&lt;/authors&gt;&lt;/contributors&gt;&lt;titles&gt;&lt;title&gt;Centella Asiatica Modulates Antioxidant and Mitochondrial Pathways and Improves Cognitive Function in Mice&lt;/title&gt;&lt;secondary-title&gt;Journal of Ethnopharmacology&lt;/secondary-title&gt;&lt;/titles&gt;&lt;periodical&gt;&lt;full-title&gt;Journal of Ethnopharmacology&lt;/full-title&gt;&lt;/periodical&gt;&lt;pages&gt;78-86&lt;/pages&gt;&lt;volume&gt;180&lt;/volume&gt;&lt;dates&gt;&lt;year&gt;2016&lt;/year&gt;&lt;/dates&gt;&lt;urls&gt;&lt;/urls&gt;&lt;electronic-resource-num&gt;10.1016/j.jep.2016.01.013&lt;/electronic-resource-num&gt;&lt;/record&gt;&lt;/Cite&gt;&lt;/EndNote&gt;</w:instrText>
      </w:r>
      <w:r w:rsidR="00D4551A" w:rsidRPr="00D4551A">
        <w:rPr>
          <w:rFonts w:asciiTheme="majorBidi" w:hAnsiTheme="majorBidi" w:cstheme="majorBidi"/>
          <w:sz w:val="24"/>
          <w:szCs w:val="24"/>
          <w:lang w:val="en-GB" w:bidi="fa-IR"/>
        </w:rPr>
        <w:fldChar w:fldCharType="separate"/>
      </w:r>
      <w:r w:rsidR="00D4551A" w:rsidRPr="00D4551A">
        <w:rPr>
          <w:rFonts w:asciiTheme="majorBidi" w:hAnsiTheme="majorBidi" w:cstheme="majorBidi"/>
          <w:sz w:val="24"/>
          <w:szCs w:val="24"/>
          <w:lang w:val="en-GB" w:bidi="fa-IR"/>
        </w:rPr>
        <w:t>(</w:t>
      </w:r>
      <w:hyperlink w:anchor="_ENREF_91" w:tooltip="Gray, 2016 #203" w:history="1">
        <w:r w:rsidR="00DE113E" w:rsidRPr="00D4551A">
          <w:rPr>
            <w:rFonts w:asciiTheme="majorBidi" w:hAnsiTheme="majorBidi" w:cstheme="majorBidi"/>
            <w:sz w:val="24"/>
            <w:szCs w:val="24"/>
            <w:lang w:val="en-GB" w:bidi="fa-IR"/>
          </w:rPr>
          <w:t>Gray et al., 2016</w:t>
        </w:r>
      </w:hyperlink>
      <w:r w:rsidR="00D4551A" w:rsidRPr="00D4551A">
        <w:rPr>
          <w:rFonts w:asciiTheme="majorBidi" w:hAnsiTheme="majorBidi" w:cstheme="majorBidi"/>
          <w:sz w:val="24"/>
          <w:szCs w:val="24"/>
          <w:lang w:val="en-GB" w:bidi="fa-IR"/>
        </w:rPr>
        <w:t>)</w:t>
      </w:r>
      <w:r w:rsidR="00D4551A" w:rsidRPr="00D4551A">
        <w:rPr>
          <w:rFonts w:asciiTheme="majorBidi" w:hAnsiTheme="majorBidi" w:cstheme="majorBidi"/>
          <w:sz w:val="24"/>
          <w:szCs w:val="24"/>
          <w:lang w:bidi="fa-IR"/>
        </w:rPr>
        <w:fldChar w:fldCharType="end"/>
      </w:r>
      <w:r w:rsidRPr="00C06842">
        <w:rPr>
          <w:rFonts w:asciiTheme="majorBidi" w:hAnsiTheme="majorBidi" w:cstheme="majorBidi"/>
          <w:sz w:val="24"/>
          <w:szCs w:val="24"/>
          <w:lang w:bidi="fa-IR"/>
        </w:rPr>
        <w:t xml:space="preserve">. The two plants Evolvulus alsinoides and Clitoria ternatea demonstrate potential for Alzheimer's therapy because they block cholinesterase enzymes and enhance brain functionality according to </w:t>
      </w:r>
      <w:r w:rsidR="00D4551A" w:rsidRPr="00D4551A">
        <w:rPr>
          <w:rFonts w:asciiTheme="majorBidi" w:hAnsiTheme="majorBidi" w:cstheme="majorBidi"/>
          <w:sz w:val="24"/>
          <w:szCs w:val="24"/>
          <w:lang w:val="en-GB" w:bidi="fa-IR"/>
        </w:rPr>
        <w:fldChar w:fldCharType="begin"/>
      </w:r>
      <w:r w:rsidR="00D4551A" w:rsidRPr="00D4551A">
        <w:rPr>
          <w:rFonts w:asciiTheme="majorBidi" w:hAnsiTheme="majorBidi" w:cstheme="majorBidi"/>
          <w:sz w:val="24"/>
          <w:szCs w:val="24"/>
          <w:lang w:val="en-GB" w:bidi="fa-IR"/>
        </w:rPr>
        <w:instrText xml:space="preserve"> ADDIN EN.CITE &lt;EndNote&gt;&lt;Cite&gt;&lt;Author&gt;Alnasser&lt;/Author&gt;&lt;Year&gt;2025&lt;/Year&gt;&lt;RecNum&gt;204&lt;/RecNum&gt;&lt;DisplayText&gt;(Alnasser et al., 2025; Elufioye et al., 2010)&lt;/DisplayText&gt;&lt;record&gt;&lt;rec-number&gt;204&lt;/rec-number&gt;&lt;foreign-keys&gt;&lt;key app="EN" db-id="2ptrtps0adr9vke22dn5tpwzrsfaxtxrfwet" timestamp="1755776794"&gt;204&lt;/key&gt;&lt;/foreign-keys&gt;&lt;ref-type name="Journal Article"&gt;17&lt;/ref-type&gt;&lt;contributors&gt;&lt;authors&gt;&lt;author&gt;Alnasser, Maryam N.&lt;/author&gt;&lt;author&gt;Alboraiy, Ghadir M.&lt;/author&gt;&lt;author&gt;Alsowig, Eman M.&lt;/author&gt;&lt;author&gt;Alqattan, Fatimah M.&lt;/author&gt;&lt;/authors&gt;&lt;/contributors&gt;&lt;titles&gt;&lt;title&gt;Cholinesterase Inhibitors From Plants and Their Potential in Alzheimer’s Treatment: Systematic Review&lt;/title&gt;&lt;secondary-title&gt;Brain Sciences&lt;/secondary-title&gt;&lt;/titles&gt;&lt;periodical&gt;&lt;full-title&gt;Brain Sciences&lt;/full-title&gt;&lt;/periodical&gt;&lt;pages&gt;215&lt;/pages&gt;&lt;volume&gt;15&lt;/volume&gt;&lt;number&gt;2&lt;/number&gt;&lt;dates&gt;&lt;year&gt;2025&lt;/year&gt;&lt;/dates&gt;&lt;urls&gt;&lt;/urls&gt;&lt;electronic-resource-num&gt;10.3390/brainsci15020215&lt;/electronic-resource-num&gt;&lt;/record&gt;&lt;/Cite&gt;&lt;Cite&gt;&lt;Author&gt;Elufioye&lt;/Author&gt;&lt;Year&gt;2010&lt;/Year&gt;&lt;RecNum&gt;205&lt;/RecNum&gt;&lt;record&gt;&lt;rec-number&gt;205&lt;/rec-number&gt;&lt;foreign-keys&gt;&lt;key app="EN" db-id="2ptrtps0adr9vke22dn5tpwzrsfaxtxrfwet" timestamp="1755776817"&gt;205&lt;/key&gt;&lt;/foreign-keys&gt;&lt;ref-type name="Journal Article"&gt;17&lt;/ref-type&gt;&lt;contributors&gt;&lt;authors&gt;&lt;author&gt;Elufioye, Taiwo O.&lt;/author&gt;&lt;author&gt;Obuotor, Efere M.&lt;/author&gt;&lt;author&gt;Sennuga, Afolake T.&lt;/author&gt;&lt;author&gt;Agbedahunsi, Joseph M.&lt;/author&gt;&lt;author&gt;Adesanya, Saburi A.&lt;/author&gt;&lt;/authors&gt;&lt;/contributors&gt;&lt;titles&gt;&lt;title&gt;Acetylcholinesterase and Butyrylcholinesterase Inhibitory Activity of Some Selected Nigerian Medicinal Plants&lt;/title&gt;&lt;secondary-title&gt;Revista Brasileira De Farmacognosia&lt;/secondary-title&gt;&lt;/titles&gt;&lt;periodical&gt;&lt;full-title&gt;Revista Brasileira De Farmacognosia&lt;/full-title&gt;&lt;/periodical&gt;&lt;pages&gt;472-477&lt;/pages&gt;&lt;volume&gt;20&lt;/volume&gt;&lt;number&gt;4&lt;/number&gt;&lt;dates&gt;&lt;year&gt;2010&lt;/year&gt;&lt;/dates&gt;&lt;urls&gt;&lt;/urls&gt;&lt;electronic-resource-num&gt;10.1590/s0102-695x2010000400002&lt;/electronic-resource-num&gt;&lt;/record&gt;&lt;/Cite&gt;&lt;/EndNote&gt;</w:instrText>
      </w:r>
      <w:r w:rsidR="00D4551A" w:rsidRPr="00D4551A">
        <w:rPr>
          <w:rFonts w:asciiTheme="majorBidi" w:hAnsiTheme="majorBidi" w:cstheme="majorBidi"/>
          <w:sz w:val="24"/>
          <w:szCs w:val="24"/>
          <w:lang w:val="en-GB" w:bidi="fa-IR"/>
        </w:rPr>
        <w:fldChar w:fldCharType="separate"/>
      </w:r>
      <w:r w:rsidR="00D4551A" w:rsidRPr="00D4551A">
        <w:rPr>
          <w:rFonts w:asciiTheme="majorBidi" w:hAnsiTheme="majorBidi" w:cstheme="majorBidi"/>
          <w:sz w:val="24"/>
          <w:szCs w:val="24"/>
          <w:lang w:val="en-GB" w:bidi="fa-IR"/>
        </w:rPr>
        <w:t>(</w:t>
      </w:r>
      <w:hyperlink w:anchor="_ENREF_4" w:tooltip="Alnasser, 2025 #204" w:history="1">
        <w:r w:rsidR="00DE113E" w:rsidRPr="00D4551A">
          <w:rPr>
            <w:rFonts w:asciiTheme="majorBidi" w:hAnsiTheme="majorBidi" w:cstheme="majorBidi"/>
            <w:sz w:val="24"/>
            <w:szCs w:val="24"/>
            <w:lang w:val="en-GB" w:bidi="fa-IR"/>
          </w:rPr>
          <w:t>Alnasser et al., 2025</w:t>
        </w:r>
      </w:hyperlink>
      <w:r w:rsidR="00D4551A" w:rsidRPr="00D4551A">
        <w:rPr>
          <w:rFonts w:asciiTheme="majorBidi" w:hAnsiTheme="majorBidi" w:cstheme="majorBidi"/>
          <w:sz w:val="24"/>
          <w:szCs w:val="24"/>
          <w:lang w:val="en-GB" w:bidi="fa-IR"/>
        </w:rPr>
        <w:t xml:space="preserve">; </w:t>
      </w:r>
      <w:hyperlink w:anchor="_ENREF_71" w:tooltip="Elufioye, 2010 #205" w:history="1">
        <w:r w:rsidR="00DE113E" w:rsidRPr="00D4551A">
          <w:rPr>
            <w:rFonts w:asciiTheme="majorBidi" w:hAnsiTheme="majorBidi" w:cstheme="majorBidi"/>
            <w:sz w:val="24"/>
            <w:szCs w:val="24"/>
            <w:lang w:val="en-GB" w:bidi="fa-IR"/>
          </w:rPr>
          <w:t>Elufioye et al., 2010</w:t>
        </w:r>
      </w:hyperlink>
      <w:r w:rsidR="00D4551A" w:rsidRPr="00D4551A">
        <w:rPr>
          <w:rFonts w:asciiTheme="majorBidi" w:hAnsiTheme="majorBidi" w:cstheme="majorBidi"/>
          <w:sz w:val="24"/>
          <w:szCs w:val="24"/>
          <w:lang w:val="en-GB" w:bidi="fa-IR"/>
        </w:rPr>
        <w:t>)</w:t>
      </w:r>
      <w:r w:rsidR="00D4551A" w:rsidRPr="00D4551A">
        <w:rPr>
          <w:rFonts w:asciiTheme="majorBidi" w:hAnsiTheme="majorBidi" w:cstheme="majorBidi"/>
          <w:sz w:val="24"/>
          <w:szCs w:val="24"/>
          <w:lang w:bidi="fa-IR"/>
        </w:rPr>
        <w:fldChar w:fldCharType="end"/>
      </w:r>
      <w:r w:rsidRPr="00C06842">
        <w:rPr>
          <w:rFonts w:asciiTheme="majorBidi" w:hAnsiTheme="majorBidi" w:cstheme="majorBidi"/>
          <w:sz w:val="24"/>
          <w:szCs w:val="24"/>
          <w:lang w:bidi="fa-IR"/>
        </w:rPr>
        <w:t xml:space="preserve">. </w:t>
      </w:r>
      <w:r w:rsidRPr="00C06842">
        <w:rPr>
          <w:rFonts w:asciiTheme="majorBidi" w:hAnsiTheme="majorBidi" w:cstheme="majorBidi"/>
          <w:i/>
          <w:iCs/>
          <w:sz w:val="24"/>
          <w:szCs w:val="24"/>
          <w:lang w:bidi="fa-IR"/>
        </w:rPr>
        <w:t>Bacopa monnieri</w:t>
      </w:r>
      <w:r w:rsidRPr="00C06842">
        <w:rPr>
          <w:rFonts w:asciiTheme="majorBidi" w:hAnsiTheme="majorBidi" w:cstheme="majorBidi"/>
          <w:sz w:val="24"/>
          <w:szCs w:val="24"/>
          <w:lang w:bidi="fa-IR"/>
        </w:rPr>
        <w:t xml:space="preserve">, together with </w:t>
      </w:r>
      <w:r w:rsidRPr="00C06842">
        <w:rPr>
          <w:rFonts w:asciiTheme="majorBidi" w:hAnsiTheme="majorBidi" w:cstheme="majorBidi"/>
          <w:i/>
          <w:iCs/>
          <w:sz w:val="24"/>
          <w:szCs w:val="24"/>
          <w:lang w:bidi="fa-IR"/>
        </w:rPr>
        <w:t>Psidium guajava</w:t>
      </w:r>
      <w:r w:rsidRPr="00C06842">
        <w:rPr>
          <w:rFonts w:asciiTheme="majorBidi" w:hAnsiTheme="majorBidi" w:cstheme="majorBidi"/>
          <w:sz w:val="24"/>
          <w:szCs w:val="24"/>
          <w:lang w:bidi="fa-IR"/>
        </w:rPr>
        <w:t xml:space="preserve">, showed neuroprotective properties because </w:t>
      </w:r>
      <w:r w:rsidRPr="00313C1D">
        <w:rPr>
          <w:rFonts w:asciiTheme="majorBidi" w:hAnsiTheme="majorBidi" w:cstheme="majorBidi"/>
          <w:sz w:val="24"/>
          <w:szCs w:val="24"/>
          <w:lang w:bidi="fa-IR"/>
        </w:rPr>
        <w:t>these herbs stands</w:t>
      </w:r>
      <w:r w:rsidRPr="00C06842">
        <w:rPr>
          <w:rFonts w:asciiTheme="majorBidi" w:hAnsiTheme="majorBidi" w:cstheme="majorBidi"/>
          <w:sz w:val="24"/>
          <w:szCs w:val="24"/>
          <w:lang w:bidi="fa-IR"/>
        </w:rPr>
        <w:t xml:space="preserve"> out as a memory enhancer that blocks Alzheimer’s disease progression </w:t>
      </w:r>
      <w:r w:rsidR="00D4551A" w:rsidRPr="00D4551A">
        <w:rPr>
          <w:rFonts w:asciiTheme="majorBidi" w:hAnsiTheme="majorBidi" w:cstheme="majorBidi"/>
          <w:sz w:val="24"/>
          <w:szCs w:val="24"/>
          <w:lang w:val="en-GB" w:bidi="fa-IR"/>
        </w:rPr>
        <w:fldChar w:fldCharType="begin">
          <w:fldData xml:space="preserve">PEVuZE5vdGU+PENpdGU+PEF1dGhvcj5TYW5nZWV0PC9BdXRob3I+PFllYXI+MjAyMzwvWWVhcj48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</w:fldData>
        </w:fldChar>
      </w:r>
      <w:r w:rsidR="00D4551A" w:rsidRPr="00D4551A">
        <w:rPr>
          <w:rFonts w:asciiTheme="majorBidi" w:hAnsiTheme="majorBidi" w:cstheme="majorBidi"/>
          <w:sz w:val="24"/>
          <w:szCs w:val="24"/>
          <w:lang w:val="en-GB" w:bidi="fa-IR"/>
        </w:rPr>
        <w:instrText xml:space="preserve"> ADDIN EN.CITE </w:instrText>
      </w:r>
      <w:r w:rsidR="00D4551A" w:rsidRPr="00D4551A">
        <w:rPr>
          <w:rFonts w:asciiTheme="majorBidi" w:hAnsiTheme="majorBidi" w:cstheme="majorBidi"/>
          <w:sz w:val="24"/>
          <w:szCs w:val="24"/>
          <w:lang w:val="en-GB" w:bidi="fa-IR"/>
        </w:rPr>
        <w:fldChar w:fldCharType="begin">
          <w:fldData xml:space="preserve">PEVuZE5vdGU+PENpdGU+PEF1dGhvcj5TYW5nZWV0PC9BdXRob3I+PFllYXI+MjAyMzwvWWVhcj48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</w:fldData>
        </w:fldChar>
      </w:r>
      <w:r w:rsidR="00D4551A" w:rsidRPr="00D4551A">
        <w:rPr>
          <w:rFonts w:asciiTheme="majorBidi" w:hAnsiTheme="majorBidi" w:cstheme="majorBidi"/>
          <w:sz w:val="24"/>
          <w:szCs w:val="24"/>
          <w:lang w:val="en-GB" w:bidi="fa-IR"/>
        </w:rPr>
        <w:instrText xml:space="preserve"> ADDIN EN.CITE.DATA </w:instrText>
      </w:r>
      <w:r w:rsidR="00D4551A" w:rsidRPr="00D4551A">
        <w:rPr>
          <w:rFonts w:asciiTheme="majorBidi" w:hAnsiTheme="majorBidi" w:cstheme="majorBidi"/>
          <w:sz w:val="24"/>
          <w:szCs w:val="24"/>
          <w:lang w:bidi="fa-IR"/>
        </w:rPr>
      </w:r>
      <w:r w:rsidR="00D4551A" w:rsidRPr="00D4551A">
        <w:rPr>
          <w:rFonts w:asciiTheme="majorBidi" w:hAnsiTheme="majorBidi" w:cstheme="majorBidi"/>
          <w:sz w:val="24"/>
          <w:szCs w:val="24"/>
          <w:lang w:bidi="fa-IR"/>
        </w:rPr>
        <w:fldChar w:fldCharType="end"/>
      </w:r>
      <w:r w:rsidR="00D4551A" w:rsidRPr="00D4551A">
        <w:rPr>
          <w:rFonts w:asciiTheme="majorBidi" w:hAnsiTheme="majorBidi" w:cstheme="majorBidi"/>
          <w:sz w:val="24"/>
          <w:szCs w:val="24"/>
          <w:lang w:val="en-GB" w:bidi="fa-IR"/>
        </w:rPr>
      </w:r>
      <w:r w:rsidR="00D4551A" w:rsidRPr="00D4551A">
        <w:rPr>
          <w:rFonts w:asciiTheme="majorBidi" w:hAnsiTheme="majorBidi" w:cstheme="majorBidi"/>
          <w:sz w:val="24"/>
          <w:szCs w:val="24"/>
          <w:lang w:val="en-GB" w:bidi="fa-IR"/>
        </w:rPr>
        <w:fldChar w:fldCharType="separate"/>
      </w:r>
      <w:r w:rsidR="00D4551A" w:rsidRPr="00D4551A">
        <w:rPr>
          <w:rFonts w:asciiTheme="majorBidi" w:hAnsiTheme="majorBidi" w:cstheme="majorBidi"/>
          <w:sz w:val="24"/>
          <w:szCs w:val="24"/>
          <w:lang w:val="en-GB" w:bidi="fa-IR"/>
        </w:rPr>
        <w:t>(</w:t>
      </w:r>
      <w:hyperlink w:anchor="_ENREF_5" w:tooltip="Alum, 2025 #206" w:history="1">
        <w:r w:rsidR="00DE113E" w:rsidRPr="00D4551A">
          <w:rPr>
            <w:rFonts w:asciiTheme="majorBidi" w:hAnsiTheme="majorBidi" w:cstheme="majorBidi"/>
            <w:sz w:val="24"/>
            <w:szCs w:val="24"/>
            <w:lang w:val="en-GB" w:bidi="fa-IR"/>
          </w:rPr>
          <w:t>Alum et al., 2025</w:t>
        </w:r>
      </w:hyperlink>
      <w:r w:rsidR="00D4551A" w:rsidRPr="00D4551A">
        <w:rPr>
          <w:rFonts w:asciiTheme="majorBidi" w:hAnsiTheme="majorBidi" w:cstheme="majorBidi"/>
          <w:sz w:val="24"/>
          <w:szCs w:val="24"/>
          <w:lang w:val="en-GB" w:bidi="fa-IR"/>
        </w:rPr>
        <w:t xml:space="preserve">; </w:t>
      </w:r>
      <w:hyperlink w:anchor="_ENREF_214" w:tooltip="Sangeet, 2023 #207" w:history="1">
        <w:r w:rsidR="00DE113E" w:rsidRPr="00D4551A">
          <w:rPr>
            <w:rFonts w:asciiTheme="majorBidi" w:hAnsiTheme="majorBidi" w:cstheme="majorBidi"/>
            <w:sz w:val="24"/>
            <w:szCs w:val="24"/>
            <w:lang w:val="en-GB" w:bidi="fa-IR"/>
          </w:rPr>
          <w:t>Sangeet et al., 2023</w:t>
        </w:r>
      </w:hyperlink>
      <w:r w:rsidR="00D4551A" w:rsidRPr="00D4551A">
        <w:rPr>
          <w:rFonts w:asciiTheme="majorBidi" w:hAnsiTheme="majorBidi" w:cstheme="majorBidi"/>
          <w:sz w:val="24"/>
          <w:szCs w:val="24"/>
          <w:lang w:val="en-GB" w:bidi="fa-IR"/>
        </w:rPr>
        <w:t>)</w:t>
      </w:r>
      <w:r w:rsidR="00D4551A" w:rsidRPr="00D4551A">
        <w:rPr>
          <w:rFonts w:asciiTheme="majorBidi" w:hAnsiTheme="majorBidi" w:cstheme="majorBidi"/>
          <w:sz w:val="24"/>
          <w:szCs w:val="24"/>
          <w:lang w:bidi="fa-IR"/>
        </w:rPr>
        <w:fldChar w:fldCharType="end"/>
      </w:r>
      <w:r w:rsidR="00D4551A">
        <w:rPr>
          <w:rFonts w:asciiTheme="majorBidi" w:hAnsiTheme="majorBidi" w:cstheme="majorBidi"/>
          <w:sz w:val="24"/>
          <w:szCs w:val="24"/>
          <w:lang w:bidi="fa-IR"/>
        </w:rPr>
        <w:t>.</w:t>
      </w:r>
      <w:r w:rsidR="00D4551A">
        <w:rPr>
          <w:rFonts w:asciiTheme="majorBidi" w:hAnsiTheme="majorBidi" w:cstheme="majorBidi"/>
          <w:sz w:val="24"/>
          <w:szCs w:val="24"/>
          <w:lang w:val="en-GB" w:bidi="fa-IR"/>
        </w:rPr>
        <w:t xml:space="preserve"> </w:t>
      </w:r>
      <w:r w:rsidRPr="00C06842">
        <w:rPr>
          <w:rFonts w:asciiTheme="majorBidi" w:hAnsiTheme="majorBidi" w:cstheme="majorBidi"/>
          <w:sz w:val="24"/>
          <w:szCs w:val="24"/>
          <w:lang w:bidi="fa-IR"/>
        </w:rPr>
        <w:t xml:space="preserve">Studies have shown that </w:t>
      </w:r>
      <w:r w:rsidRPr="00C06842">
        <w:rPr>
          <w:rFonts w:asciiTheme="majorBidi" w:hAnsiTheme="majorBidi" w:cstheme="majorBidi"/>
          <w:i/>
          <w:iCs/>
          <w:sz w:val="24"/>
          <w:szCs w:val="24"/>
          <w:lang w:bidi="fa-IR"/>
        </w:rPr>
        <w:t>Ginkgo biloba</w:t>
      </w:r>
      <w:r w:rsidRPr="00C06842">
        <w:rPr>
          <w:rFonts w:asciiTheme="majorBidi" w:hAnsiTheme="majorBidi" w:cstheme="majorBidi"/>
          <w:sz w:val="24"/>
          <w:szCs w:val="24"/>
          <w:lang w:bidi="fa-IR"/>
        </w:rPr>
        <w:t xml:space="preserve"> produces neurochemical modifications that boost acetylcholine and dopamine levels in the medial prefrontal cortex to improve mental functions </w:t>
      </w:r>
      <w:r w:rsidR="00D4551A">
        <w:rPr>
          <w:rFonts w:asciiTheme="majorBidi" w:hAnsiTheme="majorBidi" w:cstheme="majorBidi"/>
          <w:sz w:val="24"/>
          <w:szCs w:val="24"/>
          <w:lang w:bidi="fa-IR"/>
        </w:rPr>
        <w:fldChar w:fldCharType="begin"/>
      </w:r>
      <w:r w:rsidR="00D4551A">
        <w:rPr>
          <w:rFonts w:asciiTheme="majorBidi" w:hAnsiTheme="majorBidi" w:cstheme="majorBidi"/>
          <w:sz w:val="24"/>
          <w:szCs w:val="24"/>
          <w:lang w:bidi="fa-IR"/>
        </w:rPr>
        <w:instrText xml:space="preserve"> ADDIN EN.CITE &lt;EndNote&gt;&lt;Cite&gt;&lt;Author&gt;Kehr&lt;/Author&gt;&lt;Year&gt;2012&lt;/Year&gt;&lt;RecNum&gt;331&lt;/RecNum&gt;&lt;DisplayText&gt;(Kehr et al., 2012)&lt;/DisplayText&gt;&lt;record&gt;&lt;rec-number&gt;331&lt;/rec-number&gt;&lt;foreign-keys&gt;&lt;key app="EN" db-id="2ptrtps0adr9vke22dn5tpwzrsfaxtxrfwet" timestamp="1758450885"&gt;331&lt;/key&gt;&lt;/foreign-keys&gt;&lt;ref-type name="Journal Article"&gt;17&lt;/ref-type&gt;&lt;contributors&gt;&lt;authors&gt;&lt;author&gt;Kehr, Ján&lt;/author&gt;&lt;author&gt;Yoshitake, Shimako&lt;/author&gt;&lt;author&gt;Ijiri, Soichiro&lt;/author&gt;&lt;author&gt;Koch, E.&lt;/author&gt;&lt;author&gt;Nöldner, Michael&lt;/author&gt;&lt;author&gt;Yoshitake, Takashi&lt;/author&gt;&lt;/authors&gt;&lt;/contributors&gt;&lt;titles&gt;&lt;title&gt;Ginkgo Biloba Leaf Extract (EGb 761®) and Its Specific Acylated Flavonol Constituents Increase Dopamine and Acetylcholine Levels in the Rat Medial Prefrontal Cortex: Possible Implications for the Cognitive Enhancing Properties of EGb 761®&lt;/title&gt;&lt;secondary-title&gt;International Psychogeriatrics&lt;/secondary-title&gt;&lt;/titles&gt;&lt;periodical&gt;&lt;full-title&gt;International Psychogeriatrics&lt;/full-title&gt;&lt;/periodical&gt;&lt;pages&gt;S25-S34&lt;/pages&gt;&lt;volume&gt;24&lt;/volume&gt;&lt;dates&gt;&lt;year&gt;2012&lt;/year&gt;&lt;/dates&gt;&lt;urls&gt;&lt;/urls&gt;&lt;electronic-resource-num&gt;10.1017/s1041610212000567&lt;/electronic-resource-num&gt;&lt;/record&gt;&lt;/Cite&gt;&lt;/EndNote&gt;</w:instrText>
      </w:r>
      <w:r w:rsidR="00D4551A">
        <w:rPr>
          <w:rFonts w:asciiTheme="majorBidi" w:hAnsiTheme="majorBidi" w:cstheme="majorBidi"/>
          <w:sz w:val="24"/>
          <w:szCs w:val="24"/>
          <w:lang w:bidi="fa-IR"/>
        </w:rPr>
        <w:fldChar w:fldCharType="separate"/>
      </w:r>
      <w:r w:rsidR="00D4551A">
        <w:rPr>
          <w:rFonts w:asciiTheme="majorBidi" w:hAnsiTheme="majorBidi" w:cstheme="majorBidi"/>
          <w:noProof/>
          <w:sz w:val="24"/>
          <w:szCs w:val="24"/>
          <w:lang w:bidi="fa-IR"/>
        </w:rPr>
        <w:t>(</w:t>
      </w:r>
      <w:hyperlink w:anchor="_ENREF_121" w:tooltip="Kehr, 2012 #331" w:history="1">
        <w:r w:rsidR="00DE113E">
          <w:rPr>
            <w:rFonts w:asciiTheme="majorBidi" w:hAnsiTheme="majorBidi" w:cstheme="majorBidi"/>
            <w:noProof/>
            <w:sz w:val="24"/>
            <w:szCs w:val="24"/>
            <w:lang w:bidi="fa-IR"/>
          </w:rPr>
          <w:t>Kehr et al., 2012</w:t>
        </w:r>
      </w:hyperlink>
      <w:r w:rsidR="00D4551A">
        <w:rPr>
          <w:rFonts w:asciiTheme="majorBidi" w:hAnsiTheme="majorBidi" w:cstheme="majorBidi"/>
          <w:noProof/>
          <w:sz w:val="24"/>
          <w:szCs w:val="24"/>
          <w:lang w:bidi="fa-IR"/>
        </w:rPr>
        <w:t>)</w:t>
      </w:r>
      <w:r w:rsidR="00D4551A">
        <w:rPr>
          <w:rFonts w:asciiTheme="majorBidi" w:hAnsiTheme="majorBidi" w:cstheme="majorBidi"/>
          <w:sz w:val="24"/>
          <w:szCs w:val="24"/>
          <w:lang w:bidi="fa-IR"/>
        </w:rPr>
        <w:fldChar w:fldCharType="end"/>
      </w:r>
      <w:r w:rsidRPr="00C06842">
        <w:rPr>
          <w:rFonts w:asciiTheme="majorBidi" w:hAnsiTheme="majorBidi" w:cstheme="majorBidi"/>
          <w:sz w:val="24"/>
          <w:szCs w:val="24"/>
          <w:lang w:bidi="fa-IR"/>
        </w:rPr>
        <w:t xml:space="preserve">. Recent review </w:t>
      </w:r>
      <w:r w:rsidR="00303230" w:rsidRPr="00C06842">
        <w:rPr>
          <w:rFonts w:asciiTheme="majorBidi" w:hAnsiTheme="majorBidi" w:cstheme="majorBidi"/>
          <w:sz w:val="24"/>
          <w:szCs w:val="24"/>
          <w:lang w:bidi="fa-IR"/>
        </w:rPr>
        <w:t>demonstrates</w:t>
      </w:r>
      <w:r w:rsidRPr="00C06842">
        <w:rPr>
          <w:rFonts w:asciiTheme="majorBidi" w:hAnsiTheme="majorBidi" w:cstheme="majorBidi"/>
          <w:sz w:val="24"/>
          <w:szCs w:val="24"/>
          <w:lang w:bidi="fa-IR"/>
        </w:rPr>
        <w:t xml:space="preserve"> that </w:t>
      </w:r>
      <w:r w:rsidRPr="00C06842">
        <w:rPr>
          <w:rFonts w:asciiTheme="majorBidi" w:hAnsiTheme="majorBidi" w:cstheme="majorBidi"/>
          <w:i/>
          <w:iCs/>
          <w:sz w:val="24"/>
          <w:szCs w:val="24"/>
          <w:lang w:bidi="fa-IR"/>
        </w:rPr>
        <w:t>Ginkgo biloba</w:t>
      </w:r>
      <w:r w:rsidRPr="00C06842">
        <w:rPr>
          <w:rFonts w:asciiTheme="majorBidi" w:hAnsiTheme="majorBidi" w:cstheme="majorBidi"/>
          <w:sz w:val="24"/>
          <w:szCs w:val="24"/>
          <w:lang w:bidi="fa-IR"/>
        </w:rPr>
        <w:t xml:space="preserve">, </w:t>
      </w:r>
      <w:r w:rsidRPr="00C06842">
        <w:rPr>
          <w:rFonts w:asciiTheme="majorBidi" w:hAnsiTheme="majorBidi" w:cstheme="majorBidi"/>
          <w:i/>
          <w:iCs/>
          <w:sz w:val="24"/>
          <w:szCs w:val="24"/>
          <w:lang w:bidi="fa-IR"/>
        </w:rPr>
        <w:t>Nigella sativa</w:t>
      </w:r>
      <w:r w:rsidRPr="00C06842">
        <w:rPr>
          <w:rFonts w:asciiTheme="majorBidi" w:hAnsiTheme="majorBidi" w:cstheme="majorBidi"/>
          <w:sz w:val="24"/>
          <w:szCs w:val="24"/>
          <w:lang w:bidi="fa-IR"/>
        </w:rPr>
        <w:t xml:space="preserve">, </w:t>
      </w:r>
      <w:r w:rsidRPr="00C06842">
        <w:rPr>
          <w:rFonts w:asciiTheme="majorBidi" w:hAnsiTheme="majorBidi" w:cstheme="majorBidi"/>
          <w:i/>
          <w:iCs/>
          <w:sz w:val="24"/>
          <w:szCs w:val="24"/>
          <w:lang w:bidi="fa-IR"/>
        </w:rPr>
        <w:t>Panax ginseng</w:t>
      </w:r>
      <w:r w:rsidRPr="00C06842">
        <w:rPr>
          <w:rFonts w:asciiTheme="majorBidi" w:hAnsiTheme="majorBidi" w:cstheme="majorBidi"/>
          <w:sz w:val="24"/>
          <w:szCs w:val="24"/>
          <w:lang w:bidi="fa-IR"/>
        </w:rPr>
        <w:t xml:space="preserve">, and </w:t>
      </w:r>
      <w:r w:rsidRPr="00C06842">
        <w:rPr>
          <w:rFonts w:asciiTheme="majorBidi" w:hAnsiTheme="majorBidi" w:cstheme="majorBidi"/>
          <w:i/>
          <w:iCs/>
          <w:sz w:val="24"/>
          <w:szCs w:val="24"/>
          <w:lang w:bidi="fa-IR"/>
        </w:rPr>
        <w:t>Punica granatum</w:t>
      </w:r>
      <w:r w:rsidRPr="00C06842">
        <w:rPr>
          <w:rFonts w:asciiTheme="majorBidi" w:hAnsiTheme="majorBidi" w:cstheme="majorBidi"/>
          <w:sz w:val="24"/>
          <w:szCs w:val="24"/>
          <w:lang w:bidi="fa-IR"/>
        </w:rPr>
        <w:t xml:space="preserve"> whole plant extracts show positive effects on memory, attention, executive function, and spatial learning in both clinical and preclinical research.  Scientists need to investigate </w:t>
      </w:r>
      <w:r w:rsidR="00303230">
        <w:rPr>
          <w:rFonts w:asciiTheme="majorBidi" w:hAnsiTheme="majorBidi" w:cstheme="majorBidi"/>
          <w:sz w:val="24"/>
          <w:szCs w:val="24"/>
          <w:lang w:bidi="fa-IR"/>
        </w:rPr>
        <w:t>basic</w:t>
      </w:r>
      <w:r w:rsidRPr="00C06842">
        <w:rPr>
          <w:rFonts w:asciiTheme="majorBidi" w:hAnsiTheme="majorBidi" w:cstheme="majorBidi"/>
          <w:sz w:val="24"/>
          <w:szCs w:val="24"/>
          <w:lang w:bidi="fa-IR"/>
        </w:rPr>
        <w:t xml:space="preserve"> biological processes through standardized extraction techniques and controlled clinical trials for testing plant-based treatments which address cognitive disorders</w:t>
      </w:r>
      <w:r w:rsidR="00D4551A">
        <w:rPr>
          <w:rFonts w:asciiTheme="majorBidi" w:hAnsiTheme="majorBidi" w:cstheme="majorBidi"/>
          <w:sz w:val="24"/>
          <w:szCs w:val="24"/>
          <w:lang w:bidi="fa-IR"/>
        </w:rPr>
        <w:t xml:space="preserve"> </w:t>
      </w:r>
      <w:r w:rsidR="00D4551A">
        <w:rPr>
          <w:rFonts w:asciiTheme="majorBidi" w:hAnsiTheme="majorBidi" w:cstheme="majorBidi"/>
          <w:sz w:val="24"/>
          <w:szCs w:val="24"/>
          <w:lang w:bidi="fa-IR"/>
        </w:rPr>
        <w:fldChar w:fldCharType="begin"/>
      </w:r>
      <w:r w:rsidR="00D4551A">
        <w:rPr>
          <w:rFonts w:asciiTheme="majorBidi" w:hAnsiTheme="majorBidi" w:cstheme="majorBidi"/>
          <w:sz w:val="24"/>
          <w:szCs w:val="24"/>
          <w:lang w:bidi="fa-IR"/>
        </w:rPr>
        <w:instrText xml:space="preserve"> ADDIN EN.CITE &lt;EndNote&gt;&lt;Cite&gt;&lt;Author&gt;Piva&lt;/Author&gt;&lt;Year&gt;2024&lt;/Year&gt;&lt;RecNum&gt;332&lt;/RecNum&gt;&lt;DisplayText&gt;(Piva et al., 2024)&lt;/DisplayText&gt;&lt;record&gt;&lt;rec-number&gt;332&lt;/rec-number&gt;&lt;foreign-keys&gt;&lt;key app="EN" db-id="2ptrtps0adr9vke22dn5tpwzrsfaxtxrfwet" timestamp="1758450931"&gt;332&lt;/key&gt;&lt;/foreign-keys&gt;&lt;ref-type name="Journal Article"&gt;17&lt;/ref-type&gt;&lt;contributors&gt;&lt;authors&gt;&lt;author&gt;Piva, Alessandro&lt;/author&gt;&lt;author&gt;Benvegnù, Giulia&lt;/author&gt;&lt;author&gt;Negri, Stefano&lt;/author&gt;&lt;author&gt;Commisso, Mauro&lt;/author&gt;&lt;author&gt;Ceccato, Sofia&lt;/author&gt;&lt;author&gt;Avesani, Linda&lt;/author&gt;&lt;author&gt;Guzzo, Flavia&lt;/author&gt;&lt;author&gt;Chiamulera, Cristiano&lt;/author&gt;&lt;/authors&gt;&lt;/contributors&gt;&lt;titles&gt;&lt;title&gt;Whole Plant Extracts for Neurocognitive Disorders: A Narrative Review of Neuropsychological and Preclinical Studies&lt;/title&gt;&lt;secondary-title&gt;Nutrients&lt;/secondary-title&gt;&lt;/titles&gt;&lt;periodical&gt;&lt;full-title&gt;Nutrients&lt;/full-title&gt;&lt;/periodical&gt;&lt;pages&gt;3156&lt;/pages&gt;&lt;volume&gt;16&lt;/volume&gt;&lt;number&gt;18&lt;/number&gt;&lt;dates&gt;&lt;year&gt;2024&lt;/year&gt;&lt;/dates&gt;&lt;isbn&gt;2072-6643&lt;/isbn&gt;&lt;accession-num&gt;doi:10.3390/nu16183156&lt;/accession-num&gt;&lt;urls&gt;&lt;related-urls&gt;&lt;url&gt;https://www.mdpi.com/2072-6643/16/18/3156&lt;/url&gt;&lt;/related-urls&gt;&lt;/urls&gt;&lt;/record&gt;&lt;/Cite&gt;&lt;/EndNote&gt;</w:instrText>
      </w:r>
      <w:r w:rsidR="00D4551A">
        <w:rPr>
          <w:rFonts w:asciiTheme="majorBidi" w:hAnsiTheme="majorBidi" w:cstheme="majorBidi"/>
          <w:sz w:val="24"/>
          <w:szCs w:val="24"/>
          <w:lang w:bidi="fa-IR"/>
        </w:rPr>
        <w:fldChar w:fldCharType="separate"/>
      </w:r>
      <w:r w:rsidR="00D4551A">
        <w:rPr>
          <w:rFonts w:asciiTheme="majorBidi" w:hAnsiTheme="majorBidi" w:cstheme="majorBidi"/>
          <w:noProof/>
          <w:sz w:val="24"/>
          <w:szCs w:val="24"/>
          <w:lang w:bidi="fa-IR"/>
        </w:rPr>
        <w:t>(</w:t>
      </w:r>
      <w:hyperlink w:anchor="_ENREF_183" w:tooltip="Piva, 2024 #341" w:history="1">
        <w:r w:rsidR="00DE113E">
          <w:rPr>
            <w:rFonts w:asciiTheme="majorBidi" w:hAnsiTheme="majorBidi" w:cstheme="majorBidi"/>
            <w:noProof/>
            <w:sz w:val="24"/>
            <w:szCs w:val="24"/>
            <w:lang w:bidi="fa-IR"/>
          </w:rPr>
          <w:t>Piva et al., 2024</w:t>
        </w:r>
      </w:hyperlink>
      <w:r w:rsidR="00D4551A">
        <w:rPr>
          <w:rFonts w:asciiTheme="majorBidi" w:hAnsiTheme="majorBidi" w:cstheme="majorBidi"/>
          <w:noProof/>
          <w:sz w:val="24"/>
          <w:szCs w:val="24"/>
          <w:lang w:bidi="fa-IR"/>
        </w:rPr>
        <w:t>)</w:t>
      </w:r>
      <w:r w:rsidR="00D4551A">
        <w:rPr>
          <w:rFonts w:asciiTheme="majorBidi" w:hAnsiTheme="majorBidi" w:cstheme="majorBidi"/>
          <w:sz w:val="24"/>
          <w:szCs w:val="24"/>
          <w:lang w:bidi="fa-IR"/>
        </w:rPr>
        <w:fldChar w:fldCharType="end"/>
      </w:r>
      <w:r w:rsidR="00D4551A">
        <w:rPr>
          <w:rFonts w:asciiTheme="majorBidi" w:hAnsiTheme="majorBidi" w:cstheme="majorBidi"/>
          <w:sz w:val="24"/>
          <w:szCs w:val="24"/>
          <w:lang w:bidi="fa-IR"/>
        </w:rPr>
        <w:t>.</w:t>
      </w:r>
    </w:p>
    <w:p w14:paraId="1280D815" w14:textId="77777777" w:rsidR="00C06842" w:rsidRPr="00C06842" w:rsidRDefault="00C06842" w:rsidP="00C80A17">
      <w:pPr>
        <w:jc w:val="both"/>
        <w:rPr>
          <w:rFonts w:asciiTheme="majorBidi" w:hAnsiTheme="majorBidi" w:cstheme="majorBidi"/>
          <w:sz w:val="24"/>
          <w:szCs w:val="24"/>
          <w:lang w:bidi="fa-IR"/>
        </w:rPr>
      </w:pPr>
    </w:p>
    <w:p w14:paraId="6D880B3E" w14:textId="560ADEFB" w:rsidR="00002B54" w:rsidRPr="00F71F57" w:rsidRDefault="00002B54" w:rsidP="00D623DE">
      <w:pPr>
        <w:pStyle w:val="Heading3"/>
        <w:ind w:left="1080"/>
        <w:rPr>
          <w:lang w:val="en-GB" w:bidi="fa-IR"/>
        </w:rPr>
      </w:pPr>
      <w:bookmarkStart w:id="34" w:name="_Toc214875841"/>
      <w:r w:rsidRPr="00F71F57">
        <w:rPr>
          <w:lang w:val="en-GB" w:bidi="fa-IR"/>
        </w:rPr>
        <w:t>1.</w:t>
      </w:r>
      <w:r w:rsidR="003167B3" w:rsidRPr="00F71F57">
        <w:rPr>
          <w:lang w:val="en-GB" w:bidi="fa-IR"/>
        </w:rPr>
        <w:t>3.2</w:t>
      </w:r>
      <w:r w:rsidRPr="00F71F57">
        <w:rPr>
          <w:lang w:val="en-GB" w:bidi="fa-IR"/>
        </w:rPr>
        <w:t xml:space="preserve"> Nootropics and Herbal Medicines in Cognitive Decline</w:t>
      </w:r>
      <w:bookmarkEnd w:id="34"/>
    </w:p>
    <w:p w14:paraId="303B5BA0" w14:textId="47DA14B8" w:rsidR="00BD53F1" w:rsidRDefault="00331D5C" w:rsidP="00C80A17">
      <w:pPr>
        <w:spacing w:line="360" w:lineRule="auto"/>
        <w:ind w:left="1080"/>
        <w:jc w:val="both"/>
        <w:rPr>
          <w:rFonts w:asciiTheme="majorBidi" w:hAnsiTheme="majorBidi" w:cstheme="majorBidi"/>
          <w:sz w:val="24"/>
          <w:szCs w:val="24"/>
          <w:lang w:val="en-GB" w:bidi="fa-IR"/>
        </w:rPr>
      </w:pPr>
      <w:r w:rsidRPr="00331D5C">
        <w:rPr>
          <w:rFonts w:asciiTheme="majorBidi" w:hAnsiTheme="majorBidi" w:cstheme="majorBidi"/>
          <w:sz w:val="24"/>
          <w:szCs w:val="24"/>
          <w:lang w:val="en-GB" w:bidi="fa-IR"/>
        </w:rPr>
        <w:t>Nootropics, or smart drugs, and herbal medicines are attracting worldwide attention as therapeutic molecules for cognitive impairment in aged patients suffering from neurocognitive diseases. These medicines improve memory, attention, and learning, and much evidence shows they can have positive effects. Caesalpinia sappan extract, for example, showed promising results in experimental models of memory impairment evoked by scopolamine, and it may promote brain plasticity by acting through the cAMP/PKA/CREB/BDNF signalling pathway</w:t>
      </w:r>
      <w:r w:rsidR="00AA6B4B">
        <w:rPr>
          <w:rFonts w:asciiTheme="majorBidi" w:hAnsiTheme="majorBidi" w:cstheme="majorBidi"/>
          <w:sz w:val="24"/>
          <w:szCs w:val="24"/>
          <w:lang w:val="en-GB" w:bidi="fa-IR"/>
        </w:rPr>
        <w:t xml:space="preserve"> </w:t>
      </w:r>
      <w:r w:rsidR="00BD53F1">
        <w:rPr>
          <w:rFonts w:asciiTheme="majorBidi" w:hAnsiTheme="majorBidi" w:cstheme="majorBidi"/>
          <w:sz w:val="24"/>
          <w:szCs w:val="24"/>
          <w:lang w:val="en-GB" w:bidi="fa-IR"/>
        </w:rPr>
        <w:fldChar w:fldCharType="begin"/>
      </w:r>
      <w:r w:rsidR="00BD53F1">
        <w:rPr>
          <w:rFonts w:asciiTheme="majorBidi" w:hAnsiTheme="majorBidi" w:cstheme="majorBidi"/>
          <w:sz w:val="24"/>
          <w:szCs w:val="24"/>
          <w:lang w:val="en-GB" w:bidi="fa-IR"/>
        </w:rPr>
        <w:instrText xml:space="preserve"> ADDIN EN.CITE &lt;EndNote&gt;&lt;Cite&gt;&lt;Author&gt;Helmi&lt;/Author&gt;&lt;Year&gt;2021&lt;/Year&gt;&lt;RecNum&gt;333&lt;/RecNum&gt;&lt;DisplayText&gt;(Helmi et al., 2021)&lt;/DisplayText&gt;&lt;record&gt;&lt;rec-number&gt;333&lt;/rec-number&gt;&lt;foreign-keys&gt;&lt;key app="EN" db-id="2ptrtps0adr9vke22dn5tpwzrsfaxtxrfwet" timestamp="1758454327"&gt;333&lt;/key&gt;&lt;/foreign-keys&gt;&lt;ref-type name="Journal Article"&gt;17&lt;/ref-type&gt;&lt;contributors&gt;&lt;authors&gt;&lt;author&gt;Helmi, Helmi&lt;/author&gt;&lt;author&gt;Fakhrudin, Nanang&lt;/author&gt;&lt;author&gt;Nurrochmad, Arief&lt;/author&gt;&lt;author&gt;Ikawati, Zullies&lt;/author&gt;&lt;/authors&gt;&lt;/contributors&gt;&lt;titles&gt;&lt;title&gt;Caesalpinia Sappan L. Ameliorates Scopolamine-Induced Memory Deficits in Mice via the cAMP/PKA/CREB/BDNF Pathway&lt;/title&gt;&lt;secondary-title&gt;Scientia Pharmaceutica&lt;/secondary-title&gt;&lt;/titles&gt;&lt;periodical&gt;&lt;full-title&gt;Scientia Pharmaceutica&lt;/full-title&gt;&lt;/periodical&gt;&lt;pages&gt;29&lt;/pages&gt;&lt;volume&gt;89&lt;/volume&gt;&lt;number&gt;2&lt;/number&gt;&lt;dates&gt;&lt;year&gt;2021&lt;/year&gt;&lt;/dates&gt;&lt;urls&gt;&lt;/urls&gt;&lt;electronic-resource-num&gt;10.3390/scipharm89020029&lt;/electronic-resource-num&gt;&lt;/record&gt;&lt;/Cite&gt;&lt;/EndNote&gt;</w:instrText>
      </w:r>
      <w:r w:rsidR="00BD53F1">
        <w:rPr>
          <w:rFonts w:asciiTheme="majorBidi" w:hAnsiTheme="majorBidi" w:cstheme="majorBidi"/>
          <w:sz w:val="24"/>
          <w:szCs w:val="24"/>
          <w:lang w:val="en-GB" w:bidi="fa-IR"/>
        </w:rPr>
        <w:fldChar w:fldCharType="separate"/>
      </w:r>
      <w:r w:rsidR="00BD53F1">
        <w:rPr>
          <w:rFonts w:asciiTheme="majorBidi" w:hAnsiTheme="majorBidi" w:cstheme="majorBidi"/>
          <w:noProof/>
          <w:sz w:val="24"/>
          <w:szCs w:val="24"/>
          <w:lang w:val="en-GB" w:bidi="fa-IR"/>
        </w:rPr>
        <w:t>(</w:t>
      </w:r>
      <w:hyperlink w:anchor="_ENREF_102" w:tooltip="Helmi, 2021 #333" w:history="1">
        <w:r w:rsidR="00DE113E">
          <w:rPr>
            <w:rFonts w:asciiTheme="majorBidi" w:hAnsiTheme="majorBidi" w:cstheme="majorBidi"/>
            <w:noProof/>
            <w:sz w:val="24"/>
            <w:szCs w:val="24"/>
            <w:lang w:val="en-GB" w:bidi="fa-IR"/>
          </w:rPr>
          <w:t>Helmi et al., 2021</w:t>
        </w:r>
      </w:hyperlink>
      <w:r w:rsidR="00BD53F1">
        <w:rPr>
          <w:rFonts w:asciiTheme="majorBidi" w:hAnsiTheme="majorBidi" w:cstheme="majorBidi"/>
          <w:noProof/>
          <w:sz w:val="24"/>
          <w:szCs w:val="24"/>
          <w:lang w:val="en-GB" w:bidi="fa-IR"/>
        </w:rPr>
        <w:t>)</w:t>
      </w:r>
      <w:r w:rsidR="00BD53F1">
        <w:rPr>
          <w:rFonts w:asciiTheme="majorBidi" w:hAnsiTheme="majorBidi" w:cstheme="majorBidi"/>
          <w:sz w:val="24"/>
          <w:szCs w:val="24"/>
          <w:lang w:val="en-GB" w:bidi="fa-IR"/>
        </w:rPr>
        <w:fldChar w:fldCharType="end"/>
      </w:r>
      <w:r w:rsidR="005A1C8E">
        <w:rPr>
          <w:lang w:val="en-GB"/>
        </w:rPr>
        <w:t xml:space="preserve">. </w:t>
      </w:r>
      <w:r w:rsidRPr="00331D5C">
        <w:rPr>
          <w:rFonts w:asciiTheme="majorBidi" w:hAnsiTheme="majorBidi" w:cstheme="majorBidi"/>
          <w:sz w:val="24"/>
          <w:szCs w:val="24"/>
          <w:lang w:val="en-GB" w:bidi="fa-IR"/>
        </w:rPr>
        <w:t xml:space="preserve">Nootropic drugs show their pharmacological effectiveness through their influence on brain chemicals, which include neurotransmitters and multiple signalling systems that use neurotrophic </w:t>
      </w:r>
      <w:r w:rsidRPr="00331D5C">
        <w:rPr>
          <w:rFonts w:asciiTheme="majorBidi" w:hAnsiTheme="majorBidi" w:cstheme="majorBidi"/>
          <w:sz w:val="24"/>
          <w:szCs w:val="24"/>
          <w:lang w:val="en-GB" w:bidi="fa-IR"/>
        </w:rPr>
        <w:lastRenderedPageBreak/>
        <w:t>proteins to support cognitive functions</w:t>
      </w:r>
      <w:r w:rsidR="00AA6B4B">
        <w:rPr>
          <w:rFonts w:asciiTheme="majorBidi" w:hAnsiTheme="majorBidi" w:cstheme="majorBidi"/>
          <w:sz w:val="24"/>
          <w:szCs w:val="24"/>
          <w:lang w:val="en-GB" w:bidi="fa-IR"/>
        </w:rPr>
        <w:t xml:space="preserve"> </w:t>
      </w:r>
      <w:r w:rsidR="005A1C8E" w:rsidRPr="005A1C8E">
        <w:rPr>
          <w:rFonts w:asciiTheme="majorBidi" w:hAnsiTheme="majorBidi" w:cstheme="majorBidi"/>
          <w:sz w:val="24"/>
          <w:szCs w:val="24"/>
          <w:lang w:val="en-GB" w:bidi="fa-IR"/>
        </w:rPr>
        <w:fldChar w:fldCharType="begin"/>
      </w:r>
      <w:r w:rsidR="001B174E">
        <w:rPr>
          <w:rFonts w:asciiTheme="majorBidi" w:hAnsiTheme="majorBidi" w:cstheme="majorBidi"/>
          <w:sz w:val="24"/>
          <w:szCs w:val="24"/>
          <w:lang w:val="en-GB" w:bidi="fa-IR"/>
        </w:rPr>
        <w:instrText xml:space="preserve"> ADDIN EN.CITE &lt;EndNote&gt;&lt;Cite&gt;&lt;Author&gt;Malík&lt;/Author&gt;&lt;Year&gt;2022&lt;/Year&gt;&lt;RecNum&gt;335&lt;/RecNum&gt;&lt;DisplayText&gt;(Malík &amp;amp; Tlustoš, 2022)&lt;/DisplayText&gt;&lt;record&gt;&lt;rec-number&gt;335&lt;/rec-number&gt;&lt;foreign-keys&gt;&lt;key app="EN" db-id="2ptrtps0adr9vke22dn5tpwzrsfaxtxrfwet" timestamp="1758454414"&gt;335&lt;/key&gt;&lt;/foreign-keys&gt;&lt;ref-type name="Journal Article"&gt;17&lt;/ref-type&gt;&lt;contributors&gt;&lt;authors&gt;&lt;author&gt;Malík, Matěj&lt;/author&gt;&lt;author&gt;Tlustoš, Pavel&lt;/author&gt;&lt;/authors&gt;&lt;/contributors&gt;&lt;titles&gt;&lt;title&gt;Nootropics as Cognitive Enhancers: Types, Dosage and Side Effects of Smart Drugs&lt;/title&gt;&lt;secondary-title&gt;Nutrients&lt;/secondary-title&gt;&lt;/titles&gt;&lt;periodical&gt;&lt;full-title&gt;Nutrients&lt;/full-title&gt;&lt;/periodical&gt;&lt;pages&gt;3367&lt;/pages&gt;&lt;volume&gt;14&lt;/volume&gt;&lt;number&gt;16&lt;/number&gt;&lt;dates&gt;&lt;year&gt;2022&lt;/year&gt;&lt;/dates&gt;&lt;urls&gt;&lt;/urls&gt;&lt;electronic-resource-num&gt;10.3390/nu14163367&lt;/electronic-resource-num&gt;&lt;/record&gt;&lt;/Cite&gt;&lt;/EndNote&gt;</w:instrText>
      </w:r>
      <w:r w:rsidR="005A1C8E" w:rsidRPr="005A1C8E">
        <w:rPr>
          <w:rFonts w:asciiTheme="majorBidi" w:hAnsiTheme="majorBidi" w:cstheme="majorBidi"/>
          <w:sz w:val="24"/>
          <w:szCs w:val="24"/>
          <w:lang w:val="en-GB" w:bidi="fa-IR"/>
        </w:rPr>
        <w:fldChar w:fldCharType="separate"/>
      </w:r>
      <w:r w:rsidR="001B174E">
        <w:rPr>
          <w:rFonts w:asciiTheme="majorBidi" w:hAnsiTheme="majorBidi" w:cstheme="majorBidi"/>
          <w:noProof/>
          <w:sz w:val="24"/>
          <w:szCs w:val="24"/>
          <w:lang w:val="en-GB" w:bidi="fa-IR"/>
        </w:rPr>
        <w:t>(</w:t>
      </w:r>
      <w:hyperlink w:anchor="_ENREF_148" w:tooltip="Malík, 2022 #335" w:history="1">
        <w:r w:rsidR="00DE113E">
          <w:rPr>
            <w:rFonts w:asciiTheme="majorBidi" w:hAnsiTheme="majorBidi" w:cstheme="majorBidi"/>
            <w:noProof/>
            <w:sz w:val="24"/>
            <w:szCs w:val="24"/>
            <w:lang w:val="en-GB" w:bidi="fa-IR"/>
          </w:rPr>
          <w:t>Malík &amp; Tlustoš, 2022</w:t>
        </w:r>
      </w:hyperlink>
      <w:r w:rsidR="001B174E">
        <w:rPr>
          <w:rFonts w:asciiTheme="majorBidi" w:hAnsiTheme="majorBidi" w:cstheme="majorBidi"/>
          <w:noProof/>
          <w:sz w:val="24"/>
          <w:szCs w:val="24"/>
          <w:lang w:val="en-GB" w:bidi="fa-IR"/>
        </w:rPr>
        <w:t>)</w:t>
      </w:r>
      <w:r w:rsidR="005A1C8E" w:rsidRPr="005A1C8E">
        <w:rPr>
          <w:rFonts w:asciiTheme="majorBidi" w:hAnsiTheme="majorBidi" w:cstheme="majorBidi"/>
          <w:sz w:val="24"/>
          <w:szCs w:val="24"/>
          <w:lang w:val="en-GB" w:bidi="fa-IR"/>
        </w:rPr>
        <w:fldChar w:fldCharType="end"/>
      </w:r>
      <w:r w:rsidR="00BD53F1" w:rsidRPr="00BD53F1">
        <w:rPr>
          <w:rFonts w:asciiTheme="majorBidi" w:hAnsiTheme="majorBidi" w:cstheme="majorBidi"/>
          <w:sz w:val="24"/>
          <w:szCs w:val="24"/>
          <w:lang w:val="en-GB" w:bidi="fa-IR"/>
        </w:rPr>
        <w:t xml:space="preserve">. Research studies have shown positive results from dietary programs which include nootropic substances. The review showed that food-based nootropics containing natural antioxidants help protect the brain against age-related cognitive decline </w:t>
      </w:r>
      <w:r w:rsidR="00C80A17">
        <w:rPr>
          <w:rFonts w:asciiTheme="majorBidi" w:hAnsiTheme="majorBidi" w:cstheme="majorBidi"/>
          <w:sz w:val="24"/>
          <w:szCs w:val="24"/>
          <w:lang w:val="en-GB" w:bidi="fa-IR"/>
        </w:rPr>
        <w:fldChar w:fldCharType="begin"/>
      </w:r>
      <w:r w:rsidR="00C80A17">
        <w:rPr>
          <w:rFonts w:asciiTheme="majorBidi" w:hAnsiTheme="majorBidi" w:cstheme="majorBidi"/>
          <w:sz w:val="24"/>
          <w:szCs w:val="24"/>
          <w:lang w:val="en-GB" w:bidi="fa-IR"/>
        </w:rPr>
        <w:instrText xml:space="preserve"> ADDIN EN.CITE &lt;EndNote&gt;&lt;Cite&gt;&lt;Author&gt;Onaolapo&lt;/Author&gt;&lt;Year&gt;2019&lt;/Year&gt;&lt;RecNum&gt;336&lt;/RecNum&gt;&lt;DisplayText&gt;(Onaolapo et al., 2019)&lt;/DisplayText&gt;&lt;record&gt;&lt;rec-number&gt;336&lt;/rec-number&gt;&lt;foreign-keys&gt;&lt;key app="EN" db-id="2ptrtps0adr9vke22dn5tpwzrsfaxtxrfwet" timestamp="1758455066"&gt;336&lt;/key&gt;&lt;/foreign-keys&gt;&lt;ref-type name="Journal Article"&gt;17&lt;/ref-type&gt;&lt;contributors&gt;&lt;authors&gt;&lt;author&gt;Onaolapo, Adejoke Y.&lt;/author&gt;&lt;author&gt;Obelawo, Adebimpe Yemisi&lt;/author&gt;&lt;author&gt;Onaolapo, Olakunle J.&lt;/author&gt;&lt;/authors&gt;&lt;/contributors&gt;&lt;titles&gt;&lt;title&gt;Brain Ageing, Cognition and Diet: A Review of the Emerging Roles of Food-Based Nootropics in Mitigating Age-Related Memory Decline&lt;/title&gt;&lt;secondary-title&gt;Current Aging Science&lt;/secondary-title&gt;&lt;/titles&gt;&lt;periodical&gt;&lt;full-title&gt;Current Aging Science&lt;/full-title&gt;&lt;/periodical&gt;&lt;pages&gt;2-14&lt;/pages&gt;&lt;volume&gt;12&lt;/volume&gt;&lt;number&gt;1&lt;/number&gt;&lt;dates&gt;&lt;year&gt;2019&lt;/year&gt;&lt;/dates&gt;&lt;urls&gt;&lt;/urls&gt;&lt;electronic-resource-num&gt;10.2174/1874609812666190311160754&lt;/electronic-resource-num&gt;&lt;/record&gt;&lt;/Cite&gt;&lt;/EndNote&gt;</w:instrText>
      </w:r>
      <w:r w:rsidR="00C80A17">
        <w:rPr>
          <w:rFonts w:asciiTheme="majorBidi" w:hAnsiTheme="majorBidi" w:cstheme="majorBidi"/>
          <w:sz w:val="24"/>
          <w:szCs w:val="24"/>
          <w:lang w:val="en-GB" w:bidi="fa-IR"/>
        </w:rPr>
        <w:fldChar w:fldCharType="separate"/>
      </w:r>
      <w:r w:rsidR="00C80A17">
        <w:rPr>
          <w:rFonts w:asciiTheme="majorBidi" w:hAnsiTheme="majorBidi" w:cstheme="majorBidi"/>
          <w:noProof/>
          <w:sz w:val="24"/>
          <w:szCs w:val="24"/>
          <w:lang w:val="en-GB" w:bidi="fa-IR"/>
        </w:rPr>
        <w:t>(</w:t>
      </w:r>
      <w:hyperlink w:anchor="_ENREF_174" w:tooltip="Onaolapo, 2019 #336" w:history="1">
        <w:r w:rsidR="00DE113E">
          <w:rPr>
            <w:rFonts w:asciiTheme="majorBidi" w:hAnsiTheme="majorBidi" w:cstheme="majorBidi"/>
            <w:noProof/>
            <w:sz w:val="24"/>
            <w:szCs w:val="24"/>
            <w:lang w:val="en-GB" w:bidi="fa-IR"/>
          </w:rPr>
          <w:t>Onaolapo et al., 2019</w:t>
        </w:r>
      </w:hyperlink>
      <w:r w:rsidR="00C80A17">
        <w:rPr>
          <w:rFonts w:asciiTheme="majorBidi" w:hAnsiTheme="majorBidi" w:cstheme="majorBidi"/>
          <w:noProof/>
          <w:sz w:val="24"/>
          <w:szCs w:val="24"/>
          <w:lang w:val="en-GB" w:bidi="fa-IR"/>
        </w:rPr>
        <w:t>)</w:t>
      </w:r>
      <w:r w:rsidR="00C80A17">
        <w:rPr>
          <w:rFonts w:asciiTheme="majorBidi" w:hAnsiTheme="majorBidi" w:cstheme="majorBidi"/>
          <w:sz w:val="24"/>
          <w:szCs w:val="24"/>
          <w:lang w:val="en-GB" w:bidi="fa-IR"/>
        </w:rPr>
        <w:fldChar w:fldCharType="end"/>
      </w:r>
      <w:r w:rsidR="00C80A17">
        <w:rPr>
          <w:rFonts w:asciiTheme="majorBidi" w:hAnsiTheme="majorBidi" w:cstheme="majorBidi"/>
          <w:sz w:val="24"/>
          <w:szCs w:val="24"/>
          <w:lang w:val="en-GB" w:bidi="fa-IR"/>
        </w:rPr>
        <w:t xml:space="preserve">. </w:t>
      </w:r>
      <w:r w:rsidR="00BD53F1" w:rsidRPr="00BD53F1">
        <w:rPr>
          <w:rFonts w:asciiTheme="majorBidi" w:hAnsiTheme="majorBidi" w:cstheme="majorBidi"/>
          <w:sz w:val="24"/>
          <w:szCs w:val="24"/>
          <w:lang w:val="en-GB" w:bidi="fa-IR"/>
        </w:rPr>
        <w:t xml:space="preserve">However, though there exists hope for the promise of nootropics, the research world highlights the requirement of appropriate, well-crafted clinical trials to confirm these claims. Clinical trials of randomized, placebo-controlled designs have begun systematic investigation of nootropic agents' effects on cognition, but variation in methodologies and study designs limit generalizability of findings </w:t>
      </w:r>
      <w:r w:rsidR="00C80A17">
        <w:rPr>
          <w:rFonts w:asciiTheme="majorBidi" w:hAnsiTheme="majorBidi" w:cstheme="majorBidi"/>
          <w:sz w:val="24"/>
          <w:szCs w:val="24"/>
          <w:lang w:val="en-GB" w:bidi="fa-IR"/>
        </w:rPr>
        <w:fldChar w:fldCharType="begin"/>
      </w:r>
      <w:r w:rsidR="00C80A17">
        <w:rPr>
          <w:rFonts w:asciiTheme="majorBidi" w:hAnsiTheme="majorBidi" w:cstheme="majorBidi"/>
          <w:sz w:val="24"/>
          <w:szCs w:val="24"/>
          <w:lang w:val="en-GB" w:bidi="fa-IR"/>
        </w:rPr>
        <w:instrText xml:space="preserve"> ADDIN EN.CITE &lt;EndNote&gt;&lt;Cite&gt;&lt;Author&gt;Solomon&lt;/Author&gt;&lt;Year&gt;2016&lt;/Year&gt;&lt;RecNum&gt;337&lt;/RecNum&gt;&lt;DisplayText&gt;(Solomon et al., 2016)&lt;/DisplayText&gt;&lt;record&gt;&lt;rec-number&gt;337&lt;/rec-number&gt;&lt;foreign-keys&gt;&lt;key app="EN" db-id="2ptrtps0adr9vke22dn5tpwzrsfaxtxrfwet" timestamp="1758455107"&gt;337&lt;/key&gt;&lt;/foreign-keys&gt;&lt;ref-type name="Journal Article"&gt;17&lt;/ref-type&gt;&lt;contributors&gt;&lt;authors&gt;&lt;author&gt;Solomon, Todd M.&lt;/author&gt;&lt;author&gt;Leech, Jarrett&lt;/author&gt;&lt;author&gt;DeBros, Guy&lt;/author&gt;&lt;author&gt;Murphy, Cynthia&lt;/author&gt;&lt;author&gt;Budson, Andrew E.&lt;/author&gt;&lt;author&gt;Vassey, Elizabeth A.&lt;/author&gt;&lt;author&gt;Solomon, Paul R.&lt;/author&gt;&lt;/authors&gt;&lt;/contributors&gt;&lt;titles&gt;&lt;title&gt;A Randomized, Double‐blind, Placebo Controlled, Parallel Group, Efficacy Study of Alpha BRAIN® Administered Orally&lt;/title&gt;&lt;secondary-title&gt;Human Psychopharmacology Clinical and Experimental&lt;/secondary-title&gt;&lt;/titles&gt;&lt;periodical&gt;&lt;full-title&gt;Human Psychopharmacology Clinical and Experimental&lt;/full-title&gt;&lt;/periodical&gt;&lt;pages&gt;135-143&lt;/pages&gt;&lt;volume&gt;31&lt;/volume&gt;&lt;number&gt;2&lt;/number&gt;&lt;dates&gt;&lt;year&gt;2016&lt;/year&gt;&lt;/dates&gt;&lt;urls&gt;&lt;/urls&gt;&lt;electronic-resource-num&gt;10.1002/hup.2520&lt;/electronic-resource-num&gt;&lt;/record&gt;&lt;/Cite&gt;&lt;/EndNote&gt;</w:instrText>
      </w:r>
      <w:r w:rsidR="00C80A17">
        <w:rPr>
          <w:rFonts w:asciiTheme="majorBidi" w:hAnsiTheme="majorBidi" w:cstheme="majorBidi"/>
          <w:sz w:val="24"/>
          <w:szCs w:val="24"/>
          <w:lang w:val="en-GB" w:bidi="fa-IR"/>
        </w:rPr>
        <w:fldChar w:fldCharType="separate"/>
      </w:r>
      <w:r w:rsidR="00C80A17">
        <w:rPr>
          <w:rFonts w:asciiTheme="majorBidi" w:hAnsiTheme="majorBidi" w:cstheme="majorBidi"/>
          <w:noProof/>
          <w:sz w:val="24"/>
          <w:szCs w:val="24"/>
          <w:lang w:val="en-GB" w:bidi="fa-IR"/>
        </w:rPr>
        <w:t>(</w:t>
      </w:r>
      <w:hyperlink w:anchor="_ENREF_228" w:tooltip="Solomon, 2016 #337" w:history="1">
        <w:r w:rsidR="00DE113E">
          <w:rPr>
            <w:rFonts w:asciiTheme="majorBidi" w:hAnsiTheme="majorBidi" w:cstheme="majorBidi"/>
            <w:noProof/>
            <w:sz w:val="24"/>
            <w:szCs w:val="24"/>
            <w:lang w:val="en-GB" w:bidi="fa-IR"/>
          </w:rPr>
          <w:t>Solomon et al., 2016</w:t>
        </w:r>
      </w:hyperlink>
      <w:r w:rsidR="00C80A17">
        <w:rPr>
          <w:rFonts w:asciiTheme="majorBidi" w:hAnsiTheme="majorBidi" w:cstheme="majorBidi"/>
          <w:noProof/>
          <w:sz w:val="24"/>
          <w:szCs w:val="24"/>
          <w:lang w:val="en-GB" w:bidi="fa-IR"/>
        </w:rPr>
        <w:t>)</w:t>
      </w:r>
      <w:r w:rsidR="00C80A17">
        <w:rPr>
          <w:rFonts w:asciiTheme="majorBidi" w:hAnsiTheme="majorBidi" w:cstheme="majorBidi"/>
          <w:sz w:val="24"/>
          <w:szCs w:val="24"/>
          <w:lang w:val="en-GB" w:bidi="fa-IR"/>
        </w:rPr>
        <w:fldChar w:fldCharType="end"/>
      </w:r>
      <w:r w:rsidR="00BD53F1" w:rsidRPr="00BD53F1">
        <w:rPr>
          <w:rFonts w:asciiTheme="majorBidi" w:hAnsiTheme="majorBidi" w:cstheme="majorBidi"/>
          <w:sz w:val="24"/>
          <w:szCs w:val="24"/>
          <w:lang w:val="en-GB" w:bidi="fa-IR"/>
        </w:rPr>
        <w:t>.</w:t>
      </w:r>
      <w:r w:rsidR="00C80A17">
        <w:rPr>
          <w:rFonts w:asciiTheme="majorBidi" w:hAnsiTheme="majorBidi" w:cstheme="majorBidi"/>
          <w:sz w:val="24"/>
          <w:szCs w:val="24"/>
          <w:lang w:val="en-GB" w:bidi="fa-IR"/>
        </w:rPr>
        <w:t xml:space="preserve"> </w:t>
      </w:r>
      <w:r w:rsidR="00BD53F1" w:rsidRPr="00BD53F1">
        <w:rPr>
          <w:rFonts w:asciiTheme="majorBidi" w:hAnsiTheme="majorBidi" w:cstheme="majorBidi"/>
          <w:sz w:val="24"/>
          <w:szCs w:val="24"/>
          <w:lang w:val="en-GB" w:bidi="fa-IR"/>
        </w:rPr>
        <w:t>There are promising prospects for nootropics and herbal medications in the therapy of cognitive decline, but there is a need for additional work in delineating the therapeutic potential and molecular mechanisms of these substances. Their inclusion in general lifestyle interventions addressing nutrition and mental health may constitute a holistic solution for prevention of cognitive decline in the aged.</w:t>
      </w:r>
    </w:p>
    <w:p w14:paraId="74C41A72" w14:textId="77777777" w:rsidR="00C80A17" w:rsidRPr="00F71F57" w:rsidRDefault="00C80A17" w:rsidP="00C80A17">
      <w:pPr>
        <w:spacing w:line="360" w:lineRule="auto"/>
        <w:ind w:left="1080"/>
        <w:jc w:val="both"/>
        <w:rPr>
          <w:rFonts w:asciiTheme="majorBidi" w:hAnsiTheme="majorBidi" w:cstheme="majorBidi"/>
          <w:sz w:val="24"/>
          <w:szCs w:val="24"/>
          <w:lang w:val="en-GB" w:bidi="fa-IR"/>
        </w:rPr>
      </w:pPr>
    </w:p>
    <w:p w14:paraId="555A551F" w14:textId="399F0B40" w:rsidR="00002B54" w:rsidRPr="00F71F57" w:rsidRDefault="00002B54" w:rsidP="00D623DE">
      <w:pPr>
        <w:pStyle w:val="Heading3"/>
        <w:ind w:left="1080"/>
        <w:rPr>
          <w:lang w:val="en-GB" w:bidi="fa-IR"/>
        </w:rPr>
      </w:pPr>
      <w:bookmarkStart w:id="35" w:name="_Toc214875842"/>
      <w:r w:rsidRPr="00F71F57">
        <w:rPr>
          <w:lang w:val="en-GB" w:bidi="fa-IR"/>
        </w:rPr>
        <w:t>1.</w:t>
      </w:r>
      <w:r w:rsidR="003167B3" w:rsidRPr="00F71F57">
        <w:rPr>
          <w:lang w:val="en-GB" w:bidi="fa-IR"/>
        </w:rPr>
        <w:t>3.3</w:t>
      </w:r>
      <w:r w:rsidRPr="00F71F57">
        <w:rPr>
          <w:lang w:val="en-GB" w:bidi="fa-IR"/>
        </w:rPr>
        <w:t xml:space="preserve"> Neuroprotective Effects of Plant Extracts in Animal Models</w:t>
      </w:r>
      <w:bookmarkEnd w:id="35"/>
    </w:p>
    <w:p w14:paraId="10E525FF" w14:textId="09321F95" w:rsidR="000654B1" w:rsidRDefault="000654B1" w:rsidP="001D5906">
      <w:pPr>
        <w:spacing w:line="360" w:lineRule="auto"/>
        <w:ind w:left="1080"/>
        <w:jc w:val="both"/>
        <w:rPr>
          <w:rFonts w:asciiTheme="majorBidi" w:hAnsiTheme="majorBidi" w:cstheme="majorBidi"/>
          <w:sz w:val="24"/>
          <w:szCs w:val="24"/>
          <w:lang w:val="en-GB" w:bidi="fa-IR"/>
        </w:rPr>
      </w:pPr>
      <w:r w:rsidRPr="000654B1">
        <w:rPr>
          <w:rFonts w:asciiTheme="majorBidi" w:hAnsiTheme="majorBidi" w:cstheme="majorBidi"/>
          <w:sz w:val="24"/>
          <w:szCs w:val="24"/>
          <w:lang w:val="en-GB" w:bidi="fa-IR"/>
        </w:rPr>
        <w:t xml:space="preserve">Research into plant extract neuroprotection relies on animal models to show their protective effects against nerve damage. For example, Centella asiatica improves brain function in both aged and young mice by protecting mitochondria and increasing synaptic density and memory while defending against amyloid-beta neurodegeneration </w:t>
      </w:r>
      <w:r>
        <w:rPr>
          <w:rFonts w:asciiTheme="majorBidi" w:hAnsiTheme="majorBidi" w:cstheme="majorBidi"/>
          <w:sz w:val="24"/>
          <w:szCs w:val="24"/>
          <w:lang w:val="en-GB" w:bidi="fa-IR"/>
        </w:rPr>
        <w:fldChar w:fldCharType="begin"/>
      </w:r>
      <w:r>
        <w:rPr>
          <w:rFonts w:asciiTheme="majorBidi" w:hAnsiTheme="majorBidi" w:cstheme="majorBidi"/>
          <w:sz w:val="24"/>
          <w:szCs w:val="24"/>
          <w:lang w:val="en-GB" w:bidi="fa-IR"/>
        </w:rPr>
        <w:instrText xml:space="preserve"> ADDIN EN.CITE &lt;EndNote&gt;&lt;Cite&gt;&lt;Author&gt;Gray&lt;/Author&gt;&lt;Year&gt;2016&lt;/Year&gt;&lt;RecNum&gt;203&lt;/RecNum&gt;&lt;DisplayText&gt;(Gray et al., 2016)&lt;/DisplayText&gt;&lt;record&gt;&lt;rec-number&gt;203&lt;/rec-number&gt;&lt;foreign-keys&gt;&lt;key app="EN" db-id="2ptrtps0adr9vke22dn5tpwzrsfaxtxrfwet" timestamp="1755776749"&gt;203&lt;/key&gt;&lt;/foreign-keys&gt;&lt;ref-type name="Journal Article"&gt;17&lt;/ref-type&gt;&lt;contributors&gt;&lt;authors&gt;&lt;author&gt;Gray, Nora E.&lt;/author&gt;&lt;author&gt;Harris, Christopher&lt;/author&gt;&lt;author&gt;Quinn, Joseph F.&lt;/author&gt;&lt;author&gt;Soumyanath, Amala&lt;/author&gt;&lt;/authors&gt;&lt;/contributors&gt;&lt;titles&gt;&lt;title&gt;Centella Asiatica Modulates Antioxidant and Mitochondrial Pathways and Improves Cognitive Function in Mice&lt;/title&gt;&lt;secondary-title&gt;Journal of Ethnopharmacology&lt;/secondary-title&gt;&lt;/titles&gt;&lt;periodical&gt;&lt;full-title&gt;Journal of Ethnopharmacology&lt;/full-title&gt;&lt;/periodical&gt;&lt;pages&gt;78-86&lt;/pages&gt;&lt;volume&gt;180&lt;/volume&gt;&lt;dates&gt;&lt;year&gt;2016&lt;/year&gt;&lt;/dates&gt;&lt;urls&gt;&lt;/urls&gt;&lt;electronic-resource-num&gt;10.1016/j.jep.2016.01.013&lt;/electronic-resource-num&gt;&lt;/record&gt;&lt;/Cite&gt;&lt;/EndNote&gt;</w:instrText>
      </w:r>
      <w:r>
        <w:rPr>
          <w:rFonts w:asciiTheme="majorBidi" w:hAnsiTheme="majorBidi" w:cstheme="majorBidi"/>
          <w:sz w:val="24"/>
          <w:szCs w:val="24"/>
          <w:lang w:val="en-GB" w:bidi="fa-IR"/>
        </w:rPr>
        <w:fldChar w:fldCharType="separate"/>
      </w:r>
      <w:r>
        <w:rPr>
          <w:rFonts w:asciiTheme="majorBidi" w:hAnsiTheme="majorBidi" w:cstheme="majorBidi"/>
          <w:noProof/>
          <w:sz w:val="24"/>
          <w:szCs w:val="24"/>
          <w:lang w:val="en-GB" w:bidi="fa-IR"/>
        </w:rPr>
        <w:t>(</w:t>
      </w:r>
      <w:hyperlink w:anchor="_ENREF_91" w:tooltip="Gray, 2016 #203" w:history="1">
        <w:r w:rsidR="00DE113E">
          <w:rPr>
            <w:rFonts w:asciiTheme="majorBidi" w:hAnsiTheme="majorBidi" w:cstheme="majorBidi"/>
            <w:noProof/>
            <w:sz w:val="24"/>
            <w:szCs w:val="24"/>
            <w:lang w:val="en-GB" w:bidi="fa-IR"/>
          </w:rPr>
          <w:t>Gray et al., 2016</w:t>
        </w:r>
      </w:hyperlink>
      <w:r>
        <w:rPr>
          <w:rFonts w:asciiTheme="majorBidi" w:hAnsiTheme="majorBidi" w:cstheme="majorBidi"/>
          <w:noProof/>
          <w:sz w:val="24"/>
          <w:szCs w:val="24"/>
          <w:lang w:val="en-GB" w:bidi="fa-IR"/>
        </w:rPr>
        <w:t>)</w:t>
      </w:r>
      <w:r>
        <w:rPr>
          <w:rFonts w:asciiTheme="majorBidi" w:hAnsiTheme="majorBidi" w:cstheme="majorBidi"/>
          <w:sz w:val="24"/>
          <w:szCs w:val="24"/>
          <w:lang w:val="en-GB" w:bidi="fa-IR"/>
        </w:rPr>
        <w:fldChar w:fldCharType="end"/>
      </w:r>
      <w:r>
        <w:rPr>
          <w:rFonts w:asciiTheme="majorBidi" w:hAnsiTheme="majorBidi" w:cstheme="majorBidi"/>
          <w:sz w:val="24"/>
          <w:szCs w:val="24"/>
          <w:lang w:val="en-GB" w:bidi="fa-IR"/>
        </w:rPr>
        <w:t>.</w:t>
      </w:r>
    </w:p>
    <w:p w14:paraId="453425A3" w14:textId="3EB3A72A" w:rsidR="00002B54" w:rsidRPr="00F71F57" w:rsidRDefault="000654B1" w:rsidP="001D5906">
      <w:pPr>
        <w:spacing w:line="360" w:lineRule="auto"/>
        <w:ind w:left="1080"/>
        <w:jc w:val="both"/>
        <w:rPr>
          <w:rFonts w:asciiTheme="majorBidi" w:hAnsiTheme="majorBidi" w:cstheme="majorBidi"/>
          <w:sz w:val="24"/>
          <w:szCs w:val="24"/>
          <w:lang w:val="en-GB" w:bidi="fa-IR"/>
        </w:rPr>
      </w:pPr>
      <w:r w:rsidRPr="000654B1">
        <w:rPr>
          <w:rFonts w:asciiTheme="majorBidi" w:hAnsiTheme="majorBidi" w:cstheme="majorBidi"/>
          <w:sz w:val="24"/>
          <w:szCs w:val="24"/>
          <w:lang w:val="en-GB" w:bidi="fa-IR"/>
        </w:rPr>
        <w:t>Moringa oleifera leaf extracts protect against oxidative damage while they boost cognitive functions in dementia animal test subjects. The study shows that cholinergic and antioxidant actions produce their effects according to</w:t>
      </w:r>
      <w:r>
        <w:rPr>
          <w:rFonts w:asciiTheme="majorBidi" w:hAnsiTheme="majorBidi" w:cstheme="majorBidi"/>
          <w:sz w:val="24"/>
          <w:szCs w:val="24"/>
          <w:lang w:val="en-GB" w:bidi="fa-IR"/>
        </w:rPr>
        <w:t xml:space="preserve"> </w:t>
      </w:r>
      <w:r w:rsidR="00B9434A" w:rsidRPr="00F71F57">
        <w:rPr>
          <w:rFonts w:asciiTheme="majorBidi" w:hAnsiTheme="majorBidi" w:cstheme="majorBidi"/>
          <w:sz w:val="24"/>
          <w:szCs w:val="24"/>
          <w:lang w:val="en-GB" w:bidi="fa-IR"/>
        </w:rPr>
        <w:fldChar w:fldCharType="begin">
          <w:fldData xml:space="preserve">PEVuZE5vdGU+PENpdGU+PEF1dGhvcj5CYXJpbmRhPC9BdXRob3I+PFllYXI+MjAyNDwvWWVhcj48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</w:fldData>
        </w:fldChar>
      </w:r>
      <w:r w:rsidR="00B9434A" w:rsidRPr="00F71F57">
        <w:rPr>
          <w:rFonts w:asciiTheme="majorBidi" w:hAnsiTheme="majorBidi" w:cstheme="majorBidi"/>
          <w:sz w:val="24"/>
          <w:szCs w:val="24"/>
          <w:lang w:val="en-GB" w:bidi="fa-IR"/>
        </w:rPr>
        <w:instrText xml:space="preserve"> ADDIN EN.CITE </w:instrText>
      </w:r>
      <w:r w:rsidR="00B9434A" w:rsidRPr="00F71F57">
        <w:rPr>
          <w:rFonts w:asciiTheme="majorBidi" w:hAnsiTheme="majorBidi" w:cstheme="majorBidi"/>
          <w:sz w:val="24"/>
          <w:szCs w:val="24"/>
          <w:lang w:val="en-GB" w:bidi="fa-IR"/>
        </w:rPr>
        <w:fldChar w:fldCharType="begin">
          <w:fldData xml:space="preserve">PEVuZE5vdGU+PENpdGU+PEF1dGhvcj5CYXJpbmRhPC9BdXRob3I+PFllYXI+MjAyNDwvWWVhcj48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</w:fldData>
        </w:fldChar>
      </w:r>
      <w:r w:rsidR="00B9434A" w:rsidRPr="00F71F57">
        <w:rPr>
          <w:rFonts w:asciiTheme="majorBidi" w:hAnsiTheme="majorBidi" w:cstheme="majorBidi"/>
          <w:sz w:val="24"/>
          <w:szCs w:val="24"/>
          <w:lang w:val="en-GB" w:bidi="fa-IR"/>
        </w:rPr>
        <w:instrText xml:space="preserve"> ADDIN EN.CITE.DATA </w:instrText>
      </w:r>
      <w:r w:rsidR="00B9434A" w:rsidRPr="00F71F57">
        <w:rPr>
          <w:rFonts w:asciiTheme="majorBidi" w:hAnsiTheme="majorBidi" w:cstheme="majorBidi"/>
          <w:sz w:val="24"/>
          <w:szCs w:val="24"/>
          <w:lang w:val="en-GB" w:bidi="fa-IR"/>
        </w:rPr>
      </w:r>
      <w:r w:rsidR="00B9434A" w:rsidRPr="00F71F57">
        <w:rPr>
          <w:rFonts w:asciiTheme="majorBidi" w:hAnsiTheme="majorBidi" w:cstheme="majorBidi"/>
          <w:sz w:val="24"/>
          <w:szCs w:val="24"/>
          <w:lang w:val="en-GB" w:bidi="fa-IR"/>
        </w:rPr>
        <w:fldChar w:fldCharType="end"/>
      </w:r>
      <w:r w:rsidR="00B9434A" w:rsidRPr="00F71F57">
        <w:rPr>
          <w:rFonts w:asciiTheme="majorBidi" w:hAnsiTheme="majorBidi" w:cstheme="majorBidi"/>
          <w:sz w:val="24"/>
          <w:szCs w:val="24"/>
          <w:lang w:val="en-GB" w:bidi="fa-IR"/>
        </w:rPr>
      </w:r>
      <w:r w:rsidR="00B9434A" w:rsidRPr="00F71F57">
        <w:rPr>
          <w:rFonts w:asciiTheme="majorBidi" w:hAnsiTheme="majorBidi" w:cstheme="majorBidi"/>
          <w:sz w:val="24"/>
          <w:szCs w:val="24"/>
          <w:lang w:val="en-GB" w:bidi="fa-IR"/>
        </w:rPr>
        <w:fldChar w:fldCharType="separate"/>
      </w:r>
      <w:r w:rsidR="00B9434A" w:rsidRPr="00F71F57">
        <w:rPr>
          <w:rFonts w:asciiTheme="majorBidi" w:hAnsiTheme="majorBidi" w:cstheme="majorBidi"/>
          <w:sz w:val="24"/>
          <w:szCs w:val="24"/>
          <w:lang w:val="en-GB" w:bidi="fa-IR"/>
        </w:rPr>
        <w:t>(</w:t>
      </w:r>
      <w:hyperlink w:anchor="_ENREF_13" w:tooltip="Barinda, 2024 #222" w:history="1">
        <w:r w:rsidR="00DE113E" w:rsidRPr="00F71F57">
          <w:rPr>
            <w:rFonts w:asciiTheme="majorBidi" w:hAnsiTheme="majorBidi" w:cstheme="majorBidi"/>
            <w:sz w:val="24"/>
            <w:szCs w:val="24"/>
            <w:lang w:val="en-GB" w:bidi="fa-IR"/>
          </w:rPr>
          <w:t>Barinda et al., 2024</w:t>
        </w:r>
      </w:hyperlink>
      <w:r w:rsidR="00B9434A" w:rsidRPr="00F71F57">
        <w:rPr>
          <w:rFonts w:asciiTheme="majorBidi" w:hAnsiTheme="majorBidi" w:cstheme="majorBidi"/>
          <w:sz w:val="24"/>
          <w:szCs w:val="24"/>
          <w:lang w:val="en-GB" w:bidi="fa-IR"/>
        </w:rPr>
        <w:t xml:space="preserve">; </w:t>
      </w:r>
      <w:hyperlink w:anchor="_ENREF_173" w:tooltip="Omotoso, 2018 #223" w:history="1">
        <w:r w:rsidR="00DE113E" w:rsidRPr="00F71F57">
          <w:rPr>
            <w:rFonts w:asciiTheme="majorBidi" w:hAnsiTheme="majorBidi" w:cstheme="majorBidi"/>
            <w:sz w:val="24"/>
            <w:szCs w:val="24"/>
            <w:lang w:val="en-GB" w:bidi="fa-IR"/>
          </w:rPr>
          <w:t>Omotoso et al., 2018</w:t>
        </w:r>
      </w:hyperlink>
      <w:r w:rsidR="00B9434A" w:rsidRPr="00F71F57">
        <w:rPr>
          <w:rFonts w:asciiTheme="majorBidi" w:hAnsiTheme="majorBidi" w:cstheme="majorBidi"/>
          <w:sz w:val="24"/>
          <w:szCs w:val="24"/>
          <w:lang w:val="en-GB" w:bidi="fa-IR"/>
        </w:rPr>
        <w:t>)</w:t>
      </w:r>
      <w:r w:rsidR="00B9434A" w:rsidRPr="00F71F57">
        <w:rPr>
          <w:rFonts w:asciiTheme="majorBidi" w:hAnsiTheme="majorBidi" w:cstheme="majorBidi"/>
          <w:sz w:val="24"/>
          <w:szCs w:val="24"/>
          <w:lang w:val="en-GB" w:bidi="fa-IR"/>
        </w:rPr>
        <w:fldChar w:fldCharType="end"/>
      </w:r>
      <w:r w:rsidR="00002B54" w:rsidRPr="00F71F57">
        <w:rPr>
          <w:rFonts w:asciiTheme="majorBidi" w:hAnsiTheme="majorBidi" w:cstheme="majorBidi"/>
          <w:sz w:val="24"/>
          <w:szCs w:val="24"/>
          <w:lang w:val="en-GB" w:bidi="fa-IR"/>
        </w:rPr>
        <w:t xml:space="preserve">. </w:t>
      </w:r>
      <w:r w:rsidRPr="000654B1">
        <w:rPr>
          <w:rFonts w:asciiTheme="majorBidi" w:hAnsiTheme="majorBidi" w:cstheme="majorBidi"/>
          <w:i/>
          <w:iCs/>
          <w:sz w:val="24"/>
          <w:szCs w:val="24"/>
          <w:lang w:val="en-GB" w:bidi="fa-IR"/>
        </w:rPr>
        <w:t xml:space="preserve">Pueraria candollei var. mirifica </w:t>
      </w:r>
      <w:r w:rsidRPr="00D0624D">
        <w:rPr>
          <w:rFonts w:asciiTheme="majorBidi" w:hAnsiTheme="majorBidi" w:cstheme="majorBidi"/>
          <w:sz w:val="24"/>
          <w:szCs w:val="24"/>
          <w:lang w:val="en-GB" w:bidi="fa-IR"/>
        </w:rPr>
        <w:t xml:space="preserve">has been proven to enhance memory function in mice </w:t>
      </w:r>
      <w:r w:rsidR="00D0624D" w:rsidRPr="00D0624D">
        <w:rPr>
          <w:rFonts w:asciiTheme="majorBidi" w:hAnsiTheme="majorBidi" w:cstheme="majorBidi"/>
          <w:sz w:val="24"/>
          <w:szCs w:val="24"/>
          <w:lang w:val="en-GB" w:bidi="fa-IR"/>
        </w:rPr>
        <w:t>that</w:t>
      </w:r>
      <w:r w:rsidRPr="00D0624D">
        <w:rPr>
          <w:rFonts w:asciiTheme="majorBidi" w:hAnsiTheme="majorBidi" w:cstheme="majorBidi"/>
          <w:sz w:val="24"/>
          <w:szCs w:val="24"/>
          <w:lang w:val="en-GB" w:bidi="fa-IR"/>
        </w:rPr>
        <w:t xml:space="preserve"> lack estrogen thus confirming the cognitive </w:t>
      </w:r>
      <w:r w:rsidRPr="00D0624D">
        <w:rPr>
          <w:rFonts w:asciiTheme="majorBidi" w:hAnsiTheme="majorBidi" w:cstheme="majorBidi"/>
          <w:sz w:val="24"/>
          <w:szCs w:val="24"/>
          <w:lang w:val="en-GB" w:bidi="fa-IR"/>
        </w:rPr>
        <w:lastRenderedPageBreak/>
        <w:t>benefits of phytoestrogens</w:t>
      </w:r>
      <w:r w:rsidR="00B9434A" w:rsidRPr="00F71F57">
        <w:rPr>
          <w:rFonts w:asciiTheme="majorBidi" w:hAnsiTheme="majorBidi" w:cstheme="majorBidi"/>
          <w:sz w:val="24"/>
          <w:szCs w:val="24"/>
          <w:lang w:val="en-GB" w:bidi="fa-IR"/>
        </w:rPr>
        <w:fldChar w:fldCharType="begin"/>
      </w:r>
      <w:r w:rsidR="00B9434A" w:rsidRPr="00F71F57">
        <w:rPr>
          <w:rFonts w:asciiTheme="majorBidi" w:hAnsiTheme="majorBidi" w:cstheme="majorBidi"/>
          <w:sz w:val="24"/>
          <w:szCs w:val="24"/>
          <w:lang w:val="en-GB" w:bidi="fa-IR"/>
        </w:rPr>
        <w:instrText xml:space="preserve"> ADDIN EN.CITE &lt;EndNote&gt;&lt;Cite&gt;&lt;Author&gt;Chulikhit&lt;/Author&gt;&lt;Year&gt;2021&lt;/Year&gt;&lt;RecNum&gt;224&lt;/RecNum&gt;&lt;DisplayText&gt;(Chulikhit et al., 2021)&lt;/DisplayText&gt;&lt;record&gt;&lt;rec-number&gt;224&lt;/rec-number&gt;&lt;foreign-keys&gt;&lt;key app="EN" db-id="2ptrtps0adr9vke22dn5tpwzrsfaxtxrfwet" timestamp="1755779118"&gt;224&lt;/key&gt;&lt;/foreign-keys&gt;&lt;ref-type name="Journal Article"&gt;17&lt;/ref-type&gt;&lt;contributors&gt;&lt;authors&gt;&lt;author&gt;Chulikhit, Yaowared&lt;/author&gt;&lt;author&gt;Sukhano, Wichitsak&lt;/author&gt;&lt;author&gt;Daodee, Supawadee&lt;/author&gt;&lt;author&gt;Putalun, Waraporn&lt;/author&gt;&lt;author&gt;Wongpradit, Rakvajee&lt;/author&gt;&lt;author&gt;Khamphukdee, Charinya&lt;/author&gt;&lt;author&gt;Umehara, Kaoru&lt;/author&gt;&lt;author&gt;Noguchi, Hiroshi&lt;/author&gt;&lt;author&gt;Matsumoto, Kinzo&lt;/author&gt;&lt;author&gt;Monthakantirat, Orawan&lt;/author&gt;&lt;/authors&gt;&lt;/contributors&gt;&lt;titles&gt;&lt;title&gt;Effects of Pueraria Candollei Var Mirifica (Airy Shaw and Suvat.) Niyomdham on Ovariectomy-Induced Cognitive Impairment and Oxidative Stress in the Mouse Brain&lt;/title&gt;&lt;secondary-title&gt;Molecules&lt;/secondary-title&gt;&lt;/titles&gt;&lt;periodical&gt;&lt;full-title&gt;Molecules&lt;/full-title&gt;&lt;/periodical&gt;&lt;pages&gt;3442&lt;/pages&gt;&lt;volume&gt;26&lt;/volume&gt;&lt;number&gt;11&lt;/number&gt;&lt;dates&gt;&lt;year&gt;2021&lt;/year&gt;&lt;/dates&gt;&lt;urls&gt;&lt;/urls&gt;&lt;electronic-resource-num&gt;10.3390/molecules26113442&lt;/electronic-resource-num&gt;&lt;/record&gt;&lt;/Cite&gt;&lt;/EndNote&gt;</w:instrText>
      </w:r>
      <w:r w:rsidR="00B9434A" w:rsidRPr="00F71F57">
        <w:rPr>
          <w:rFonts w:asciiTheme="majorBidi" w:hAnsiTheme="majorBidi" w:cstheme="majorBidi"/>
          <w:sz w:val="24"/>
          <w:szCs w:val="24"/>
          <w:lang w:val="en-GB" w:bidi="fa-IR"/>
        </w:rPr>
        <w:fldChar w:fldCharType="separate"/>
      </w:r>
      <w:r w:rsidR="00B9434A" w:rsidRPr="00F71F57">
        <w:rPr>
          <w:rFonts w:asciiTheme="majorBidi" w:hAnsiTheme="majorBidi" w:cstheme="majorBidi"/>
          <w:sz w:val="24"/>
          <w:szCs w:val="24"/>
          <w:lang w:val="en-GB" w:bidi="fa-IR"/>
        </w:rPr>
        <w:t>(</w:t>
      </w:r>
      <w:hyperlink w:anchor="_ENREF_47" w:tooltip="Chulikhit, 2021 #224" w:history="1">
        <w:r w:rsidR="00DE113E" w:rsidRPr="00F71F57">
          <w:rPr>
            <w:rFonts w:asciiTheme="majorBidi" w:hAnsiTheme="majorBidi" w:cstheme="majorBidi"/>
            <w:sz w:val="24"/>
            <w:szCs w:val="24"/>
            <w:lang w:val="en-GB" w:bidi="fa-IR"/>
          </w:rPr>
          <w:t>Chulikhit et al., 2021</w:t>
        </w:r>
      </w:hyperlink>
      <w:r w:rsidR="00B9434A" w:rsidRPr="00F71F57">
        <w:rPr>
          <w:rFonts w:asciiTheme="majorBidi" w:hAnsiTheme="majorBidi" w:cstheme="majorBidi"/>
          <w:sz w:val="24"/>
          <w:szCs w:val="24"/>
          <w:lang w:val="en-GB" w:bidi="fa-IR"/>
        </w:rPr>
        <w:t>)</w:t>
      </w:r>
      <w:r w:rsidR="00B9434A" w:rsidRPr="00F71F57">
        <w:rPr>
          <w:rFonts w:asciiTheme="majorBidi" w:hAnsiTheme="majorBidi" w:cstheme="majorBidi"/>
          <w:sz w:val="24"/>
          <w:szCs w:val="24"/>
          <w:lang w:val="en-GB" w:bidi="fa-IR"/>
        </w:rPr>
        <w:fldChar w:fldCharType="end"/>
      </w:r>
      <w:r w:rsidR="00B9434A" w:rsidRPr="00F71F57">
        <w:rPr>
          <w:rFonts w:asciiTheme="majorBidi" w:hAnsiTheme="majorBidi" w:cstheme="majorBidi"/>
          <w:sz w:val="24"/>
          <w:szCs w:val="24"/>
          <w:lang w:val="en-GB" w:bidi="fa-IR"/>
        </w:rPr>
        <w:t xml:space="preserve">. </w:t>
      </w:r>
      <w:r w:rsidRPr="000654B1">
        <w:rPr>
          <w:rFonts w:asciiTheme="majorBidi" w:hAnsiTheme="majorBidi" w:cstheme="majorBidi"/>
          <w:i/>
          <w:iCs/>
          <w:sz w:val="24"/>
          <w:szCs w:val="24"/>
          <w:lang w:val="en-GB" w:bidi="fa-IR"/>
        </w:rPr>
        <w:t xml:space="preserve">Ziziphus jujuba </w:t>
      </w:r>
      <w:r w:rsidRPr="00D0624D">
        <w:rPr>
          <w:rFonts w:asciiTheme="majorBidi" w:hAnsiTheme="majorBidi" w:cstheme="majorBidi"/>
          <w:sz w:val="24"/>
          <w:szCs w:val="24"/>
          <w:lang w:val="en-GB" w:bidi="fa-IR"/>
        </w:rPr>
        <w:t>supports memory improvement through its ability to restore proper chemical communication between brain cells. Scientists have discovered that Gallic acid from plants</w:t>
      </w:r>
      <w:r w:rsidR="00D0624D">
        <w:rPr>
          <w:rFonts w:asciiTheme="majorBidi" w:hAnsiTheme="majorBidi" w:cstheme="majorBidi"/>
          <w:sz w:val="24"/>
          <w:szCs w:val="24"/>
          <w:lang w:val="en-GB" w:bidi="fa-IR"/>
        </w:rPr>
        <w:t xml:space="preserve"> </w:t>
      </w:r>
      <w:r w:rsidRPr="00D0624D">
        <w:rPr>
          <w:rFonts w:asciiTheme="majorBidi" w:hAnsiTheme="majorBidi" w:cstheme="majorBidi"/>
          <w:sz w:val="24"/>
          <w:szCs w:val="24"/>
          <w:lang w:val="en-GB" w:bidi="fa-IR"/>
        </w:rPr>
        <w:t xml:space="preserve"> protects brain cells through its dual antioxidant and anti-inflammatory properties to improve memory performance in rat subjects</w:t>
      </w:r>
      <w:r w:rsidR="00002B54" w:rsidRPr="00F71F57">
        <w:rPr>
          <w:rFonts w:asciiTheme="majorBidi" w:hAnsiTheme="majorBidi" w:cstheme="majorBidi"/>
          <w:sz w:val="24"/>
          <w:szCs w:val="24"/>
          <w:lang w:val="en-GB" w:bidi="fa-IR"/>
        </w:rPr>
        <w:t xml:space="preserve"> </w:t>
      </w:r>
      <w:r w:rsidR="00B9434A" w:rsidRPr="00F71F57">
        <w:rPr>
          <w:rFonts w:asciiTheme="majorBidi" w:hAnsiTheme="majorBidi" w:cstheme="majorBidi"/>
          <w:sz w:val="24"/>
          <w:szCs w:val="24"/>
          <w:lang w:val="en-GB" w:bidi="fa-IR"/>
        </w:rPr>
        <w:fldChar w:fldCharType="begin">
          <w:fldData xml:space="preserve">PEVuZE5vdGU+PENpdGU+PEF1dGhvcj5IYWppcG91cjwvQXV0aG9yPjxZZWFyPjIwMTY8L1llYXI+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</w:fldData>
        </w:fldChar>
      </w:r>
      <w:r w:rsidR="00B9434A" w:rsidRPr="00F71F57">
        <w:rPr>
          <w:rFonts w:asciiTheme="majorBidi" w:hAnsiTheme="majorBidi" w:cstheme="majorBidi"/>
          <w:sz w:val="24"/>
          <w:szCs w:val="24"/>
          <w:lang w:val="en-GB" w:bidi="fa-IR"/>
        </w:rPr>
        <w:instrText xml:space="preserve"> ADDIN EN.CITE </w:instrText>
      </w:r>
      <w:r w:rsidR="00B9434A" w:rsidRPr="00F71F57">
        <w:rPr>
          <w:rFonts w:asciiTheme="majorBidi" w:hAnsiTheme="majorBidi" w:cstheme="majorBidi"/>
          <w:sz w:val="24"/>
          <w:szCs w:val="24"/>
          <w:lang w:val="en-GB" w:bidi="fa-IR"/>
        </w:rPr>
        <w:fldChar w:fldCharType="begin">
          <w:fldData xml:space="preserve">PEVuZE5vdGU+PENpdGU+PEF1dGhvcj5IYWppcG91cjwvQXV0aG9yPjxZZWFyPjIwMTY8L1llYXI+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</w:fldData>
        </w:fldChar>
      </w:r>
      <w:r w:rsidR="00B9434A" w:rsidRPr="00F71F57">
        <w:rPr>
          <w:rFonts w:asciiTheme="majorBidi" w:hAnsiTheme="majorBidi" w:cstheme="majorBidi"/>
          <w:sz w:val="24"/>
          <w:szCs w:val="24"/>
          <w:lang w:val="en-GB" w:bidi="fa-IR"/>
        </w:rPr>
        <w:instrText xml:space="preserve"> ADDIN EN.CITE.DATA </w:instrText>
      </w:r>
      <w:r w:rsidR="00B9434A" w:rsidRPr="00F71F57">
        <w:rPr>
          <w:rFonts w:asciiTheme="majorBidi" w:hAnsiTheme="majorBidi" w:cstheme="majorBidi"/>
          <w:sz w:val="24"/>
          <w:szCs w:val="24"/>
          <w:lang w:val="en-GB" w:bidi="fa-IR"/>
        </w:rPr>
      </w:r>
      <w:r w:rsidR="00B9434A" w:rsidRPr="00F71F57">
        <w:rPr>
          <w:rFonts w:asciiTheme="majorBidi" w:hAnsiTheme="majorBidi" w:cstheme="majorBidi"/>
          <w:sz w:val="24"/>
          <w:szCs w:val="24"/>
          <w:lang w:val="en-GB" w:bidi="fa-IR"/>
        </w:rPr>
        <w:fldChar w:fldCharType="end"/>
      </w:r>
      <w:r w:rsidR="00B9434A" w:rsidRPr="00F71F57">
        <w:rPr>
          <w:rFonts w:asciiTheme="majorBidi" w:hAnsiTheme="majorBidi" w:cstheme="majorBidi"/>
          <w:sz w:val="24"/>
          <w:szCs w:val="24"/>
          <w:lang w:val="en-GB" w:bidi="fa-IR"/>
        </w:rPr>
      </w:r>
      <w:r w:rsidR="00B9434A" w:rsidRPr="00F71F57">
        <w:rPr>
          <w:rFonts w:asciiTheme="majorBidi" w:hAnsiTheme="majorBidi" w:cstheme="majorBidi"/>
          <w:sz w:val="24"/>
          <w:szCs w:val="24"/>
          <w:lang w:val="en-GB" w:bidi="fa-IR"/>
        </w:rPr>
        <w:fldChar w:fldCharType="separate"/>
      </w:r>
      <w:r w:rsidR="00B9434A" w:rsidRPr="00F71F57">
        <w:rPr>
          <w:rFonts w:asciiTheme="majorBidi" w:hAnsiTheme="majorBidi" w:cstheme="majorBidi"/>
          <w:sz w:val="24"/>
          <w:szCs w:val="24"/>
          <w:lang w:val="en-GB" w:bidi="fa-IR"/>
        </w:rPr>
        <w:t>(</w:t>
      </w:r>
      <w:hyperlink w:anchor="_ENREF_97" w:tooltip="Hajipour, 2016 #225" w:history="1">
        <w:r w:rsidR="00DE113E" w:rsidRPr="00F71F57">
          <w:rPr>
            <w:rFonts w:asciiTheme="majorBidi" w:hAnsiTheme="majorBidi" w:cstheme="majorBidi"/>
            <w:sz w:val="24"/>
            <w:szCs w:val="24"/>
            <w:lang w:val="en-GB" w:bidi="fa-IR"/>
          </w:rPr>
          <w:t>Hajipour et al., 2016</w:t>
        </w:r>
      </w:hyperlink>
      <w:r w:rsidR="00B9434A" w:rsidRPr="00F71F57">
        <w:rPr>
          <w:rFonts w:asciiTheme="majorBidi" w:hAnsiTheme="majorBidi" w:cstheme="majorBidi"/>
          <w:sz w:val="24"/>
          <w:szCs w:val="24"/>
          <w:lang w:val="en-GB" w:bidi="fa-IR"/>
        </w:rPr>
        <w:t xml:space="preserve">; </w:t>
      </w:r>
      <w:hyperlink w:anchor="_ENREF_118" w:tooltip="Kandeda, 2021 #226" w:history="1">
        <w:r w:rsidR="00DE113E" w:rsidRPr="00F71F57">
          <w:rPr>
            <w:rFonts w:asciiTheme="majorBidi" w:hAnsiTheme="majorBidi" w:cstheme="majorBidi"/>
            <w:sz w:val="24"/>
            <w:szCs w:val="24"/>
            <w:lang w:val="en-GB" w:bidi="fa-IR"/>
          </w:rPr>
          <w:t>Kandeda et al., 2021</w:t>
        </w:r>
      </w:hyperlink>
      <w:r w:rsidR="00B9434A" w:rsidRPr="00F71F57">
        <w:rPr>
          <w:rFonts w:asciiTheme="majorBidi" w:hAnsiTheme="majorBidi" w:cstheme="majorBidi"/>
          <w:sz w:val="24"/>
          <w:szCs w:val="24"/>
          <w:lang w:val="en-GB" w:bidi="fa-IR"/>
        </w:rPr>
        <w:t>)</w:t>
      </w:r>
      <w:r w:rsidR="00B9434A" w:rsidRPr="00F71F57">
        <w:rPr>
          <w:rFonts w:asciiTheme="majorBidi" w:hAnsiTheme="majorBidi" w:cstheme="majorBidi"/>
          <w:sz w:val="24"/>
          <w:szCs w:val="24"/>
          <w:lang w:val="en-GB" w:bidi="fa-IR"/>
        </w:rPr>
        <w:fldChar w:fldCharType="end"/>
      </w:r>
      <w:r w:rsidR="00B9434A" w:rsidRPr="00F71F57">
        <w:rPr>
          <w:rFonts w:asciiTheme="majorBidi" w:hAnsiTheme="majorBidi" w:cstheme="majorBidi"/>
          <w:sz w:val="24"/>
          <w:szCs w:val="24"/>
          <w:lang w:val="en-GB" w:bidi="fa-IR"/>
        </w:rPr>
        <w:t>.</w:t>
      </w:r>
    </w:p>
    <w:p w14:paraId="49C7D3C0" w14:textId="77777777" w:rsidR="00F20B0B" w:rsidRDefault="00F20B0B" w:rsidP="00D623DE">
      <w:pPr>
        <w:spacing w:line="240" w:lineRule="auto"/>
        <w:jc w:val="both"/>
        <w:rPr>
          <w:rFonts w:asciiTheme="majorBidi" w:hAnsiTheme="majorBidi" w:cstheme="majorBidi"/>
          <w:b/>
          <w:bCs/>
          <w:sz w:val="24"/>
          <w:szCs w:val="24"/>
          <w:lang w:val="en-GB" w:bidi="fa-IR"/>
        </w:rPr>
      </w:pPr>
    </w:p>
    <w:p w14:paraId="37FB2253" w14:textId="67447EF8" w:rsidR="004B5E72" w:rsidRPr="00F71F57" w:rsidRDefault="00741FAF" w:rsidP="00D623DE">
      <w:pPr>
        <w:pStyle w:val="Heading3"/>
        <w:ind w:left="1080"/>
        <w:rPr>
          <w:lang w:val="en-GB" w:bidi="fa-IR"/>
        </w:rPr>
      </w:pPr>
      <w:bookmarkStart w:id="36" w:name="_Toc214875843"/>
      <w:r w:rsidRPr="00F71F57">
        <w:rPr>
          <w:lang w:val="en-GB" w:bidi="fa-IR"/>
        </w:rPr>
        <w:t>1.</w:t>
      </w:r>
      <w:r w:rsidR="003167B3" w:rsidRPr="00F71F57">
        <w:rPr>
          <w:lang w:val="en-GB" w:bidi="fa-IR"/>
        </w:rPr>
        <w:t>3</w:t>
      </w:r>
      <w:r w:rsidRPr="00F71F57">
        <w:rPr>
          <w:lang w:val="en-GB" w:bidi="fa-IR"/>
        </w:rPr>
        <w:t>.</w:t>
      </w:r>
      <w:r w:rsidR="003167B3" w:rsidRPr="00F71F57">
        <w:rPr>
          <w:lang w:val="en-GB" w:bidi="fa-IR"/>
        </w:rPr>
        <w:t>4</w:t>
      </w:r>
      <w:r w:rsidRPr="00F71F57">
        <w:rPr>
          <w:lang w:val="en-GB" w:bidi="fa-IR"/>
        </w:rPr>
        <w:t xml:space="preserve"> Safety of </w:t>
      </w:r>
      <w:r w:rsidR="00B5083F">
        <w:rPr>
          <w:lang w:val="en-GB" w:bidi="fa-IR"/>
        </w:rPr>
        <w:t>Herbal Medicines</w:t>
      </w:r>
      <w:bookmarkEnd w:id="36"/>
    </w:p>
    <w:p w14:paraId="6CD3CC36" w14:textId="6FDC9C03" w:rsidR="004B5E72" w:rsidRPr="00F71F57" w:rsidRDefault="00331D5C" w:rsidP="00331D5C">
      <w:pPr>
        <w:spacing w:line="360" w:lineRule="auto"/>
        <w:ind w:left="1080"/>
        <w:jc w:val="both"/>
        <w:rPr>
          <w:rFonts w:asciiTheme="majorBidi" w:hAnsiTheme="majorBidi" w:cstheme="majorBidi"/>
          <w:sz w:val="24"/>
          <w:szCs w:val="24"/>
          <w:rtl/>
          <w:lang w:val="en-GB" w:bidi="fa-IR"/>
        </w:rPr>
      </w:pPr>
      <w:r w:rsidRPr="00331D5C">
        <w:rPr>
          <w:rFonts w:asciiTheme="majorBidi" w:hAnsiTheme="majorBidi" w:cstheme="majorBidi"/>
          <w:sz w:val="24"/>
          <w:szCs w:val="24"/>
          <w:lang w:bidi="fa-IR"/>
        </w:rPr>
        <w:t xml:space="preserve">Plant-derived nootropics have gained increasing attention for their potential to enhance cognition, especially in neurodegenerative diseases. </w:t>
      </w:r>
      <w:r w:rsidRPr="00331D5C">
        <w:rPr>
          <w:rFonts w:asciiTheme="majorBidi" w:hAnsiTheme="majorBidi" w:cstheme="majorBidi"/>
          <w:i/>
          <w:iCs/>
          <w:sz w:val="24"/>
          <w:szCs w:val="24"/>
          <w:lang w:bidi="fa-IR"/>
        </w:rPr>
        <w:t>Bacopa monnieri</w:t>
      </w:r>
      <w:r w:rsidRPr="00331D5C">
        <w:rPr>
          <w:rFonts w:asciiTheme="majorBidi" w:hAnsiTheme="majorBidi" w:cstheme="majorBidi"/>
          <w:sz w:val="24"/>
          <w:szCs w:val="24"/>
          <w:lang w:bidi="fa-IR"/>
        </w:rPr>
        <w:t xml:space="preserve"> and </w:t>
      </w:r>
      <w:r w:rsidRPr="00331D5C">
        <w:rPr>
          <w:rFonts w:asciiTheme="majorBidi" w:hAnsiTheme="majorBidi" w:cstheme="majorBidi"/>
          <w:i/>
          <w:iCs/>
          <w:sz w:val="24"/>
          <w:szCs w:val="24"/>
          <w:lang w:bidi="fa-IR"/>
        </w:rPr>
        <w:t>Ginkgo biloba</w:t>
      </w:r>
      <w:r w:rsidRPr="00331D5C">
        <w:rPr>
          <w:rFonts w:asciiTheme="majorBidi" w:hAnsiTheme="majorBidi" w:cstheme="majorBidi"/>
          <w:sz w:val="24"/>
          <w:szCs w:val="24"/>
          <w:lang w:bidi="fa-IR"/>
        </w:rPr>
        <w:t xml:space="preserve"> are studied for their neuroprotective effects, which may enhance cognitive function and provide resilience against neurodegeneration</w:t>
      </w:r>
      <w:r w:rsidR="00A410A8" w:rsidRPr="00F71F57">
        <w:rPr>
          <w:rFonts w:asciiTheme="majorBidi" w:hAnsiTheme="majorBidi" w:cstheme="majorBidi"/>
          <w:sz w:val="24"/>
          <w:szCs w:val="24"/>
          <w:lang w:val="en-GB" w:bidi="fa-IR"/>
        </w:rPr>
        <w:t xml:space="preserve"> </w:t>
      </w:r>
      <w:r w:rsidR="000A359E" w:rsidRPr="00F71F57">
        <w:rPr>
          <w:rFonts w:asciiTheme="majorBidi" w:hAnsiTheme="majorBidi" w:cstheme="majorBidi"/>
          <w:sz w:val="24"/>
          <w:szCs w:val="24"/>
          <w:lang w:val="en-GB" w:bidi="fa-IR"/>
        </w:rPr>
        <w:fldChar w:fldCharType="begin"/>
      </w:r>
      <w:r w:rsidR="00D168CD" w:rsidRPr="00F71F57">
        <w:rPr>
          <w:rFonts w:asciiTheme="majorBidi" w:hAnsiTheme="majorBidi" w:cstheme="majorBidi"/>
          <w:sz w:val="24"/>
          <w:szCs w:val="24"/>
          <w:lang w:val="en-GB" w:bidi="fa-IR"/>
        </w:rPr>
        <w:instrText xml:space="preserve"> ADDIN EN.CITE &lt;EndNote&gt;&lt;Cite&gt;&lt;Author&gt;Andrade&lt;/Author&gt;&lt;Year&gt;2023&lt;/Year&gt;&lt;RecNum&gt;227&lt;/RecNum&gt;&lt;DisplayText&gt;(Andrade et al., 2023; Surguchov et al., 2021)&lt;/DisplayText&gt;&lt;record&gt;&lt;rec-number&gt;227&lt;/rec-number&gt;&lt;foreign-keys&gt;&lt;key app="EN" db-id="2ptrtps0adr9vke22dn5tpwzrsfaxtxrfwet" timestamp="1755781972"&gt;227&lt;/key&gt;&lt;/foreign-keys&gt;&lt;ref-type name="Journal Article"&gt;17&lt;/ref-type&gt;&lt;contributors&gt;&lt;authors&gt;&lt;author&gt;Andrade, Stéphanie&lt;/author&gt;&lt;author&gt;Nunes, Débora&lt;/author&gt;&lt;author&gt;Dabur, Meghna&lt;/author&gt;&lt;author&gt;Ramalho, Maria João&lt;/author&gt;&lt;author&gt;Pereira, Maria do Carmo&lt;/author&gt;&lt;author&gt;Loureiro, Joana A.&lt;/author&gt;&lt;/authors&gt;&lt;/contributors&gt;&lt;titles&gt;&lt;title&gt;Therapeutic Potential of Natural Compounds in Neurodegenerative Diseases: Insights From Clinical Trials&lt;/title&gt;&lt;secondary-title&gt;Pharmaceutics&lt;/secondary-title&gt;&lt;/titles&gt;&lt;periodical&gt;&lt;full-title&gt;Pharmaceutics&lt;/full-title&gt;&lt;/periodical&gt;&lt;pages&gt;212&lt;/pages&gt;&lt;volume&gt;15&lt;/volume&gt;&lt;number&gt;1&lt;/number&gt;&lt;dates&gt;&lt;year&gt;2023&lt;/year&gt;&lt;/dates&gt;&lt;urls&gt;&lt;/urls&gt;&lt;electronic-resource-num&gt;10.3390/pharmaceutics15010212&lt;/electronic-resource-num&gt;&lt;/record&gt;&lt;/Cite&gt;&lt;Cite&gt;&lt;Author&gt;Surguchov&lt;/Author&gt;&lt;Year&gt;2021&lt;/Year&gt;&lt;RecNum&gt;228&lt;/RecNum&gt;&lt;record&gt;&lt;rec-number&gt;228&lt;/rec-number&gt;&lt;foreign-keys&gt;&lt;key app="EN" db-id="2ptrtps0adr9vke22dn5tpwzrsfaxtxrfwet" timestamp="1755781985"&gt;228&lt;/key&gt;&lt;/foreign-keys&gt;&lt;ref-type name="Journal Article"&gt;17&lt;/ref-type&gt;&lt;contributors&gt;&lt;authors&gt;&lt;author&gt;Surguchov, Andrei&lt;/author&gt;&lt;author&gt;Bernal, Libby&lt;/author&gt;&lt;author&gt;Surguchev, Alexei&lt;/author&gt;&lt;/authors&gt;&lt;/contributors&gt;&lt;titles&gt;&lt;title&gt;Phytochemicals as Regulators of Genes Involved in Synucleinopathies&lt;/title&gt;&lt;secondary-title&gt;Biomolecules&lt;/secondary-title&gt;&lt;/titles&gt;&lt;periodical&gt;&lt;full-title&gt;Biomolecules&lt;/full-title&gt;&lt;/periodical&gt;&lt;pages&gt;624&lt;/pages&gt;&lt;volume&gt;11&lt;/volume&gt;&lt;number&gt;5&lt;/number&gt;&lt;dates&gt;&lt;year&gt;2021&lt;/year&gt;&lt;/dates&gt;&lt;urls&gt;&lt;/urls&gt;&lt;electronic-resource-num&gt;10.3390/biom11050624&lt;/electronic-resource-num&gt;&lt;/record&gt;&lt;/Cite&gt;&lt;/EndNote&gt;</w:instrText>
      </w:r>
      <w:r w:rsidR="000A359E" w:rsidRPr="00F71F57">
        <w:rPr>
          <w:rFonts w:asciiTheme="majorBidi" w:hAnsiTheme="majorBidi" w:cstheme="majorBidi"/>
          <w:sz w:val="24"/>
          <w:szCs w:val="24"/>
          <w:lang w:val="en-GB" w:bidi="fa-IR"/>
        </w:rPr>
        <w:fldChar w:fldCharType="separate"/>
      </w:r>
      <w:r w:rsidR="00D168CD" w:rsidRPr="00F71F57">
        <w:rPr>
          <w:rFonts w:asciiTheme="majorBidi" w:hAnsiTheme="majorBidi" w:cstheme="majorBidi"/>
          <w:sz w:val="24"/>
          <w:szCs w:val="24"/>
          <w:lang w:val="en-GB" w:bidi="fa-IR"/>
        </w:rPr>
        <w:t>(</w:t>
      </w:r>
      <w:hyperlink w:anchor="_ENREF_6" w:tooltip="Andrade, 2023 #227" w:history="1">
        <w:r w:rsidR="00DE113E" w:rsidRPr="00F71F57">
          <w:rPr>
            <w:rFonts w:asciiTheme="majorBidi" w:hAnsiTheme="majorBidi" w:cstheme="majorBidi"/>
            <w:sz w:val="24"/>
            <w:szCs w:val="24"/>
            <w:lang w:val="en-GB" w:bidi="fa-IR"/>
          </w:rPr>
          <w:t>Andrade et al., 2023</w:t>
        </w:r>
      </w:hyperlink>
      <w:r w:rsidR="00D168CD" w:rsidRPr="00F71F57">
        <w:rPr>
          <w:rFonts w:asciiTheme="majorBidi" w:hAnsiTheme="majorBidi" w:cstheme="majorBidi"/>
          <w:sz w:val="24"/>
          <w:szCs w:val="24"/>
          <w:lang w:val="en-GB" w:bidi="fa-IR"/>
        </w:rPr>
        <w:t xml:space="preserve">; </w:t>
      </w:r>
      <w:hyperlink w:anchor="_ENREF_236" w:tooltip="Surguchov, 2021 #228" w:history="1">
        <w:r w:rsidR="00DE113E" w:rsidRPr="00F71F57">
          <w:rPr>
            <w:rFonts w:asciiTheme="majorBidi" w:hAnsiTheme="majorBidi" w:cstheme="majorBidi"/>
            <w:sz w:val="24"/>
            <w:szCs w:val="24"/>
            <w:lang w:val="en-GB" w:bidi="fa-IR"/>
          </w:rPr>
          <w:t>Surguchov et al., 2021</w:t>
        </w:r>
      </w:hyperlink>
      <w:r w:rsidR="00D168CD" w:rsidRPr="00F71F57">
        <w:rPr>
          <w:rFonts w:asciiTheme="majorBidi" w:hAnsiTheme="majorBidi" w:cstheme="majorBidi"/>
          <w:sz w:val="24"/>
          <w:szCs w:val="24"/>
          <w:lang w:val="en-GB" w:bidi="fa-IR"/>
        </w:rPr>
        <w:t>)</w:t>
      </w:r>
      <w:r w:rsidR="000A359E" w:rsidRPr="00F71F57">
        <w:rPr>
          <w:rFonts w:asciiTheme="majorBidi" w:hAnsiTheme="majorBidi" w:cstheme="majorBidi"/>
          <w:sz w:val="24"/>
          <w:szCs w:val="24"/>
          <w:lang w:val="en-GB" w:bidi="fa-IR"/>
        </w:rPr>
        <w:fldChar w:fldCharType="end"/>
      </w:r>
      <w:r w:rsidR="00A410A8" w:rsidRPr="00F71F57">
        <w:rPr>
          <w:rFonts w:asciiTheme="majorBidi" w:hAnsiTheme="majorBidi" w:cstheme="majorBidi"/>
          <w:sz w:val="24"/>
          <w:szCs w:val="24"/>
          <w:lang w:val="en-GB" w:bidi="fa-IR"/>
        </w:rPr>
        <w:t>.</w:t>
      </w:r>
      <w:r w:rsidR="00035E41">
        <w:rPr>
          <w:rFonts w:asciiTheme="majorBidi" w:hAnsiTheme="majorBidi" w:cstheme="majorBidi"/>
          <w:sz w:val="24"/>
          <w:szCs w:val="24"/>
          <w:lang w:val="en-GB" w:bidi="fa-IR"/>
        </w:rPr>
        <w:t xml:space="preserve"> </w:t>
      </w:r>
      <w:r w:rsidRPr="00331D5C">
        <w:rPr>
          <w:rFonts w:asciiTheme="majorBidi" w:hAnsiTheme="majorBidi" w:cstheme="majorBidi"/>
          <w:sz w:val="24"/>
          <w:szCs w:val="24"/>
          <w:lang w:val="en-GB" w:bidi="fa-IR"/>
        </w:rPr>
        <w:t xml:space="preserve">Although these results are encouraging, safety in clinical practice of nootropics still represents an essential aspect to consider. Most studies indicate botanical nootropics as being very tolerable and having mild side effects only. Thus, randomized controlled studies conducted with Ginkgo biloba showed no specific safety problems, apart from occasional mild gastrointestinal disturbances. </w:t>
      </w:r>
      <w:r w:rsidR="00D168CD" w:rsidRPr="00F71F57">
        <w:rPr>
          <w:rFonts w:asciiTheme="majorBidi" w:hAnsiTheme="majorBidi" w:cstheme="majorBidi"/>
          <w:sz w:val="24"/>
          <w:szCs w:val="24"/>
          <w:lang w:val="en-GB" w:bidi="fa-IR"/>
        </w:rPr>
        <w:fldChar w:fldCharType="begin"/>
      </w:r>
      <w:r w:rsidR="00D168CD" w:rsidRPr="00F71F57">
        <w:rPr>
          <w:rFonts w:asciiTheme="majorBidi" w:hAnsiTheme="majorBidi" w:cstheme="majorBidi"/>
          <w:sz w:val="24"/>
          <w:szCs w:val="24"/>
          <w:lang w:val="en-GB" w:bidi="fa-IR"/>
        </w:rPr>
        <w:instrText xml:space="preserve"> ADDIN EN.CITE &lt;EndNote&gt;&lt;Cite&gt;&lt;Author&gt;Roe&lt;/Author&gt;&lt;Year&gt;2021&lt;/Year&gt;&lt;RecNum&gt;230&lt;/RecNum&gt;&lt;DisplayText&gt;(Roe &amp;amp; Venkataraman, 2021)&lt;/DisplayText&gt;&lt;record&gt;&lt;rec-number&gt;230&lt;/rec-number&gt;&lt;foreign-keys&gt;&lt;key app="EN" db-id="2ptrtps0adr9vke22dn5tpwzrsfaxtxrfwet" timestamp="1755782142"&gt;230&lt;/key&gt;&lt;/foreign-keys&gt;&lt;ref-type name="Journal Article"&gt;17&lt;/ref-type&gt;&lt;contributors&gt;&lt;authors&gt;&lt;author&gt;Roe, Amy L.&lt;/author&gt;&lt;author&gt;Venkataraman, Arvind&lt;/author&gt;&lt;/authors&gt;&lt;/contributors&gt;&lt;titles&gt;&lt;title&gt;The Safety and Efficacy of Botanicals With Nootropic Effects&lt;/title&gt;&lt;secondary-title&gt;Current Neuropharmacology&lt;/secondary-title&gt;&lt;/titles&gt;&lt;periodical&gt;&lt;full-title&gt;Current Neuropharmacology&lt;/full-title&gt;&lt;/periodical&gt;&lt;pages&gt;1442-1467&lt;/pages&gt;&lt;volume&gt;19&lt;/volume&gt;&lt;number&gt;9&lt;/number&gt;&lt;dates&gt;&lt;year&gt;2021&lt;/year&gt;&lt;/dates&gt;&lt;urls&gt;&lt;/urls&gt;&lt;electronic-resource-num&gt;10.2174/1570159x19666210726150432&lt;/electronic-resource-num&gt;&lt;/record&gt;&lt;/Cite&gt;&lt;/EndNote&gt;</w:instrText>
      </w:r>
      <w:r w:rsidR="00D168CD" w:rsidRPr="00F71F57">
        <w:rPr>
          <w:rFonts w:asciiTheme="majorBidi" w:hAnsiTheme="majorBidi" w:cstheme="majorBidi"/>
          <w:sz w:val="24"/>
          <w:szCs w:val="24"/>
          <w:lang w:val="en-GB" w:bidi="fa-IR"/>
        </w:rPr>
        <w:fldChar w:fldCharType="separate"/>
      </w:r>
      <w:r w:rsidR="00D168CD" w:rsidRPr="00F71F57">
        <w:rPr>
          <w:rFonts w:asciiTheme="majorBidi" w:hAnsiTheme="majorBidi" w:cstheme="majorBidi"/>
          <w:sz w:val="24"/>
          <w:szCs w:val="24"/>
          <w:lang w:val="en-GB" w:bidi="fa-IR"/>
        </w:rPr>
        <w:t>(</w:t>
      </w:r>
      <w:hyperlink w:anchor="_ENREF_200" w:tooltip="Roe, 2021 #243" w:history="1">
        <w:r w:rsidR="00DE113E" w:rsidRPr="00F71F57">
          <w:rPr>
            <w:rFonts w:asciiTheme="majorBidi" w:hAnsiTheme="majorBidi" w:cstheme="majorBidi"/>
            <w:sz w:val="24"/>
            <w:szCs w:val="24"/>
            <w:lang w:val="en-GB" w:bidi="fa-IR"/>
          </w:rPr>
          <w:t>Roe &amp; Venkataraman, 2021</w:t>
        </w:r>
      </w:hyperlink>
      <w:r w:rsidR="00D168CD" w:rsidRPr="00F71F57">
        <w:rPr>
          <w:rFonts w:asciiTheme="majorBidi" w:hAnsiTheme="majorBidi" w:cstheme="majorBidi"/>
          <w:sz w:val="24"/>
          <w:szCs w:val="24"/>
          <w:lang w:val="en-GB" w:bidi="fa-IR"/>
        </w:rPr>
        <w:t>)</w:t>
      </w:r>
      <w:r w:rsidR="00D168CD" w:rsidRPr="00F71F57">
        <w:rPr>
          <w:rFonts w:asciiTheme="majorBidi" w:hAnsiTheme="majorBidi" w:cstheme="majorBidi"/>
          <w:sz w:val="24"/>
          <w:szCs w:val="24"/>
          <w:lang w:val="en-GB" w:bidi="fa-IR"/>
        </w:rPr>
        <w:fldChar w:fldCharType="end"/>
      </w:r>
      <w:r w:rsidR="00A410A8" w:rsidRPr="00F71F57">
        <w:rPr>
          <w:rFonts w:asciiTheme="majorBidi" w:hAnsiTheme="majorBidi" w:cstheme="majorBidi"/>
          <w:sz w:val="24"/>
          <w:szCs w:val="24"/>
          <w:lang w:val="en-GB" w:bidi="fa-IR"/>
        </w:rPr>
        <w:t xml:space="preserve">. </w:t>
      </w:r>
      <w:r w:rsidR="004572D3" w:rsidRPr="004572D3">
        <w:rPr>
          <w:rFonts w:asciiTheme="majorBidi" w:hAnsiTheme="majorBidi" w:cstheme="majorBidi"/>
          <w:sz w:val="24"/>
          <w:szCs w:val="24"/>
          <w:lang w:val="en-GB" w:bidi="fa-IR"/>
        </w:rPr>
        <w:t>Ongoing monitoring and research, nevertheless, are necessary to examine long-term results as well as potential interactions of drugs and herbs. The efficacy of botanical nootropics has been upheld by numerous studies. Curcumin from turmeric was found to enhance cognitive capacity in mild cases of cognitive impairment through modulating inflammatory pathways and downscaling oxidative pressure</w:t>
      </w:r>
      <w:r w:rsidR="00A410A8" w:rsidRPr="00F71F57">
        <w:rPr>
          <w:rFonts w:asciiTheme="majorBidi" w:hAnsiTheme="majorBidi" w:cstheme="majorBidi"/>
          <w:sz w:val="24"/>
          <w:szCs w:val="24"/>
          <w:lang w:val="en-GB" w:bidi="fa-IR"/>
        </w:rPr>
        <w:t xml:space="preserve"> </w:t>
      </w:r>
      <w:r w:rsidR="00AF0006" w:rsidRPr="00F71F57">
        <w:rPr>
          <w:rFonts w:asciiTheme="majorBidi" w:hAnsiTheme="majorBidi" w:cstheme="majorBidi"/>
          <w:sz w:val="24"/>
          <w:szCs w:val="24"/>
          <w:lang w:val="en-GB" w:bidi="fa-IR"/>
        </w:rPr>
        <w:fldChar w:fldCharType="begin"/>
      </w:r>
      <w:r w:rsidR="00AF0006" w:rsidRPr="00F71F57">
        <w:rPr>
          <w:rFonts w:asciiTheme="majorBidi" w:hAnsiTheme="majorBidi" w:cstheme="majorBidi"/>
          <w:sz w:val="24"/>
          <w:szCs w:val="24"/>
          <w:lang w:val="en-GB" w:bidi="fa-IR"/>
        </w:rPr>
        <w:instrText xml:space="preserve"> ADDIN EN.CITE &lt;EndNote&gt;&lt;Cite&gt;&lt;Author&gt;Fukutomi&lt;/Author&gt;&lt;Year&gt;2021&lt;/Year&gt;&lt;RecNum&gt;232&lt;/RecNum&gt;&lt;DisplayText&gt;(Fukutomi et al., 2021)&lt;/DisplayText&gt;&lt;record&gt;&lt;rec-number&gt;232&lt;/rec-number&gt;&lt;foreign-keys&gt;&lt;key app="EN" db-id="2ptrtps0adr9vke22dn5tpwzrsfaxtxrfwet" timestamp="1755782274"&gt;232&lt;/key&gt;&lt;/foreign-keys&gt;&lt;ref-type name="Journal Article"&gt;17&lt;/ref-type&gt;&lt;contributors&gt;&lt;authors&gt;&lt;author&gt;Fukutomi, Ryuuta&lt;/author&gt;&lt;author&gt;Ohishi, Tomokazu&lt;/author&gt;&lt;author&gt;Koyama, Yu&lt;/author&gt;&lt;author&gt;Pervin, Monira&lt;/author&gt;&lt;author&gt;Nakamura, Yoriyuki&lt;/author&gt;&lt;author&gt;Isemura, Mamoru&lt;/author&gt;&lt;/authors&gt;&lt;/contributors&gt;&lt;titles&gt;&lt;title&gt;Beneficial Effects of Epigallocatechin-3-O-Gallate, Chlorogenic Acid, Resveratrol, and Curcumin on Neurodegenerative Diseases&lt;/title&gt;&lt;secondary-title&gt;Molecules&lt;/secondary-title&gt;&lt;/titles&gt;&lt;periodical&gt;&lt;full-title&gt;Molecules&lt;/full-title&gt;&lt;/periodical&gt;&lt;pages&gt;415&lt;/pages&gt;&lt;volume&gt;26&lt;/volume&gt;&lt;number&gt;2&lt;/number&gt;&lt;dates&gt;&lt;year&gt;2021&lt;/year&gt;&lt;/dates&gt;&lt;urls&gt;&lt;/urls&gt;&lt;electronic-resource-num&gt;10.3390/molecules26020415&lt;/electronic-resource-num&gt;&lt;/record&gt;&lt;/Cite&gt;&lt;/EndNote&gt;</w:instrText>
      </w:r>
      <w:r w:rsidR="00AF0006" w:rsidRPr="00F71F57">
        <w:rPr>
          <w:rFonts w:asciiTheme="majorBidi" w:hAnsiTheme="majorBidi" w:cstheme="majorBidi"/>
          <w:sz w:val="24"/>
          <w:szCs w:val="24"/>
          <w:lang w:val="en-GB" w:bidi="fa-IR"/>
        </w:rPr>
        <w:fldChar w:fldCharType="separate"/>
      </w:r>
      <w:r w:rsidR="00AF0006" w:rsidRPr="00F71F57">
        <w:rPr>
          <w:rFonts w:asciiTheme="majorBidi" w:hAnsiTheme="majorBidi" w:cstheme="majorBidi"/>
          <w:sz w:val="24"/>
          <w:szCs w:val="24"/>
          <w:lang w:val="en-GB" w:bidi="fa-IR"/>
        </w:rPr>
        <w:t>(</w:t>
      </w:r>
      <w:hyperlink w:anchor="_ENREF_83" w:tooltip="Fukutomi, 2021 #232" w:history="1">
        <w:r w:rsidR="00DE113E" w:rsidRPr="00F71F57">
          <w:rPr>
            <w:rFonts w:asciiTheme="majorBidi" w:hAnsiTheme="majorBidi" w:cstheme="majorBidi"/>
            <w:sz w:val="24"/>
            <w:szCs w:val="24"/>
            <w:lang w:val="en-GB" w:bidi="fa-IR"/>
          </w:rPr>
          <w:t>Fukutomi et al., 2021</w:t>
        </w:r>
      </w:hyperlink>
      <w:r w:rsidR="00AF0006" w:rsidRPr="00F71F57">
        <w:rPr>
          <w:rFonts w:asciiTheme="majorBidi" w:hAnsiTheme="majorBidi" w:cstheme="majorBidi"/>
          <w:sz w:val="24"/>
          <w:szCs w:val="24"/>
          <w:lang w:val="en-GB" w:bidi="fa-IR"/>
        </w:rPr>
        <w:t>)</w:t>
      </w:r>
      <w:r w:rsidR="00AF0006" w:rsidRPr="00F71F57">
        <w:rPr>
          <w:rFonts w:asciiTheme="majorBidi" w:hAnsiTheme="majorBidi" w:cstheme="majorBidi"/>
          <w:sz w:val="24"/>
          <w:szCs w:val="24"/>
          <w:lang w:val="en-GB" w:bidi="fa-IR"/>
        </w:rPr>
        <w:fldChar w:fldCharType="end"/>
      </w:r>
      <w:r w:rsidR="00AF0006" w:rsidRPr="00F71F57">
        <w:rPr>
          <w:rFonts w:asciiTheme="majorBidi" w:hAnsiTheme="majorBidi" w:cstheme="majorBidi"/>
          <w:sz w:val="24"/>
          <w:szCs w:val="24"/>
          <w:lang w:val="en-GB" w:bidi="fa-IR"/>
        </w:rPr>
        <w:t xml:space="preserve">. </w:t>
      </w:r>
      <w:r w:rsidR="004572D3" w:rsidRPr="004572D3">
        <w:rPr>
          <w:rFonts w:asciiTheme="majorBidi" w:hAnsiTheme="majorBidi" w:cstheme="majorBidi"/>
          <w:sz w:val="24"/>
          <w:szCs w:val="24"/>
          <w:lang w:val="en-GB" w:bidi="fa-IR"/>
        </w:rPr>
        <w:t xml:space="preserve">Such findings prove that the inclusion of botanicals in treatment plans is appropriate and provides an integrative means to reverse cognitive decline. The growing evidence base of botanical nootropics causes an imminent need for standardized guidelines for clinical practice. Additional research on optimal dose, long-term safety, and bioavailability must be performed to </w:t>
      </w:r>
      <w:r w:rsidR="00B5083F" w:rsidRPr="004572D3">
        <w:rPr>
          <w:rFonts w:asciiTheme="majorBidi" w:hAnsiTheme="majorBidi" w:cstheme="majorBidi"/>
          <w:sz w:val="24"/>
          <w:szCs w:val="24"/>
          <w:lang w:val="en-GB" w:bidi="fa-IR"/>
        </w:rPr>
        <w:t>use these agents safely and effectively</w:t>
      </w:r>
      <w:r w:rsidR="004572D3" w:rsidRPr="004572D3">
        <w:rPr>
          <w:rFonts w:asciiTheme="majorBidi" w:hAnsiTheme="majorBidi" w:cstheme="majorBidi"/>
          <w:sz w:val="24"/>
          <w:szCs w:val="24"/>
          <w:lang w:val="en-GB" w:bidi="fa-IR"/>
        </w:rPr>
        <w:t xml:space="preserve"> in human populations. Clinical </w:t>
      </w:r>
      <w:r w:rsidR="004572D3" w:rsidRPr="004572D3">
        <w:rPr>
          <w:rFonts w:asciiTheme="majorBidi" w:hAnsiTheme="majorBidi" w:cstheme="majorBidi"/>
          <w:sz w:val="24"/>
          <w:szCs w:val="24"/>
          <w:lang w:val="en-GB" w:bidi="fa-IR"/>
        </w:rPr>
        <w:lastRenderedPageBreak/>
        <w:t xml:space="preserve">scientists, clinicians, and pharmacologists will need multidisciplinary communication to establish stringent standards and deliver these agents to clinical practice </w:t>
      </w:r>
      <w:r w:rsidR="00AF0006" w:rsidRPr="00F71F57">
        <w:rPr>
          <w:rFonts w:asciiTheme="majorBidi" w:hAnsiTheme="majorBidi" w:cstheme="majorBidi"/>
          <w:sz w:val="24"/>
          <w:szCs w:val="24"/>
          <w:lang w:val="en-GB" w:bidi="fa-IR"/>
        </w:rPr>
        <w:fldChar w:fldCharType="begin">
          <w:fldData xml:space="preserve">PEVuZE5vdGU+PENpdGU+PEF1dGhvcj5GYXRpbWE8L0F1dGhvcj48WWVhcj4yMDIyPC9ZZWFyPjxS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</w:fldData>
        </w:fldChar>
      </w:r>
      <w:r w:rsidR="00B5083F">
        <w:rPr>
          <w:rFonts w:asciiTheme="majorBidi" w:hAnsiTheme="majorBidi" w:cstheme="majorBidi"/>
          <w:sz w:val="24"/>
          <w:szCs w:val="24"/>
          <w:lang w:val="en-GB" w:bidi="fa-IR"/>
        </w:rPr>
        <w:instrText xml:space="preserve"> ADDIN EN.CITE </w:instrText>
      </w:r>
      <w:r w:rsidR="00B5083F">
        <w:rPr>
          <w:rFonts w:asciiTheme="majorBidi" w:hAnsiTheme="majorBidi" w:cstheme="majorBidi"/>
          <w:sz w:val="24"/>
          <w:szCs w:val="24"/>
          <w:lang w:val="en-GB" w:bidi="fa-IR"/>
        </w:rPr>
        <w:fldChar w:fldCharType="begin">
          <w:fldData xml:space="preserve">PEVuZE5vdGU+PENpdGU+PEF1dGhvcj5GYXRpbWE8L0F1dGhvcj48WWVhcj4yMDIyPC9ZZWFyPjxS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</w:fldData>
        </w:fldChar>
      </w:r>
      <w:r w:rsidR="00B5083F">
        <w:rPr>
          <w:rFonts w:asciiTheme="majorBidi" w:hAnsiTheme="majorBidi" w:cstheme="majorBidi"/>
          <w:sz w:val="24"/>
          <w:szCs w:val="24"/>
          <w:lang w:val="en-GB" w:bidi="fa-IR"/>
        </w:rPr>
        <w:instrText xml:space="preserve"> ADDIN EN.CITE.DATA </w:instrText>
      </w:r>
      <w:r w:rsidR="00B5083F">
        <w:rPr>
          <w:rFonts w:asciiTheme="majorBidi" w:hAnsiTheme="majorBidi" w:cstheme="majorBidi"/>
          <w:sz w:val="24"/>
          <w:szCs w:val="24"/>
          <w:lang w:val="en-GB" w:bidi="fa-IR"/>
        </w:rPr>
      </w:r>
      <w:r w:rsidR="00B5083F">
        <w:rPr>
          <w:rFonts w:asciiTheme="majorBidi" w:hAnsiTheme="majorBidi" w:cstheme="majorBidi"/>
          <w:sz w:val="24"/>
          <w:szCs w:val="24"/>
          <w:lang w:val="en-GB" w:bidi="fa-IR"/>
        </w:rPr>
        <w:fldChar w:fldCharType="end"/>
      </w:r>
      <w:r w:rsidR="00AF0006" w:rsidRPr="00F71F57">
        <w:rPr>
          <w:rFonts w:asciiTheme="majorBidi" w:hAnsiTheme="majorBidi" w:cstheme="majorBidi"/>
          <w:sz w:val="24"/>
          <w:szCs w:val="24"/>
          <w:lang w:val="en-GB" w:bidi="fa-IR"/>
        </w:rPr>
      </w:r>
      <w:r w:rsidR="00AF0006" w:rsidRPr="00F71F57">
        <w:rPr>
          <w:rFonts w:asciiTheme="majorBidi" w:hAnsiTheme="majorBidi" w:cstheme="majorBidi"/>
          <w:sz w:val="24"/>
          <w:szCs w:val="24"/>
          <w:lang w:val="en-GB" w:bidi="fa-IR"/>
        </w:rPr>
        <w:fldChar w:fldCharType="separate"/>
      </w:r>
      <w:r w:rsidR="00B5083F">
        <w:rPr>
          <w:rFonts w:asciiTheme="majorBidi" w:hAnsiTheme="majorBidi" w:cstheme="majorBidi"/>
          <w:noProof/>
          <w:sz w:val="24"/>
          <w:szCs w:val="24"/>
          <w:lang w:val="en-GB" w:bidi="fa-IR"/>
        </w:rPr>
        <w:t>(</w:t>
      </w:r>
      <w:hyperlink w:anchor="_ENREF_76" w:tooltip="Fatima, 2022 #236" w:history="1">
        <w:r w:rsidR="00DE113E">
          <w:rPr>
            <w:rFonts w:asciiTheme="majorBidi" w:hAnsiTheme="majorBidi" w:cstheme="majorBidi"/>
            <w:noProof/>
            <w:sz w:val="24"/>
            <w:szCs w:val="24"/>
            <w:lang w:val="en-GB" w:bidi="fa-IR"/>
          </w:rPr>
          <w:t>Fatima et al., 2022</w:t>
        </w:r>
      </w:hyperlink>
      <w:r w:rsidR="00B5083F">
        <w:rPr>
          <w:rFonts w:asciiTheme="majorBidi" w:hAnsiTheme="majorBidi" w:cstheme="majorBidi"/>
          <w:noProof/>
          <w:sz w:val="24"/>
          <w:szCs w:val="24"/>
          <w:lang w:val="en-GB" w:bidi="fa-IR"/>
        </w:rPr>
        <w:t xml:space="preserve">; </w:t>
      </w:r>
      <w:hyperlink w:anchor="_ENREF_270" w:tooltip="Zhang, 2023 #237" w:history="1">
        <w:r w:rsidR="00DE113E">
          <w:rPr>
            <w:rFonts w:asciiTheme="majorBidi" w:hAnsiTheme="majorBidi" w:cstheme="majorBidi"/>
            <w:noProof/>
            <w:sz w:val="24"/>
            <w:szCs w:val="24"/>
            <w:lang w:val="en-GB" w:bidi="fa-IR"/>
          </w:rPr>
          <w:t>Zhang et al., 2023</w:t>
        </w:r>
      </w:hyperlink>
      <w:r w:rsidR="00B5083F">
        <w:rPr>
          <w:rFonts w:asciiTheme="majorBidi" w:hAnsiTheme="majorBidi" w:cstheme="majorBidi"/>
          <w:noProof/>
          <w:sz w:val="24"/>
          <w:szCs w:val="24"/>
          <w:lang w:val="en-GB" w:bidi="fa-IR"/>
        </w:rPr>
        <w:t>)</w:t>
      </w:r>
      <w:r w:rsidR="00AF0006" w:rsidRPr="00F71F57">
        <w:rPr>
          <w:rFonts w:asciiTheme="majorBidi" w:hAnsiTheme="majorBidi" w:cstheme="majorBidi"/>
          <w:sz w:val="24"/>
          <w:szCs w:val="24"/>
          <w:lang w:val="en-GB" w:bidi="fa-IR"/>
        </w:rPr>
        <w:fldChar w:fldCharType="end"/>
      </w:r>
      <w:r w:rsidR="00AF0006" w:rsidRPr="00F71F57">
        <w:rPr>
          <w:rFonts w:asciiTheme="majorBidi" w:hAnsiTheme="majorBidi" w:cstheme="majorBidi"/>
          <w:sz w:val="24"/>
          <w:szCs w:val="24"/>
          <w:lang w:val="en-GB" w:bidi="fa-IR"/>
        </w:rPr>
        <w:t>.</w:t>
      </w:r>
      <w:r w:rsidR="00036A85" w:rsidRPr="00F71F57">
        <w:rPr>
          <w:rFonts w:asciiTheme="majorBidi" w:hAnsiTheme="majorBidi" w:cstheme="majorBidi"/>
          <w:sz w:val="24"/>
          <w:szCs w:val="24"/>
          <w:lang w:val="en-GB" w:bidi="fa-IR"/>
        </w:rPr>
        <w:t xml:space="preserve"> </w:t>
      </w:r>
      <w:r w:rsidR="00B5083F" w:rsidRPr="00F71F57">
        <w:rPr>
          <w:rFonts w:asciiTheme="majorBidi" w:hAnsiTheme="majorBidi" w:cstheme="majorBidi"/>
          <w:sz w:val="24"/>
          <w:szCs w:val="24"/>
          <w:lang w:val="en-GB" w:bidi="fa-IR"/>
        </w:rPr>
        <w:t>Preclinical</w:t>
      </w:r>
      <w:r w:rsidR="00B5083F">
        <w:rPr>
          <w:rFonts w:asciiTheme="majorBidi" w:hAnsiTheme="majorBidi" w:cstheme="majorBidi"/>
          <w:sz w:val="24"/>
          <w:szCs w:val="24"/>
          <w:lang w:val="en-GB" w:bidi="fa-IR"/>
        </w:rPr>
        <w:t xml:space="preserve"> </w:t>
      </w:r>
      <w:r w:rsidR="00B5083F" w:rsidRPr="00F71F57">
        <w:rPr>
          <w:rFonts w:asciiTheme="majorBidi" w:hAnsiTheme="majorBidi" w:cstheme="majorBidi"/>
          <w:sz w:val="24"/>
          <w:szCs w:val="24"/>
          <w:lang w:val="en-GB" w:bidi="fa-IR"/>
        </w:rPr>
        <w:t>studies</w:t>
      </w:r>
      <w:r w:rsidR="00A410A8" w:rsidRPr="00F71F57">
        <w:rPr>
          <w:rFonts w:asciiTheme="majorBidi" w:hAnsiTheme="majorBidi" w:cstheme="majorBidi"/>
          <w:sz w:val="24"/>
          <w:szCs w:val="24"/>
          <w:lang w:val="en-GB" w:bidi="fa-IR"/>
        </w:rPr>
        <w:t xml:space="preserve"> in animal models have provided insights into the safety and efficacy of plant-derived nootropics, supporting their translational potential in humans. Long-term use of plant-derived nootropics has generally been well tolerated in preclinical research. A study of </w:t>
      </w:r>
      <w:r w:rsidR="00A410A8" w:rsidRPr="00F71F57">
        <w:rPr>
          <w:rFonts w:asciiTheme="majorBidi" w:hAnsiTheme="majorBidi" w:cstheme="majorBidi"/>
          <w:i/>
          <w:iCs/>
          <w:sz w:val="24"/>
          <w:szCs w:val="24"/>
          <w:lang w:val="en-GB" w:bidi="fa-IR"/>
        </w:rPr>
        <w:t>Ginkgo biloba</w:t>
      </w:r>
      <w:r w:rsidR="00A410A8" w:rsidRPr="00F71F57">
        <w:rPr>
          <w:rFonts w:asciiTheme="majorBidi" w:hAnsiTheme="majorBidi" w:cstheme="majorBidi"/>
          <w:sz w:val="24"/>
          <w:szCs w:val="24"/>
          <w:lang w:val="en-GB" w:bidi="fa-IR"/>
        </w:rPr>
        <w:t xml:space="preserve"> in mice, for instance, reported no significant toxic effects, further supporting its safety </w:t>
      </w:r>
      <w:r w:rsidR="006E7D69" w:rsidRPr="00F71F57">
        <w:rPr>
          <w:rFonts w:asciiTheme="majorBidi" w:hAnsiTheme="majorBidi" w:cstheme="majorBidi"/>
          <w:sz w:val="24"/>
          <w:szCs w:val="24"/>
          <w:lang w:val="en-GB" w:bidi="fa-IR"/>
        </w:rPr>
        <w:fldChar w:fldCharType="begin"/>
      </w:r>
      <w:r w:rsidR="006E7D69" w:rsidRPr="00F71F57">
        <w:rPr>
          <w:rFonts w:asciiTheme="majorBidi" w:hAnsiTheme="majorBidi" w:cstheme="majorBidi"/>
          <w:sz w:val="24"/>
          <w:szCs w:val="24"/>
          <w:lang w:val="en-GB" w:bidi="fa-IR"/>
        </w:rPr>
        <w:instrText xml:space="preserve"> ADDIN EN.CITE &lt;EndNote&gt;&lt;Cite&gt;&lt;Author&gt;Roe&lt;/Author&gt;&lt;Year&gt;2021&lt;/Year&gt;&lt;RecNum&gt;243&lt;/RecNum&gt;&lt;DisplayText&gt;(Roe &amp;amp; Venkataraman, 2021)&lt;/DisplayText&gt;&lt;record&gt;&lt;rec-number&gt;243&lt;/rec-number&gt;&lt;foreign-keys&gt;&lt;key app="EN" db-id="2ptrtps0adr9vke22dn5tpwzrsfaxtxrfwet" timestamp="1755782727"&gt;243&lt;/key&gt;&lt;/foreign-keys&gt;&lt;ref-type name="Journal Article"&gt;17&lt;/ref-type&gt;&lt;contributors&gt;&lt;authors&gt;&lt;author&gt;Roe, Amy L.&lt;/author&gt;&lt;author&gt;Venkataraman, Arvind&lt;/author&gt;&lt;/authors&gt;&lt;/contributors&gt;&lt;titles&gt;&lt;title&gt;The Safety and Efficacy of Botanicals With Nootropic Effects&lt;/title&gt;&lt;secondary-title&gt;Current Neuropharmacology&lt;/secondary-title&gt;&lt;/titles&gt;&lt;periodical&gt;&lt;full-title&gt;Current Neuropharmacology&lt;/full-title&gt;&lt;/periodical&gt;&lt;pages&gt;1442-1467&lt;/pages&gt;&lt;volume&gt;19&lt;/volume&gt;&lt;number&gt;9&lt;/number&gt;&lt;dates&gt;&lt;year&gt;2021&lt;/year&gt;&lt;/dates&gt;&lt;urls&gt;&lt;/urls&gt;&lt;electronic-resource-num&gt;10.2174/1570159x19666210726150432&lt;/electronic-resource-num&gt;&lt;/record&gt;&lt;/Cite&gt;&lt;/EndNote&gt;</w:instrText>
      </w:r>
      <w:r w:rsidR="006E7D69" w:rsidRPr="00F71F57">
        <w:rPr>
          <w:rFonts w:asciiTheme="majorBidi" w:hAnsiTheme="majorBidi" w:cstheme="majorBidi"/>
          <w:sz w:val="24"/>
          <w:szCs w:val="24"/>
          <w:lang w:val="en-GB" w:bidi="fa-IR"/>
        </w:rPr>
        <w:fldChar w:fldCharType="separate"/>
      </w:r>
      <w:r w:rsidR="006E7D69" w:rsidRPr="00F71F57">
        <w:rPr>
          <w:rFonts w:asciiTheme="majorBidi" w:hAnsiTheme="majorBidi" w:cstheme="majorBidi"/>
          <w:sz w:val="24"/>
          <w:szCs w:val="24"/>
          <w:lang w:val="en-GB" w:bidi="fa-IR"/>
        </w:rPr>
        <w:t>(</w:t>
      </w:r>
      <w:hyperlink w:anchor="_ENREF_200" w:tooltip="Roe, 2021 #243" w:history="1">
        <w:r w:rsidR="00DE113E" w:rsidRPr="00F71F57">
          <w:rPr>
            <w:rFonts w:asciiTheme="majorBidi" w:hAnsiTheme="majorBidi" w:cstheme="majorBidi"/>
            <w:sz w:val="24"/>
            <w:szCs w:val="24"/>
            <w:lang w:val="en-GB" w:bidi="fa-IR"/>
          </w:rPr>
          <w:t>Roe &amp; Venkataraman, 2021</w:t>
        </w:r>
      </w:hyperlink>
      <w:r w:rsidR="006E7D69" w:rsidRPr="00F71F57">
        <w:rPr>
          <w:rFonts w:asciiTheme="majorBidi" w:hAnsiTheme="majorBidi" w:cstheme="majorBidi"/>
          <w:sz w:val="24"/>
          <w:szCs w:val="24"/>
          <w:lang w:val="en-GB" w:bidi="fa-IR"/>
        </w:rPr>
        <w:t>)</w:t>
      </w:r>
      <w:r w:rsidR="006E7D69" w:rsidRPr="00F71F57">
        <w:rPr>
          <w:rFonts w:asciiTheme="majorBidi" w:hAnsiTheme="majorBidi" w:cstheme="majorBidi"/>
          <w:sz w:val="24"/>
          <w:szCs w:val="24"/>
          <w:lang w:val="en-GB" w:bidi="fa-IR"/>
        </w:rPr>
        <w:fldChar w:fldCharType="end"/>
      </w:r>
      <w:r w:rsidR="006E7D69" w:rsidRPr="00F71F57">
        <w:rPr>
          <w:rFonts w:asciiTheme="majorBidi" w:hAnsiTheme="majorBidi" w:cstheme="majorBidi"/>
          <w:sz w:val="24"/>
          <w:szCs w:val="24"/>
          <w:lang w:val="en-GB" w:bidi="fa-IR"/>
        </w:rPr>
        <w:t xml:space="preserve">. </w:t>
      </w:r>
      <w:r w:rsidR="00A410A8" w:rsidRPr="00F71F57">
        <w:rPr>
          <w:rFonts w:asciiTheme="majorBidi" w:hAnsiTheme="majorBidi" w:cstheme="majorBidi"/>
          <w:sz w:val="24"/>
          <w:szCs w:val="24"/>
          <w:lang w:val="en-GB" w:bidi="fa-IR"/>
        </w:rPr>
        <w:t xml:space="preserve">Mechanistically, plant-derived nootropics act through modulation of neurotransmitter systems, reduction of neuroinflammation, and attenuation of oxidative stress. Resveratrol and other polyphenols have been shown to protect against amyloid-beta toxicity in Alzheimer’s disease mouse models, partly by activating sirtuins—proteins linked to cellular stress resistance and longevity </w:t>
      </w:r>
      <w:r w:rsidR="00CF216A" w:rsidRPr="00F71F57">
        <w:rPr>
          <w:rFonts w:asciiTheme="majorBidi" w:hAnsiTheme="majorBidi" w:cstheme="majorBidi"/>
          <w:sz w:val="24"/>
          <w:szCs w:val="24"/>
          <w:lang w:val="en-GB" w:bidi="fa-IR"/>
        </w:rPr>
        <w:fldChar w:fldCharType="begin">
          <w:fldData xml:space="preserve">PEVuZE5vdGU+PENpdGU+PEF1dGhvcj5GdWt1dG9taTwvQXV0aG9yPjxZZWFyPjIwMjE8L1llYXI+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</w:fldData>
        </w:fldChar>
      </w:r>
      <w:r w:rsidR="00FC5AA4">
        <w:rPr>
          <w:rFonts w:asciiTheme="majorBidi" w:hAnsiTheme="majorBidi" w:cstheme="majorBidi"/>
          <w:sz w:val="24"/>
          <w:szCs w:val="24"/>
          <w:lang w:val="en-GB" w:bidi="fa-IR"/>
        </w:rPr>
        <w:instrText xml:space="preserve"> ADDIN EN.CITE </w:instrText>
      </w:r>
      <w:r w:rsidR="00FC5AA4">
        <w:rPr>
          <w:rFonts w:asciiTheme="majorBidi" w:hAnsiTheme="majorBidi" w:cstheme="majorBidi"/>
          <w:sz w:val="24"/>
          <w:szCs w:val="24"/>
          <w:lang w:val="en-GB" w:bidi="fa-IR"/>
        </w:rPr>
        <w:fldChar w:fldCharType="begin">
          <w:fldData xml:space="preserve">PEVuZE5vdGU+PENpdGU+PEF1dGhvcj5GdWt1dG9taTwvQXV0aG9yPjxZZWFyPjIwMjE8L1llYXI+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</w:fldData>
        </w:fldChar>
      </w:r>
      <w:r w:rsidR="00FC5AA4">
        <w:rPr>
          <w:rFonts w:asciiTheme="majorBidi" w:hAnsiTheme="majorBidi" w:cstheme="majorBidi"/>
          <w:sz w:val="24"/>
          <w:szCs w:val="24"/>
          <w:lang w:val="en-GB" w:bidi="fa-IR"/>
        </w:rPr>
        <w:instrText xml:space="preserve"> ADDIN EN.CITE.DATA </w:instrText>
      </w:r>
      <w:r w:rsidR="00FC5AA4">
        <w:rPr>
          <w:rFonts w:asciiTheme="majorBidi" w:hAnsiTheme="majorBidi" w:cstheme="majorBidi"/>
          <w:sz w:val="24"/>
          <w:szCs w:val="24"/>
          <w:lang w:val="en-GB" w:bidi="fa-IR"/>
        </w:rPr>
      </w:r>
      <w:r w:rsidR="00FC5AA4">
        <w:rPr>
          <w:rFonts w:asciiTheme="majorBidi" w:hAnsiTheme="majorBidi" w:cstheme="majorBidi"/>
          <w:sz w:val="24"/>
          <w:szCs w:val="24"/>
          <w:lang w:val="en-GB" w:bidi="fa-IR"/>
        </w:rPr>
        <w:fldChar w:fldCharType="end"/>
      </w:r>
      <w:r w:rsidR="00CF216A" w:rsidRPr="00F71F57">
        <w:rPr>
          <w:rFonts w:asciiTheme="majorBidi" w:hAnsiTheme="majorBidi" w:cstheme="majorBidi"/>
          <w:sz w:val="24"/>
          <w:szCs w:val="24"/>
          <w:lang w:val="en-GB" w:bidi="fa-IR"/>
        </w:rPr>
      </w:r>
      <w:r w:rsidR="00CF216A" w:rsidRPr="00F71F57">
        <w:rPr>
          <w:rFonts w:asciiTheme="majorBidi" w:hAnsiTheme="majorBidi" w:cstheme="majorBidi"/>
          <w:sz w:val="24"/>
          <w:szCs w:val="24"/>
          <w:lang w:val="en-GB" w:bidi="fa-IR"/>
        </w:rPr>
        <w:fldChar w:fldCharType="separate"/>
      </w:r>
      <w:r w:rsidR="00FC5AA4">
        <w:rPr>
          <w:rFonts w:asciiTheme="majorBidi" w:hAnsiTheme="majorBidi" w:cstheme="majorBidi"/>
          <w:noProof/>
          <w:sz w:val="24"/>
          <w:szCs w:val="24"/>
          <w:lang w:val="en-GB" w:bidi="fa-IR"/>
        </w:rPr>
        <w:t>(</w:t>
      </w:r>
      <w:hyperlink w:anchor="_ENREF_7" w:tooltip="Arbo, 2020 #247" w:history="1">
        <w:r w:rsidR="00DE113E">
          <w:rPr>
            <w:rFonts w:asciiTheme="majorBidi" w:hAnsiTheme="majorBidi" w:cstheme="majorBidi"/>
            <w:noProof/>
            <w:sz w:val="24"/>
            <w:szCs w:val="24"/>
            <w:lang w:val="en-GB" w:bidi="fa-IR"/>
          </w:rPr>
          <w:t>Arbo et al., 2020</w:t>
        </w:r>
      </w:hyperlink>
      <w:r w:rsidR="00FC5AA4">
        <w:rPr>
          <w:rFonts w:asciiTheme="majorBidi" w:hAnsiTheme="majorBidi" w:cstheme="majorBidi"/>
          <w:noProof/>
          <w:sz w:val="24"/>
          <w:szCs w:val="24"/>
          <w:lang w:val="en-GB" w:bidi="fa-IR"/>
        </w:rPr>
        <w:t xml:space="preserve">; </w:t>
      </w:r>
      <w:hyperlink w:anchor="_ENREF_83" w:tooltip="Fukutomi, 2021 #232" w:history="1">
        <w:r w:rsidR="00DE113E">
          <w:rPr>
            <w:rFonts w:asciiTheme="majorBidi" w:hAnsiTheme="majorBidi" w:cstheme="majorBidi"/>
            <w:noProof/>
            <w:sz w:val="24"/>
            <w:szCs w:val="24"/>
            <w:lang w:val="en-GB" w:bidi="fa-IR"/>
          </w:rPr>
          <w:t>Fukutomi et al., 2021</w:t>
        </w:r>
      </w:hyperlink>
      <w:r w:rsidR="00FC5AA4">
        <w:rPr>
          <w:rFonts w:asciiTheme="majorBidi" w:hAnsiTheme="majorBidi" w:cstheme="majorBidi"/>
          <w:noProof/>
          <w:sz w:val="24"/>
          <w:szCs w:val="24"/>
          <w:lang w:val="en-GB" w:bidi="fa-IR"/>
        </w:rPr>
        <w:t>)</w:t>
      </w:r>
      <w:r w:rsidR="00CF216A" w:rsidRPr="00F71F57">
        <w:rPr>
          <w:rFonts w:asciiTheme="majorBidi" w:hAnsiTheme="majorBidi" w:cstheme="majorBidi"/>
          <w:sz w:val="24"/>
          <w:szCs w:val="24"/>
          <w:lang w:val="en-GB" w:bidi="fa-IR"/>
        </w:rPr>
        <w:fldChar w:fldCharType="end"/>
      </w:r>
      <w:r w:rsidR="00CF216A" w:rsidRPr="00F71F57">
        <w:rPr>
          <w:rFonts w:asciiTheme="majorBidi" w:hAnsiTheme="majorBidi" w:cstheme="majorBidi"/>
          <w:sz w:val="24"/>
          <w:szCs w:val="24"/>
          <w:lang w:val="en-GB" w:bidi="fa-IR"/>
        </w:rPr>
        <w:t xml:space="preserve">. </w:t>
      </w:r>
      <w:r w:rsidR="00A410A8" w:rsidRPr="00F71F57">
        <w:rPr>
          <w:rFonts w:asciiTheme="majorBidi" w:hAnsiTheme="majorBidi" w:cstheme="majorBidi"/>
          <w:sz w:val="24"/>
          <w:szCs w:val="24"/>
          <w:lang w:val="en-GB" w:bidi="fa-IR"/>
        </w:rPr>
        <w:t>These pathways highlight their potential to promote neuronal health and sustain cognitive function.</w:t>
      </w:r>
      <w:r w:rsidR="00CF216A" w:rsidRPr="00F71F57">
        <w:rPr>
          <w:rFonts w:asciiTheme="majorBidi" w:hAnsiTheme="majorBidi" w:cstheme="majorBidi"/>
          <w:sz w:val="24"/>
          <w:szCs w:val="24"/>
          <w:lang w:val="en-GB" w:bidi="fa-IR"/>
        </w:rPr>
        <w:t xml:space="preserve"> A</w:t>
      </w:r>
      <w:r w:rsidR="00A410A8" w:rsidRPr="00F71F57">
        <w:rPr>
          <w:rFonts w:asciiTheme="majorBidi" w:hAnsiTheme="majorBidi" w:cstheme="majorBidi"/>
          <w:sz w:val="24"/>
          <w:szCs w:val="24"/>
          <w:lang w:val="en-GB" w:bidi="fa-IR"/>
        </w:rPr>
        <w:t xml:space="preserve">nimal studies provide strong support for the therapeutic promise of plant-based nootropics, offering mechanistic insights and confirming favorable safety profiles. Translating these findings into human applications will require carefully designed clinical trials that address differences in physiology and metabolism between species. Ultimately, such efforts will clarify the roles of plant-derived nootropics in preventing and managing neurodegenerative diseases, paving the way for natural therapeutic strategies to promote cognitive health </w:t>
      </w:r>
      <w:r w:rsidR="00CF216A" w:rsidRPr="00F71F57">
        <w:rPr>
          <w:rFonts w:asciiTheme="majorBidi" w:hAnsiTheme="majorBidi" w:cstheme="majorBidi"/>
          <w:sz w:val="24"/>
          <w:szCs w:val="24"/>
          <w:lang w:val="en-GB" w:bidi="fa-IR"/>
        </w:rPr>
        <w:fldChar w:fldCharType="begin"/>
      </w:r>
      <w:r w:rsidR="00CF216A" w:rsidRPr="00F71F57">
        <w:rPr>
          <w:rFonts w:asciiTheme="majorBidi" w:hAnsiTheme="majorBidi" w:cstheme="majorBidi"/>
          <w:sz w:val="24"/>
          <w:szCs w:val="24"/>
          <w:lang w:val="en-GB" w:bidi="fa-IR"/>
        </w:rPr>
        <w:instrText xml:space="preserve"> ADDIN EN.CITE &lt;EndNote&gt;&lt;Cite&gt;&lt;Author&gt;Penney&lt;/Author&gt;&lt;Year&gt;2019&lt;/Year&gt;&lt;RecNum&gt;248&lt;/RecNum&gt;&lt;DisplayText&gt;(Penney et al., 2019; Tang et al., 2017)&lt;/DisplayText&gt;&lt;record&gt;&lt;rec-number&gt;248&lt;/rec-number&gt;&lt;foreign-keys&gt;&lt;key app="EN" db-id="2ptrtps0adr9vke22dn5tpwzrsfaxtxrfwet" timestamp="1755783004"&gt;248&lt;/key&gt;&lt;/foreign-keys&gt;&lt;ref-type name="Journal Article"&gt;17&lt;/ref-type&gt;&lt;contributors&gt;&lt;authors&gt;&lt;author&gt;Penney, Jay&lt;/author&gt;&lt;author&gt;Ralvenius, William T.&lt;/author&gt;&lt;author&gt;Tsai, Li‐Huei&lt;/author&gt;&lt;/authors&gt;&lt;/contributors&gt;&lt;titles&gt;&lt;title&gt;Modeling Alzheimer’s Disease With iPSC-derived Brain Cells&lt;/title&gt;&lt;secondary-title&gt;Molecular Psychiatry&lt;/secondary-title&gt;&lt;/titles&gt;&lt;periodical&gt;&lt;full-title&gt;Molecular Psychiatry&lt;/full-title&gt;&lt;/periodical&gt;&lt;pages&gt;148-167&lt;/pages&gt;&lt;volume&gt;25&lt;/volume&gt;&lt;number&gt;1&lt;/number&gt;&lt;dates&gt;&lt;year&gt;2019&lt;/year&gt;&lt;/dates&gt;&lt;urls&gt;&lt;/urls&gt;&lt;electronic-resource-num&gt;10.1038/s41380-019-0468-3&lt;/electronic-resource-num&gt;&lt;/record&gt;&lt;/Cite&gt;&lt;Cite&gt;&lt;Author&gt;Tang&lt;/Author&gt;&lt;Year&gt;2017&lt;/Year&gt;&lt;RecNum&gt;249&lt;/RecNum&gt;&lt;record&gt;&lt;rec-number&gt;249&lt;/rec-number&gt;&lt;foreign-keys&gt;&lt;key app="EN" db-id="2ptrtps0adr9vke22dn5tpwzrsfaxtxrfwet" timestamp="1755783020"&gt;249&lt;/key&gt;&lt;/foreign-keys&gt;&lt;ref-type name="Journal Article"&gt;17&lt;/ref-type&gt;&lt;contributors&gt;&lt;authors&gt;&lt;author&gt;Tang, Yu&lt;/author&gt;&lt;author&gt;Liu, Meng-Lu&lt;/author&gt;&lt;author&gt;Zang, Tong&lt;/author&gt;&lt;author&gt;Zhang, Chun‐Li&lt;/author&gt;&lt;/authors&gt;&lt;/contributors&gt;&lt;titles&gt;&lt;title&gt;Direct Reprogramming Rather Than iPSC-Based Reprogramming Maintains Aging Hallmarks in Human Motor Neurons&lt;/title&gt;&lt;secondary-title&gt;Frontiers in Molecular Neuroscience&lt;/secondary-title&gt;&lt;/titles&gt;&lt;periodical&gt;&lt;full-title&gt;Frontiers in Molecular Neuroscience&lt;/full-title&gt;&lt;/periodical&gt;&lt;volume&gt;10&lt;/volume&gt;&lt;dates&gt;&lt;year&gt;2017&lt;/year&gt;&lt;/dates&gt;&lt;urls&gt;&lt;/urls&gt;&lt;electronic-resource-num&gt;10.3389/fnmol.2017.00359&lt;/electronic-resource-num&gt;&lt;/record&gt;&lt;/Cite&gt;&lt;/EndNote&gt;</w:instrText>
      </w:r>
      <w:r w:rsidR="00CF216A" w:rsidRPr="00F71F57">
        <w:rPr>
          <w:rFonts w:asciiTheme="majorBidi" w:hAnsiTheme="majorBidi" w:cstheme="majorBidi"/>
          <w:sz w:val="24"/>
          <w:szCs w:val="24"/>
          <w:lang w:val="en-GB" w:bidi="fa-IR"/>
        </w:rPr>
        <w:fldChar w:fldCharType="separate"/>
      </w:r>
      <w:r w:rsidR="00CF216A" w:rsidRPr="00F71F57">
        <w:rPr>
          <w:rFonts w:asciiTheme="majorBidi" w:hAnsiTheme="majorBidi" w:cstheme="majorBidi"/>
          <w:sz w:val="24"/>
          <w:szCs w:val="24"/>
          <w:lang w:val="en-GB" w:bidi="fa-IR"/>
        </w:rPr>
        <w:t>(</w:t>
      </w:r>
      <w:hyperlink w:anchor="_ENREF_181" w:tooltip="Penney, 2019 #248" w:history="1">
        <w:r w:rsidR="00DE113E" w:rsidRPr="00F71F57">
          <w:rPr>
            <w:rFonts w:asciiTheme="majorBidi" w:hAnsiTheme="majorBidi" w:cstheme="majorBidi"/>
            <w:sz w:val="24"/>
            <w:szCs w:val="24"/>
            <w:lang w:val="en-GB" w:bidi="fa-IR"/>
          </w:rPr>
          <w:t>Penney et al., 2019</w:t>
        </w:r>
      </w:hyperlink>
      <w:r w:rsidR="00CF216A" w:rsidRPr="00F71F57">
        <w:rPr>
          <w:rFonts w:asciiTheme="majorBidi" w:hAnsiTheme="majorBidi" w:cstheme="majorBidi"/>
          <w:sz w:val="24"/>
          <w:szCs w:val="24"/>
          <w:lang w:val="en-GB" w:bidi="fa-IR"/>
        </w:rPr>
        <w:t xml:space="preserve">; </w:t>
      </w:r>
      <w:hyperlink w:anchor="_ENREF_243" w:tooltip="Tang, 2017 #249" w:history="1">
        <w:r w:rsidR="00DE113E" w:rsidRPr="00F71F57">
          <w:rPr>
            <w:rFonts w:asciiTheme="majorBidi" w:hAnsiTheme="majorBidi" w:cstheme="majorBidi"/>
            <w:sz w:val="24"/>
            <w:szCs w:val="24"/>
            <w:lang w:val="en-GB" w:bidi="fa-IR"/>
          </w:rPr>
          <w:t>Tang et al., 2017</w:t>
        </w:r>
      </w:hyperlink>
      <w:r w:rsidR="00CF216A" w:rsidRPr="00F71F57">
        <w:rPr>
          <w:rFonts w:asciiTheme="majorBidi" w:hAnsiTheme="majorBidi" w:cstheme="majorBidi"/>
          <w:sz w:val="24"/>
          <w:szCs w:val="24"/>
          <w:lang w:val="en-GB" w:bidi="fa-IR"/>
        </w:rPr>
        <w:t>)</w:t>
      </w:r>
      <w:r w:rsidR="00CF216A" w:rsidRPr="00F71F57">
        <w:rPr>
          <w:rFonts w:asciiTheme="majorBidi" w:hAnsiTheme="majorBidi" w:cstheme="majorBidi"/>
          <w:sz w:val="24"/>
          <w:szCs w:val="24"/>
          <w:lang w:val="en-GB" w:bidi="fa-IR"/>
        </w:rPr>
        <w:fldChar w:fldCharType="end"/>
      </w:r>
      <w:r w:rsidR="00CF216A" w:rsidRPr="00F71F57">
        <w:rPr>
          <w:rFonts w:asciiTheme="majorBidi" w:hAnsiTheme="majorBidi" w:cstheme="majorBidi"/>
          <w:sz w:val="24"/>
          <w:szCs w:val="24"/>
          <w:lang w:val="en-GB" w:bidi="fa-IR"/>
        </w:rPr>
        <w:t>.</w:t>
      </w:r>
    </w:p>
    <w:p w14:paraId="7D51CAE0" w14:textId="77777777" w:rsidR="00FC5AA4" w:rsidRPr="00F71F57" w:rsidRDefault="00FC5AA4" w:rsidP="008B540F">
      <w:pPr>
        <w:rPr>
          <w:rFonts w:asciiTheme="majorBidi" w:hAnsiTheme="majorBidi" w:cstheme="majorBidi"/>
          <w:sz w:val="24"/>
          <w:szCs w:val="24"/>
          <w:lang w:val="en-GB" w:bidi="fa-IR"/>
        </w:rPr>
      </w:pPr>
    </w:p>
    <w:p w14:paraId="5479F23F" w14:textId="614DE839" w:rsidR="00B3468F" w:rsidRPr="00F71F57" w:rsidRDefault="00B3468F" w:rsidP="00D623DE">
      <w:pPr>
        <w:pStyle w:val="Heading2"/>
        <w:ind w:left="1080"/>
        <w:rPr>
          <w:lang w:val="en-GB"/>
        </w:rPr>
      </w:pPr>
      <w:bookmarkStart w:id="37" w:name="_Toc214875844"/>
      <w:r w:rsidRPr="00F71F57">
        <w:rPr>
          <w:lang w:val="en-GB"/>
        </w:rPr>
        <w:t>1.</w:t>
      </w:r>
      <w:r w:rsidR="00E44F6D" w:rsidRPr="00F71F57">
        <w:rPr>
          <w:lang w:val="en-GB"/>
        </w:rPr>
        <w:t>4</w:t>
      </w:r>
      <w:r w:rsidRPr="00F71F57">
        <w:rPr>
          <w:lang w:val="en-GB"/>
        </w:rPr>
        <w:t xml:space="preserve"> Problem Statement</w:t>
      </w:r>
      <w:bookmarkEnd w:id="37"/>
    </w:p>
    <w:p w14:paraId="194D47DA" w14:textId="77777777" w:rsidR="003A416F" w:rsidRPr="00F71F57" w:rsidRDefault="003A416F" w:rsidP="008B540F">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Although progress has been made in neurocognitive research, current preclinical and clinical studies still encounter important limitations, such as methodological inconsistencies, heterogeneous outcome measures, and restricted translational relevance from animal models to humans. In the present phase, our work has been focused on establishing </w:t>
      </w:r>
      <w:r w:rsidRPr="00F71F57">
        <w:rPr>
          <w:rFonts w:asciiTheme="majorBidi" w:hAnsiTheme="majorBidi" w:cstheme="majorBidi"/>
          <w:sz w:val="24"/>
          <w:szCs w:val="24"/>
          <w:lang w:val="en-GB"/>
        </w:rPr>
        <w:lastRenderedPageBreak/>
        <w:t>and validating the control conditions, which represent a critical prerequisite for ensuring the reliability of subsequent experimental outcomes. However, substantial gaps remain in understanding how plant-derived compounds influence cognitive functions. Following the successful validation of these preliminary steps, future investigations will aim to explore the efficacy and safety of medicinal plant extracts in enhancing memory, attention, and learning.</w:t>
      </w:r>
    </w:p>
    <w:p w14:paraId="5CF3E694" w14:textId="77777777" w:rsidR="00F71427" w:rsidRPr="00F71F57" w:rsidRDefault="00F71427" w:rsidP="00B3468F">
      <w:pPr>
        <w:ind w:left="1080"/>
        <w:rPr>
          <w:rFonts w:asciiTheme="majorBidi" w:hAnsiTheme="majorBidi" w:cstheme="majorBidi"/>
          <w:sz w:val="24"/>
          <w:szCs w:val="24"/>
          <w:rtl/>
          <w:lang w:val="en-GB"/>
        </w:rPr>
      </w:pPr>
    </w:p>
    <w:p w14:paraId="6C0CB1A9" w14:textId="2FC0FA40" w:rsidR="00B3468F" w:rsidRPr="00F71F57" w:rsidRDefault="00B3468F" w:rsidP="00D623DE">
      <w:pPr>
        <w:pStyle w:val="Heading2"/>
        <w:ind w:left="1080"/>
        <w:rPr>
          <w:lang w:val="en-GB"/>
        </w:rPr>
      </w:pPr>
      <w:bookmarkStart w:id="38" w:name="_Toc214875845"/>
      <w:r w:rsidRPr="00F71F57">
        <w:rPr>
          <w:lang w:val="en-GB"/>
        </w:rPr>
        <w:t>1.</w:t>
      </w:r>
      <w:r w:rsidR="00E44F6D" w:rsidRPr="00F71F57">
        <w:rPr>
          <w:lang w:val="en-GB"/>
        </w:rPr>
        <w:t>5</w:t>
      </w:r>
      <w:r w:rsidRPr="00F71F57">
        <w:rPr>
          <w:lang w:val="en-GB"/>
        </w:rPr>
        <w:t xml:space="preserve"> Research Objectives and Questions</w:t>
      </w:r>
      <w:bookmarkEnd w:id="38"/>
    </w:p>
    <w:p w14:paraId="3E0888B2" w14:textId="77777777" w:rsidR="00B3468F" w:rsidRPr="00F71F57" w:rsidRDefault="00B3468F" w:rsidP="00B3468F">
      <w:pPr>
        <w:ind w:left="1080"/>
        <w:rPr>
          <w:rFonts w:asciiTheme="majorBidi" w:hAnsiTheme="majorBidi" w:cstheme="majorBidi"/>
          <w:b/>
          <w:bCs/>
          <w:sz w:val="24"/>
          <w:szCs w:val="24"/>
          <w:lang w:val="en-GB"/>
        </w:rPr>
      </w:pPr>
      <w:r w:rsidRPr="00F71F57">
        <w:rPr>
          <w:rFonts w:asciiTheme="majorBidi" w:hAnsiTheme="majorBidi" w:cstheme="majorBidi"/>
          <w:b/>
          <w:bCs/>
          <w:sz w:val="24"/>
          <w:szCs w:val="24"/>
          <w:lang w:val="en-GB"/>
        </w:rPr>
        <w:t>Main Objective</w:t>
      </w:r>
    </w:p>
    <w:p w14:paraId="5A2CE6F1" w14:textId="20DD0E51" w:rsidR="00D04D1D" w:rsidRDefault="00A7712D" w:rsidP="00D623DE">
      <w:pPr>
        <w:spacing w:line="360" w:lineRule="auto"/>
        <w:ind w:left="1080"/>
        <w:rPr>
          <w:rFonts w:asciiTheme="majorBidi" w:hAnsiTheme="majorBidi" w:cstheme="majorBidi"/>
          <w:b/>
          <w:bCs/>
          <w:sz w:val="24"/>
          <w:szCs w:val="24"/>
          <w:lang w:val="en-GB"/>
        </w:rPr>
      </w:pPr>
      <w:r w:rsidRPr="00F71F57">
        <w:rPr>
          <w:rFonts w:asciiTheme="majorBidi" w:hAnsiTheme="majorBidi" w:cstheme="majorBidi"/>
          <w:sz w:val="24"/>
          <w:szCs w:val="24"/>
          <w:lang w:val="en-GB"/>
        </w:rPr>
        <w:t>To establish and validate a touchscreen-based cognitive testing system in C57BL/6 mice by evaluating baseline performance across multiple cognitive domains.</w:t>
      </w:r>
    </w:p>
    <w:p w14:paraId="33309BE6" w14:textId="0D56E8C8" w:rsidR="00B3468F" w:rsidRPr="00F71F57" w:rsidRDefault="00B3468F" w:rsidP="00076D66">
      <w:pPr>
        <w:ind w:left="1080"/>
        <w:jc w:val="both"/>
        <w:rPr>
          <w:rFonts w:asciiTheme="majorBidi" w:hAnsiTheme="majorBidi" w:cstheme="majorBidi"/>
          <w:b/>
          <w:bCs/>
          <w:sz w:val="24"/>
          <w:szCs w:val="24"/>
          <w:lang w:val="en-GB"/>
        </w:rPr>
      </w:pPr>
      <w:r w:rsidRPr="00F71F57">
        <w:rPr>
          <w:rFonts w:asciiTheme="majorBidi" w:hAnsiTheme="majorBidi" w:cstheme="majorBidi"/>
          <w:b/>
          <w:bCs/>
          <w:sz w:val="24"/>
          <w:szCs w:val="24"/>
          <w:lang w:val="en-GB"/>
        </w:rPr>
        <w:t>Specific Research Questions</w:t>
      </w:r>
    </w:p>
    <w:p w14:paraId="6AD99F7E" w14:textId="56424FC2" w:rsidR="00B3468F" w:rsidRPr="00F71F57" w:rsidRDefault="00B3468F" w:rsidP="00076D66">
      <w:pPr>
        <w:spacing w:line="360" w:lineRule="auto"/>
        <w:ind w:left="1080"/>
        <w:jc w:val="both"/>
        <w:rPr>
          <w:rFonts w:asciiTheme="majorBidi" w:hAnsiTheme="majorBidi" w:cstheme="majorBidi"/>
          <w:sz w:val="24"/>
          <w:szCs w:val="24"/>
          <w:rtl/>
          <w:lang w:val="en-GB"/>
        </w:rPr>
      </w:pPr>
      <w:r w:rsidRPr="00F71F57">
        <w:rPr>
          <w:rFonts w:asciiTheme="majorBidi" w:hAnsiTheme="majorBidi" w:cstheme="majorBidi"/>
          <w:sz w:val="24"/>
          <w:szCs w:val="24"/>
          <w:lang w:val="en-GB"/>
        </w:rPr>
        <w:t xml:space="preserve">1. </w:t>
      </w:r>
      <w:r w:rsidR="004C7CAE" w:rsidRPr="00F71F57">
        <w:rPr>
          <w:rFonts w:asciiTheme="majorBidi" w:hAnsiTheme="majorBidi" w:cstheme="majorBidi"/>
          <w:sz w:val="24"/>
          <w:szCs w:val="24"/>
          <w:lang w:val="en-GB"/>
        </w:rPr>
        <w:t>Can a functional touchscreen-based cognitive testing system be successfully implemented and validated in our laboratory setting using C57BL/6 mice?</w:t>
      </w:r>
    </w:p>
    <w:p w14:paraId="48FAA250" w14:textId="14B4CEF4" w:rsidR="00825C9E" w:rsidRPr="00F71F57" w:rsidRDefault="00825C9E"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rtl/>
          <w:lang w:val="en-GB"/>
        </w:rPr>
        <w:t>2</w:t>
      </w:r>
      <w:r w:rsidRPr="00F71F57">
        <w:rPr>
          <w:rFonts w:asciiTheme="majorBidi" w:hAnsiTheme="majorBidi" w:cstheme="majorBidi"/>
          <w:sz w:val="24"/>
          <w:szCs w:val="24"/>
          <w:lang w:val="en-GB"/>
        </w:rPr>
        <w:t>. Do mice in the control condition (without pharmacological or botanical interventions) show stable and reliable performance across different cognitive domains (learning, memory, attention, executive function, and decision-making) in touchscreen-based tasks?</w:t>
      </w:r>
    </w:p>
    <w:p w14:paraId="396D42E2" w14:textId="6AFCB34B" w:rsidR="00B3468F" w:rsidRDefault="00825C9E" w:rsidP="00076D66">
      <w:pPr>
        <w:spacing w:line="360" w:lineRule="auto"/>
        <w:ind w:left="1080"/>
        <w:jc w:val="both"/>
        <w:rPr>
          <w:rFonts w:asciiTheme="majorBidi" w:hAnsiTheme="majorBidi" w:cstheme="majorBidi"/>
          <w:sz w:val="24"/>
          <w:szCs w:val="24"/>
          <w:rtl/>
          <w:lang w:val="en-GB"/>
        </w:rPr>
      </w:pPr>
      <w:r w:rsidRPr="00F71F57">
        <w:rPr>
          <w:rFonts w:asciiTheme="majorBidi" w:hAnsiTheme="majorBidi" w:cstheme="majorBidi"/>
          <w:sz w:val="24"/>
          <w:szCs w:val="24"/>
          <w:rtl/>
          <w:lang w:val="en-GB"/>
        </w:rPr>
        <w:t>3</w:t>
      </w:r>
      <w:r w:rsidR="00B3468F" w:rsidRPr="00F71F57">
        <w:rPr>
          <w:rFonts w:asciiTheme="majorBidi" w:hAnsiTheme="majorBidi" w:cstheme="majorBidi"/>
          <w:sz w:val="24"/>
          <w:szCs w:val="24"/>
          <w:lang w:val="en-GB"/>
        </w:rPr>
        <w:t>. How do various plant extracts influence cognitive domains such as learning, memory, and attention in mice?</w:t>
      </w:r>
    </w:p>
    <w:p w14:paraId="7B773BFA" w14:textId="77777777" w:rsidR="00076D66" w:rsidRPr="00F71F57" w:rsidRDefault="00076D66" w:rsidP="00076D66">
      <w:pPr>
        <w:spacing w:line="360" w:lineRule="auto"/>
        <w:ind w:left="1080"/>
        <w:rPr>
          <w:rFonts w:asciiTheme="majorBidi" w:hAnsiTheme="majorBidi" w:cstheme="majorBidi"/>
          <w:sz w:val="24"/>
          <w:szCs w:val="24"/>
          <w:lang w:val="en-GB"/>
        </w:rPr>
      </w:pPr>
    </w:p>
    <w:p w14:paraId="66131C09" w14:textId="4A05BB1E" w:rsidR="00B3468F" w:rsidRPr="00F71F57" w:rsidRDefault="00B3468F" w:rsidP="00D623DE">
      <w:pPr>
        <w:pStyle w:val="Heading2"/>
        <w:ind w:left="1080"/>
        <w:rPr>
          <w:lang w:val="en-GB"/>
        </w:rPr>
      </w:pPr>
      <w:bookmarkStart w:id="39" w:name="_Toc214875846"/>
      <w:r w:rsidRPr="00F71F57">
        <w:rPr>
          <w:lang w:val="en-GB"/>
        </w:rPr>
        <w:t>1.</w:t>
      </w:r>
      <w:r w:rsidR="00E44F6D" w:rsidRPr="00F71F57">
        <w:rPr>
          <w:lang w:val="en-GB"/>
        </w:rPr>
        <w:t>6</w:t>
      </w:r>
      <w:r w:rsidRPr="00F71F57">
        <w:rPr>
          <w:lang w:val="en-GB"/>
        </w:rPr>
        <w:t xml:space="preserve"> Research Hypotheses</w:t>
      </w:r>
      <w:bookmarkEnd w:id="39"/>
    </w:p>
    <w:p w14:paraId="06276EFF" w14:textId="20EB1FF5" w:rsidR="00B3468F" w:rsidRPr="00F71F57" w:rsidRDefault="00B3468F"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1. </w:t>
      </w:r>
      <w:r w:rsidR="00825C9E" w:rsidRPr="00F71F57">
        <w:rPr>
          <w:rFonts w:asciiTheme="majorBidi" w:hAnsiTheme="majorBidi" w:cstheme="majorBidi"/>
          <w:sz w:val="24"/>
          <w:szCs w:val="24"/>
          <w:lang w:val="en-GB"/>
        </w:rPr>
        <w:t>A standardized touchscreen-based cognitive testing system can be reliably established and implemented in our laboratory, producing results consistent with existing literature.</w:t>
      </w:r>
    </w:p>
    <w:p w14:paraId="6AD5EB48" w14:textId="77777777" w:rsidR="00825C9E" w:rsidRDefault="00B3468F"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lastRenderedPageBreak/>
        <w:t xml:space="preserve">2. </w:t>
      </w:r>
      <w:r w:rsidR="00825C9E" w:rsidRPr="00F71F57">
        <w:rPr>
          <w:rFonts w:asciiTheme="majorBidi" w:hAnsiTheme="majorBidi" w:cstheme="majorBidi"/>
          <w:sz w:val="24"/>
          <w:szCs w:val="24"/>
          <w:lang w:val="en-GB"/>
        </w:rPr>
        <w:t>Control mice will demonstrate stable baseline performance patterns across multiple cognitive domains, thereby validating the translational value of the experimental platform for future intervention studies.</w:t>
      </w:r>
    </w:p>
    <w:p w14:paraId="6B64CE92" w14:textId="77777777" w:rsidR="00CD6C40" w:rsidRDefault="00CD6C40" w:rsidP="00D623DE">
      <w:pPr>
        <w:jc w:val="both"/>
        <w:rPr>
          <w:rFonts w:asciiTheme="majorBidi" w:hAnsiTheme="majorBidi" w:cstheme="majorBidi"/>
          <w:b/>
          <w:bCs/>
          <w:sz w:val="24"/>
          <w:szCs w:val="24"/>
          <w:lang w:val="en-GB"/>
        </w:rPr>
      </w:pPr>
    </w:p>
    <w:p w14:paraId="0C6F92CA" w14:textId="40DCA2F8" w:rsidR="00B3468F" w:rsidRPr="006D7EB8" w:rsidRDefault="00B3468F" w:rsidP="00D623DE">
      <w:pPr>
        <w:pStyle w:val="Heading2"/>
        <w:ind w:left="1080"/>
        <w:rPr>
          <w:rtl/>
          <w:lang w:val="en-GB"/>
        </w:rPr>
      </w:pPr>
      <w:bookmarkStart w:id="40" w:name="_Toc214875847"/>
      <w:r w:rsidRPr="006D7EB8">
        <w:rPr>
          <w:lang w:val="en-GB"/>
        </w:rPr>
        <w:t>1.</w:t>
      </w:r>
      <w:r w:rsidR="00E44F6D" w:rsidRPr="006D7EB8">
        <w:rPr>
          <w:lang w:val="en-GB"/>
        </w:rPr>
        <w:t>7</w:t>
      </w:r>
      <w:r w:rsidRPr="006D7EB8">
        <w:rPr>
          <w:lang w:val="en-GB"/>
        </w:rPr>
        <w:t xml:space="preserve"> Methodological Approach</w:t>
      </w:r>
      <w:bookmarkEnd w:id="40"/>
    </w:p>
    <w:p w14:paraId="01E58DA4" w14:textId="4B462C28" w:rsidR="006D7EB8" w:rsidRPr="006D7EB8" w:rsidRDefault="006D7EB8" w:rsidP="006D7EB8">
      <w:pPr>
        <w:spacing w:line="360" w:lineRule="auto"/>
        <w:ind w:left="1080"/>
        <w:jc w:val="both"/>
        <w:rPr>
          <w:rFonts w:asciiTheme="majorBidi" w:hAnsiTheme="majorBidi" w:cstheme="majorBidi"/>
          <w:b/>
          <w:bCs/>
          <w:sz w:val="24"/>
          <w:szCs w:val="24"/>
        </w:rPr>
      </w:pPr>
      <w:r w:rsidRPr="006D7EB8">
        <w:rPr>
          <w:rFonts w:asciiTheme="majorBidi" w:hAnsiTheme="majorBidi" w:cstheme="majorBidi"/>
          <w:sz w:val="24"/>
          <w:szCs w:val="24"/>
        </w:rPr>
        <w:t>The methodological approach of the present study was planned in two phases. The first phase (baseline phase) involved the assessment of naïve</w:t>
      </w:r>
      <w:r w:rsidR="00D10213">
        <w:rPr>
          <w:rFonts w:asciiTheme="majorBidi" w:hAnsiTheme="majorBidi" w:cstheme="majorBidi"/>
          <w:sz w:val="24"/>
          <w:szCs w:val="24"/>
        </w:rPr>
        <w:t xml:space="preserve"> male</w:t>
      </w:r>
      <w:r w:rsidRPr="006D7EB8">
        <w:rPr>
          <w:rFonts w:asciiTheme="majorBidi" w:hAnsiTheme="majorBidi" w:cstheme="majorBidi"/>
          <w:sz w:val="24"/>
          <w:szCs w:val="24"/>
        </w:rPr>
        <w:t xml:space="preserve"> C57BL/6 mice across six standardized touchscreen-based cognitive tasks (PVD, PAL, 5-CSRTT, TUNL, rCPT, and 4-CGT). This phase was successfully conducted to establish normative performance profiles and validate the translational behavioral platform. A second phase (plant extract testing phase) was originally planned, in which separate cohorts of mice would be treated with selected plant-derived compounds to evaluate their cognitive effects using the same tasks. However, due to practical constraints, this phase could not be completed within the timeframe of the doctoral project</w:t>
      </w:r>
      <w:r w:rsidRPr="006D7EB8">
        <w:rPr>
          <w:rFonts w:asciiTheme="majorBidi" w:hAnsiTheme="majorBidi" w:cstheme="majorBidi"/>
          <w:b/>
          <w:bCs/>
          <w:sz w:val="24"/>
          <w:szCs w:val="24"/>
        </w:rPr>
        <w:t xml:space="preserve"> </w:t>
      </w:r>
      <w:r w:rsidRPr="006D7EB8">
        <w:rPr>
          <w:rFonts w:asciiTheme="majorBidi" w:hAnsiTheme="majorBidi" w:cstheme="majorBidi"/>
          <w:sz w:val="24"/>
          <w:szCs w:val="24"/>
        </w:rPr>
        <w:t>and is therefore considered as a direction for future studies.</w:t>
      </w:r>
    </w:p>
    <w:p w14:paraId="38C9DC6F" w14:textId="77777777" w:rsidR="006D7EB8" w:rsidRPr="006D7EB8" w:rsidRDefault="006D7EB8" w:rsidP="00076D66">
      <w:pPr>
        <w:ind w:left="1080"/>
        <w:jc w:val="both"/>
        <w:rPr>
          <w:rFonts w:asciiTheme="majorBidi" w:hAnsiTheme="majorBidi" w:cstheme="majorBidi"/>
          <w:b/>
          <w:bCs/>
          <w:sz w:val="24"/>
          <w:szCs w:val="24"/>
        </w:rPr>
      </w:pPr>
    </w:p>
    <w:p w14:paraId="6909BA22" w14:textId="1A1BE4FE" w:rsidR="00B3468F" w:rsidRPr="00F71F57" w:rsidRDefault="00E44F6D" w:rsidP="00D623DE">
      <w:pPr>
        <w:pStyle w:val="Heading2"/>
        <w:ind w:left="1080"/>
        <w:rPr>
          <w:lang w:val="en-GB"/>
        </w:rPr>
      </w:pPr>
      <w:bookmarkStart w:id="41" w:name="_Toc214875848"/>
      <w:r w:rsidRPr="00F71F57">
        <w:rPr>
          <w:lang w:val="en-GB"/>
        </w:rPr>
        <w:t>1.8</w:t>
      </w:r>
      <w:r w:rsidR="00B3468F" w:rsidRPr="00F71F57">
        <w:rPr>
          <w:lang w:val="en-GB"/>
        </w:rPr>
        <w:t xml:space="preserve"> Knowledge Gaps and Limitations</w:t>
      </w:r>
      <w:bookmarkEnd w:id="41"/>
    </w:p>
    <w:p w14:paraId="4B867591" w14:textId="1C61BADB" w:rsidR="00D623DE" w:rsidRPr="0064029B" w:rsidRDefault="006D7EB8" w:rsidP="0064029B">
      <w:pPr>
        <w:spacing w:line="360" w:lineRule="auto"/>
        <w:ind w:left="1080"/>
        <w:jc w:val="both"/>
        <w:rPr>
          <w:rFonts w:asciiTheme="majorBidi" w:hAnsiTheme="majorBidi" w:cstheme="majorBidi"/>
          <w:sz w:val="24"/>
          <w:szCs w:val="24"/>
        </w:rPr>
      </w:pPr>
      <w:r w:rsidRPr="006D7EB8">
        <w:rPr>
          <w:rFonts w:asciiTheme="majorBidi" w:hAnsiTheme="majorBidi" w:cstheme="majorBidi"/>
          <w:sz w:val="24"/>
          <w:szCs w:val="24"/>
        </w:rPr>
        <w:t>One of the main limitations of the current thesis is that only the baseline phase of the experimental design was implemented. The planned second phase, involving the testing of plant-derived compounds, could not be carried out due to time constraints. While this restricted the scope of the present findings to baseline cognitive performance, it provides a solid foundation for future research in which the effects of plant extracts on cognition can be systematically investigated using the validated behavioral platform.</w:t>
      </w:r>
    </w:p>
    <w:p w14:paraId="029AAC27" w14:textId="3A8C9DFD" w:rsidR="00DF68EE" w:rsidRPr="00F71F57" w:rsidRDefault="00DF68EE" w:rsidP="00D623DE">
      <w:pPr>
        <w:pStyle w:val="Heading1"/>
        <w:ind w:left="1080"/>
        <w:rPr>
          <w:lang w:val="en-GB"/>
        </w:rPr>
      </w:pPr>
      <w:bookmarkStart w:id="42" w:name="_Toc214875849"/>
      <w:r w:rsidRPr="00F71F57">
        <w:rPr>
          <w:lang w:val="en-GB"/>
        </w:rPr>
        <w:t xml:space="preserve">Chapter </w:t>
      </w:r>
      <w:r w:rsidR="00E44F6D" w:rsidRPr="00F71F57">
        <w:rPr>
          <w:lang w:val="en-GB"/>
        </w:rPr>
        <w:t>2</w:t>
      </w:r>
      <w:r w:rsidRPr="00F71F57">
        <w:rPr>
          <w:lang w:val="en-GB"/>
        </w:rPr>
        <w:t>: Methodology</w:t>
      </w:r>
      <w:bookmarkEnd w:id="42"/>
    </w:p>
    <w:p w14:paraId="1DDB55D2" w14:textId="6E414AFE" w:rsidR="000B36F1" w:rsidRDefault="00E44F6D" w:rsidP="00D623DE">
      <w:pPr>
        <w:pStyle w:val="Heading2"/>
        <w:ind w:left="1080"/>
        <w:rPr>
          <w:lang w:val="en-GB"/>
        </w:rPr>
      </w:pPr>
      <w:bookmarkStart w:id="43" w:name="_Toc214875850"/>
      <w:r w:rsidRPr="00F71F57">
        <w:rPr>
          <w:lang w:val="en-GB"/>
        </w:rPr>
        <w:t>2</w:t>
      </w:r>
      <w:r w:rsidR="000B36F1" w:rsidRPr="00F71F57">
        <w:rPr>
          <w:lang w:val="en-GB"/>
        </w:rPr>
        <w:t>.</w:t>
      </w:r>
      <w:r w:rsidRPr="00F71F57">
        <w:rPr>
          <w:lang w:val="en-GB"/>
        </w:rPr>
        <w:t>1</w:t>
      </w:r>
      <w:r w:rsidR="000B36F1" w:rsidRPr="00F71F57">
        <w:rPr>
          <w:lang w:val="en-GB"/>
        </w:rPr>
        <w:t xml:space="preserve"> Animal Model and Ethical Considerations</w:t>
      </w:r>
      <w:bookmarkEnd w:id="43"/>
      <w:r w:rsidR="000B36F1" w:rsidRPr="00F71F57">
        <w:rPr>
          <w:lang w:val="en-GB"/>
        </w:rPr>
        <w:t xml:space="preserve"> </w:t>
      </w:r>
    </w:p>
    <w:p w14:paraId="31EE956B" w14:textId="5C5CB4A5" w:rsidR="001368E9" w:rsidRPr="001368E9" w:rsidRDefault="001368E9" w:rsidP="006D7EB8">
      <w:pPr>
        <w:spacing w:line="360" w:lineRule="auto"/>
        <w:ind w:left="1080"/>
        <w:jc w:val="both"/>
        <w:rPr>
          <w:rFonts w:asciiTheme="majorBidi" w:hAnsiTheme="majorBidi" w:cstheme="majorBidi"/>
          <w:sz w:val="24"/>
          <w:szCs w:val="24"/>
        </w:rPr>
      </w:pPr>
      <w:r w:rsidRPr="001368E9">
        <w:rPr>
          <w:rFonts w:asciiTheme="majorBidi" w:hAnsiTheme="majorBidi" w:cstheme="majorBidi"/>
          <w:sz w:val="24"/>
          <w:szCs w:val="24"/>
        </w:rPr>
        <w:t>In total, 84 na</w:t>
      </w:r>
      <w:r>
        <w:rPr>
          <w:rFonts w:asciiTheme="majorBidi" w:hAnsiTheme="majorBidi" w:cstheme="majorBidi"/>
          <w:sz w:val="24"/>
          <w:szCs w:val="24"/>
        </w:rPr>
        <w:t>i</w:t>
      </w:r>
      <w:r w:rsidRPr="001368E9">
        <w:rPr>
          <w:rFonts w:asciiTheme="majorBidi" w:hAnsiTheme="majorBidi" w:cstheme="majorBidi"/>
          <w:sz w:val="24"/>
          <w:szCs w:val="24"/>
        </w:rPr>
        <w:t xml:space="preserve">ve C57BL/6 mice were used in this study. For each of the six cognitive tasks (PVD, PAL, 5-CSRTT, TUNL, rCPT, and 4-CGT), </w:t>
      </w:r>
      <w:r w:rsidRPr="001368E9">
        <w:rPr>
          <w:rFonts w:asciiTheme="majorBidi" w:hAnsiTheme="majorBidi" w:cstheme="majorBidi"/>
          <w:sz w:val="24"/>
          <w:szCs w:val="24"/>
        </w:rPr>
        <w:lastRenderedPageBreak/>
        <w:t>a separate group of 14 mice was employed, ensuring that independent cohorts were tested in each paradigm.</w:t>
      </w:r>
    </w:p>
    <w:p w14:paraId="59E6E4FD" w14:textId="77777777" w:rsidR="001368E9" w:rsidRPr="001368E9" w:rsidRDefault="001368E9" w:rsidP="00D623DE">
      <w:pPr>
        <w:rPr>
          <w:rFonts w:asciiTheme="majorBidi" w:hAnsiTheme="majorBidi" w:cstheme="majorBidi"/>
          <w:sz w:val="24"/>
          <w:szCs w:val="24"/>
          <w:rtl/>
          <w:lang w:bidi="fa-IR"/>
        </w:rPr>
      </w:pPr>
    </w:p>
    <w:p w14:paraId="41BA4500" w14:textId="1BDD42DB" w:rsidR="00123B90" w:rsidRPr="00F71F57" w:rsidRDefault="00706140" w:rsidP="00D623DE">
      <w:pPr>
        <w:pStyle w:val="Heading3"/>
        <w:ind w:left="1080"/>
        <w:rPr>
          <w:lang w:val="en-GB"/>
        </w:rPr>
      </w:pPr>
      <w:bookmarkStart w:id="44" w:name="_Toc214875851"/>
      <w:r w:rsidRPr="00F71F57">
        <w:rPr>
          <w:lang w:val="en-GB"/>
        </w:rPr>
        <w:t xml:space="preserve">2.1.1 </w:t>
      </w:r>
      <w:r w:rsidR="00123B90" w:rsidRPr="00F71F57">
        <w:rPr>
          <w:lang w:val="en-GB"/>
        </w:rPr>
        <w:t>Animal housing and care</w:t>
      </w:r>
      <w:bookmarkEnd w:id="44"/>
    </w:p>
    <w:p w14:paraId="45F98DD9" w14:textId="7406CA64" w:rsidR="00123B90" w:rsidRPr="00076D66" w:rsidRDefault="00123B90" w:rsidP="000C4AF5">
      <w:pPr>
        <w:pStyle w:val="ListParagraph"/>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All experiments were conducted in compliance with the </w:t>
      </w:r>
      <w:r w:rsidR="0023309F">
        <w:rPr>
          <w:rFonts w:asciiTheme="majorBidi" w:hAnsiTheme="majorBidi" w:cstheme="majorBidi"/>
          <w:sz w:val="24"/>
          <w:szCs w:val="24"/>
          <w:lang w:val="en-GB"/>
        </w:rPr>
        <w:t>regulations</w:t>
      </w:r>
      <w:r w:rsidRPr="00F71F57">
        <w:rPr>
          <w:rFonts w:asciiTheme="majorBidi" w:hAnsiTheme="majorBidi" w:cstheme="majorBidi"/>
          <w:sz w:val="24"/>
          <w:szCs w:val="24"/>
          <w:lang w:val="en-GB"/>
        </w:rPr>
        <w:t xml:space="preserve"> set by</w:t>
      </w:r>
      <w:r w:rsidR="00423A4D" w:rsidRPr="00F71F57">
        <w:rPr>
          <w:rFonts w:asciiTheme="majorBidi" w:hAnsiTheme="majorBidi" w:cstheme="majorBidi"/>
          <w:sz w:val="24"/>
          <w:szCs w:val="24"/>
          <w:lang w:val="en-GB"/>
        </w:rPr>
        <w:t xml:space="preserve"> the</w:t>
      </w:r>
      <w:r w:rsidRPr="00F71F57">
        <w:rPr>
          <w:rFonts w:asciiTheme="majorBidi" w:hAnsiTheme="majorBidi" w:cstheme="majorBidi"/>
          <w:sz w:val="24"/>
          <w:szCs w:val="24"/>
          <w:lang w:val="en-GB"/>
        </w:rPr>
        <w:t xml:space="preserve"> Ministry of </w:t>
      </w:r>
      <w:r w:rsidR="0023309F">
        <w:rPr>
          <w:rFonts w:asciiTheme="majorBidi" w:hAnsiTheme="majorBidi" w:cstheme="majorBidi"/>
          <w:sz w:val="24"/>
          <w:szCs w:val="24"/>
          <w:lang w:val="en-GB"/>
        </w:rPr>
        <w:t>H</w:t>
      </w:r>
      <w:r w:rsidRPr="00F71F57">
        <w:rPr>
          <w:rFonts w:asciiTheme="majorBidi" w:hAnsiTheme="majorBidi" w:cstheme="majorBidi"/>
          <w:sz w:val="24"/>
          <w:szCs w:val="24"/>
          <w:lang w:val="en-GB"/>
        </w:rPr>
        <w:t>ealth of Italy. C57BI/6J mice (Envigo Company) arrived at 3 weeks old. Mice were separated and house in groups of 4/cage</w:t>
      </w:r>
      <w:r w:rsidR="000C4AF5">
        <w:rPr>
          <w:rFonts w:asciiTheme="majorBidi" w:hAnsiTheme="majorBidi" w:cstheme="majorBidi"/>
          <w:sz w:val="24"/>
          <w:szCs w:val="24"/>
          <w:lang w:val="en-GB"/>
        </w:rPr>
        <w:t xml:space="preserve"> (</w:t>
      </w:r>
      <w:r w:rsidR="000C4AF5" w:rsidRPr="000C4AF5">
        <w:rPr>
          <w:rFonts w:asciiTheme="majorBidi" w:hAnsiTheme="majorBidi" w:cstheme="majorBidi"/>
          <w:sz w:val="24"/>
          <w:szCs w:val="24"/>
        </w:rPr>
        <w:t>42 × 26 × 15 cm</w:t>
      </w:r>
      <w:r w:rsidR="000C4AF5">
        <w:rPr>
          <w:rFonts w:asciiTheme="majorBidi" w:hAnsiTheme="majorBidi" w:cstheme="majorBidi"/>
          <w:sz w:val="24"/>
          <w:szCs w:val="24"/>
          <w:lang w:val="en-GB"/>
        </w:rPr>
        <w:t>)</w:t>
      </w:r>
      <w:r w:rsidRPr="00F71F57">
        <w:rPr>
          <w:rFonts w:asciiTheme="majorBidi" w:hAnsiTheme="majorBidi" w:cstheme="majorBidi"/>
          <w:sz w:val="24"/>
          <w:szCs w:val="24"/>
          <w:lang w:val="en-GB"/>
        </w:rPr>
        <w:t xml:space="preserve"> in a temperature (23 ± 1°C) and humidity (50 ± 1%) controlled room under a reverse 12h light/dark cycle (lights off at 7:00).</w:t>
      </w:r>
      <w:r w:rsidR="00C62865"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Upon arrival, mice were acclimatized to their cages with ad libitum access to standard diet and taped water.</w:t>
      </w:r>
      <w:r w:rsidR="00076D66">
        <w:rPr>
          <w:rFonts w:asciiTheme="majorBidi" w:hAnsiTheme="majorBidi" w:cstheme="majorBidi" w:hint="cs"/>
          <w:sz w:val="24"/>
          <w:szCs w:val="24"/>
          <w:rtl/>
          <w:lang w:val="en-GB"/>
        </w:rPr>
        <w:t xml:space="preserve"> </w:t>
      </w:r>
      <w:r w:rsidRPr="00076D66">
        <w:rPr>
          <w:rFonts w:asciiTheme="majorBidi" w:hAnsiTheme="majorBidi" w:cstheme="majorBidi"/>
          <w:sz w:val="24"/>
          <w:szCs w:val="24"/>
          <w:lang w:val="en-GB"/>
        </w:rPr>
        <w:t xml:space="preserve">One week before the starting the experiment the animals were restricted to 85-90 % of their free-feeding weight prior to the start. Provide </w:t>
      </w:r>
      <w:r w:rsidR="00DC4692" w:rsidRPr="00076D66">
        <w:rPr>
          <w:rFonts w:asciiTheme="majorBidi" w:hAnsiTheme="majorBidi" w:cstheme="majorBidi"/>
          <w:sz w:val="24"/>
          <w:szCs w:val="24"/>
          <w:lang w:val="en-GB"/>
        </w:rPr>
        <w:t>strawberry milkshake</w:t>
      </w:r>
      <w:r w:rsidRPr="00076D66">
        <w:rPr>
          <w:rFonts w:asciiTheme="majorBidi" w:hAnsiTheme="majorBidi" w:cstheme="majorBidi"/>
          <w:sz w:val="24"/>
          <w:szCs w:val="24"/>
          <w:lang w:val="en-GB"/>
        </w:rPr>
        <w:t xml:space="preserve"> to the mice in their home cages for </w:t>
      </w:r>
      <w:r w:rsidR="00DC4692" w:rsidRPr="00076D66">
        <w:rPr>
          <w:rFonts w:asciiTheme="majorBidi" w:hAnsiTheme="majorBidi" w:cstheme="majorBidi"/>
          <w:sz w:val="24"/>
          <w:szCs w:val="24"/>
          <w:lang w:val="en-GB"/>
        </w:rPr>
        <w:t>2-3 days immediately prior to training.</w:t>
      </w:r>
    </w:p>
    <w:p w14:paraId="3BAD4341" w14:textId="6E27E3C6" w:rsidR="000B36F1" w:rsidRPr="00D623DE" w:rsidRDefault="00FD137A" w:rsidP="00D623DE">
      <w:pPr>
        <w:pStyle w:val="Heading3"/>
        <w:ind w:left="1080"/>
      </w:pPr>
      <w:bookmarkStart w:id="45" w:name="_Toc214875852"/>
      <w:r w:rsidRPr="00D623DE">
        <w:t>2.1.</w:t>
      </w:r>
      <w:r w:rsidR="00706140" w:rsidRPr="00D623DE">
        <w:t>2</w:t>
      </w:r>
      <w:r w:rsidRPr="00D623DE">
        <w:t xml:space="preserve"> </w:t>
      </w:r>
      <w:r w:rsidR="000B36F1" w:rsidRPr="00D623DE">
        <w:t>Justification for using animals (3Rs: Replacement, Reduction, Refinement)</w:t>
      </w:r>
      <w:bookmarkEnd w:id="45"/>
    </w:p>
    <w:p w14:paraId="35C7F8CC" w14:textId="2312220B" w:rsidR="00C477DB" w:rsidRPr="00F71F57" w:rsidRDefault="00C477DB"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As expressed in the Three Rs framework </w:t>
      </w:r>
      <w:r w:rsidR="005E6AC8" w:rsidRPr="00F71F57">
        <w:rPr>
          <w:rFonts w:asciiTheme="majorBidi" w:hAnsiTheme="majorBidi" w:cstheme="majorBidi"/>
          <w:sz w:val="24"/>
          <w:szCs w:val="24"/>
          <w:lang w:val="en-GB"/>
        </w:rPr>
        <w:t>(Replacement</w:t>
      </w:r>
      <w:r w:rsidRPr="00F71F57">
        <w:rPr>
          <w:rFonts w:asciiTheme="majorBidi" w:hAnsiTheme="majorBidi" w:cstheme="majorBidi"/>
          <w:sz w:val="24"/>
          <w:szCs w:val="24"/>
          <w:lang w:val="en-GB"/>
        </w:rPr>
        <w:t xml:space="preserve">, Reduction, and Refinement), the idea of Replacement stresses searching for substitute approaches to the conventional usage of animals in scientific research. In the field of neuroscience, where animals like the rat (*Rattus norvegicus*) and mouse (*Mus musculus*) have dominated research paradigms given their importance in investigating complex brain systems and </w:t>
      </w:r>
      <w:r w:rsidR="00076D66" w:rsidRPr="00F71F57">
        <w:rPr>
          <w:rFonts w:asciiTheme="majorBidi" w:hAnsiTheme="majorBidi" w:cstheme="majorBidi"/>
          <w:sz w:val="24"/>
          <w:szCs w:val="24"/>
          <w:lang w:val="en-GB"/>
        </w:rPr>
        <w:t>behaviours</w:t>
      </w:r>
      <w:r w:rsidRPr="00F71F57">
        <w:rPr>
          <w:rFonts w:asciiTheme="majorBidi" w:hAnsiTheme="majorBidi" w:cstheme="majorBidi"/>
          <w:sz w:val="24"/>
          <w:szCs w:val="24"/>
          <w:lang w:val="en-GB"/>
        </w:rPr>
        <w:t xml:space="preserve">, this is especially moving. Notwithstanding notable developments in alternative approaches—such as advanced in vitro models, computational neuroscience, and non-mammalian organisms—there is still a great void </w:t>
      </w:r>
      <w:r w:rsidR="005E6AC8" w:rsidRPr="00F71F57">
        <w:rPr>
          <w:rFonts w:asciiTheme="majorBidi" w:hAnsiTheme="majorBidi" w:cstheme="majorBidi"/>
          <w:sz w:val="24"/>
          <w:szCs w:val="24"/>
          <w:lang w:val="en-GB"/>
        </w:rPr>
        <w:t xml:space="preserve">of inefficient substitutes for rodent models, particularly </w:t>
      </w:r>
      <w:r w:rsidR="00C62865" w:rsidRPr="00F71F57">
        <w:rPr>
          <w:rFonts w:asciiTheme="majorBidi" w:hAnsiTheme="majorBidi" w:cstheme="majorBidi"/>
          <w:sz w:val="24"/>
          <w:szCs w:val="24"/>
          <w:lang w:val="en-GB"/>
        </w:rPr>
        <w:t>regarding</w:t>
      </w:r>
      <w:r w:rsidR="005E6AC8" w:rsidRPr="00F71F57">
        <w:rPr>
          <w:rFonts w:asciiTheme="majorBidi" w:hAnsiTheme="majorBidi" w:cstheme="majorBidi"/>
          <w:sz w:val="24"/>
          <w:szCs w:val="24"/>
          <w:lang w:val="en-GB"/>
        </w:rPr>
        <w:t xml:space="preserve"> their special contributions to our knowledge of </w:t>
      </w:r>
      <w:r w:rsidRPr="00F71F57">
        <w:rPr>
          <w:rFonts w:asciiTheme="majorBidi" w:hAnsiTheme="majorBidi" w:cstheme="majorBidi"/>
          <w:sz w:val="24"/>
          <w:szCs w:val="24"/>
          <w:lang w:val="en-GB"/>
        </w:rPr>
        <w:t>neuronal function and brain mechanisms.</w:t>
      </w:r>
    </w:p>
    <w:p w14:paraId="0A08E583" w14:textId="28A1D87D" w:rsidR="001E099D" w:rsidRPr="00F71F57" w:rsidRDefault="001E099D" w:rsidP="00AC4287">
      <w:pPr>
        <w:ind w:left="1080"/>
        <w:rPr>
          <w:rFonts w:asciiTheme="majorBidi" w:hAnsiTheme="majorBidi" w:cstheme="majorBidi"/>
          <w:b/>
          <w:bCs/>
          <w:sz w:val="24"/>
          <w:szCs w:val="24"/>
          <w:lang w:val="en-GB"/>
        </w:rPr>
      </w:pPr>
      <w:r w:rsidRPr="00F71F57">
        <w:rPr>
          <w:rFonts w:asciiTheme="majorBidi" w:hAnsiTheme="majorBidi" w:cstheme="majorBidi"/>
          <w:b/>
          <w:bCs/>
          <w:sz w:val="24"/>
          <w:szCs w:val="24"/>
          <w:lang w:val="en-GB"/>
        </w:rPr>
        <w:t>• Replacement:</w:t>
      </w:r>
    </w:p>
    <w:p w14:paraId="630060C1" w14:textId="11CE7505" w:rsidR="00D04D1D" w:rsidRPr="00CD6C40" w:rsidRDefault="005E6AC8" w:rsidP="00CD6C40">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Many other approaches have surfaced in neuroscience research, including brain organoids, human stem cell-derived neurons, and computational models that replicate cerebral activity. Although these </w:t>
      </w:r>
      <w:r w:rsidRPr="00F71F57">
        <w:rPr>
          <w:rFonts w:asciiTheme="majorBidi" w:hAnsiTheme="majorBidi" w:cstheme="majorBidi"/>
          <w:sz w:val="24"/>
          <w:szCs w:val="24"/>
          <w:lang w:val="en-GB"/>
        </w:rPr>
        <w:lastRenderedPageBreak/>
        <w:t>technologies show promise for revealing facets of neural structure and function, they frequently fall short of faithfully reproducing the complete range of physiological interactions seen in a living organism</w:t>
      </w:r>
      <w:r w:rsidR="00481F03" w:rsidRPr="00F71F57">
        <w:rPr>
          <w:rFonts w:asciiTheme="majorBidi" w:hAnsiTheme="majorBidi" w:cstheme="majorBidi"/>
          <w:b/>
          <w:bCs/>
          <w:sz w:val="24"/>
          <w:szCs w:val="24"/>
          <w:lang w:val="en-GB"/>
        </w:rPr>
        <w:t xml:space="preserve">. </w:t>
      </w:r>
      <w:r w:rsidRPr="00F71F57">
        <w:rPr>
          <w:rFonts w:asciiTheme="majorBidi" w:hAnsiTheme="majorBidi" w:cstheme="majorBidi"/>
          <w:sz w:val="24"/>
          <w:szCs w:val="24"/>
          <w:lang w:val="en-GB"/>
        </w:rPr>
        <w:t>For instance, brain organoids have shown the ability to replicate some features of brain development and disease; nonetheless, they lack the sophisticated neuronal network architecture and functional integration seen in complete mouse brains</w:t>
      </w:r>
      <w:r w:rsidR="00481F03"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This restriction emphasizes the requirement of more complex in vitro systems able to replicate the subtleties of the central nervous system.</w:t>
      </w:r>
    </w:p>
    <w:p w14:paraId="0F4E6886" w14:textId="72813CA4" w:rsidR="00637AF0" w:rsidRPr="00F71F57" w:rsidRDefault="00637AF0" w:rsidP="00AC4287">
      <w:pPr>
        <w:ind w:left="1080"/>
        <w:rPr>
          <w:rFonts w:asciiTheme="majorBidi" w:hAnsiTheme="majorBidi" w:cstheme="majorBidi"/>
          <w:b/>
          <w:bCs/>
          <w:sz w:val="24"/>
          <w:szCs w:val="24"/>
          <w:lang w:val="en-GB"/>
        </w:rPr>
      </w:pPr>
      <w:r w:rsidRPr="00F71F57">
        <w:rPr>
          <w:rFonts w:asciiTheme="majorBidi" w:hAnsiTheme="majorBidi" w:cstheme="majorBidi"/>
          <w:b/>
          <w:bCs/>
          <w:sz w:val="24"/>
          <w:szCs w:val="24"/>
          <w:lang w:val="en-GB"/>
        </w:rPr>
        <w:t xml:space="preserve">• </w:t>
      </w:r>
      <w:r w:rsidR="002A3C06" w:rsidRPr="00F71F57">
        <w:rPr>
          <w:rFonts w:asciiTheme="majorBidi" w:hAnsiTheme="majorBidi" w:cstheme="majorBidi"/>
          <w:b/>
          <w:bCs/>
          <w:sz w:val="24"/>
          <w:szCs w:val="24"/>
          <w:lang w:val="en-GB"/>
        </w:rPr>
        <w:t>Reduction:</w:t>
      </w:r>
    </w:p>
    <w:p w14:paraId="64BACC5D" w14:textId="028671E8" w:rsidR="005E6AC8" w:rsidRPr="00F71F57" w:rsidRDefault="002A3C06"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The goal is to maximize the reduction in the number of animals used while still achieving the research project's objectives. To define the number of different experimental groups and minimize the use of laboratory animals, we used G*Power software. By inputting numerical parameters such as power, alpha error (α), and the expected effect size, we were able to determine the sample size needed to observe the hypothesized effects in comparisons among the experimental groups. </w:t>
      </w:r>
    </w:p>
    <w:p w14:paraId="70F28C81" w14:textId="567E381C" w:rsidR="00637AF0" w:rsidRPr="00F71F57" w:rsidRDefault="00637AF0" w:rsidP="00AC4287">
      <w:pPr>
        <w:ind w:left="1080"/>
        <w:rPr>
          <w:rFonts w:asciiTheme="majorBidi" w:hAnsiTheme="majorBidi" w:cstheme="majorBidi"/>
          <w:b/>
          <w:bCs/>
          <w:sz w:val="24"/>
          <w:szCs w:val="24"/>
          <w:lang w:val="en-GB"/>
        </w:rPr>
      </w:pPr>
      <w:r w:rsidRPr="00F71F57">
        <w:rPr>
          <w:rFonts w:asciiTheme="majorBidi" w:hAnsiTheme="majorBidi" w:cstheme="majorBidi"/>
          <w:b/>
          <w:bCs/>
          <w:sz w:val="24"/>
          <w:szCs w:val="24"/>
          <w:lang w:val="en-GB"/>
        </w:rPr>
        <w:t>• Refinement:</w:t>
      </w:r>
    </w:p>
    <w:p w14:paraId="45401959" w14:textId="17D41392" w:rsidR="0060492C" w:rsidRPr="00F71F57" w:rsidRDefault="0060492C"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Refinement strategies are implemented to minimize stress and discomfort in animals while ensuring the reliability of experimental outcomes. Upon arrival, mice will be housed in a temperature-controlled environment with an inverted 12-hour light/dark cycle, with food and water provided </w:t>
      </w:r>
      <w:r w:rsidRPr="00F71F57">
        <w:rPr>
          <w:rFonts w:asciiTheme="majorBidi" w:hAnsiTheme="majorBidi" w:cstheme="majorBidi"/>
          <w:i/>
          <w:iCs/>
          <w:sz w:val="24"/>
          <w:szCs w:val="24"/>
          <w:lang w:val="en-GB"/>
        </w:rPr>
        <w:t>ad libitum</w:t>
      </w:r>
      <w:r w:rsidRPr="00F71F57">
        <w:rPr>
          <w:rFonts w:asciiTheme="majorBidi" w:hAnsiTheme="majorBidi" w:cstheme="majorBidi"/>
          <w:sz w:val="24"/>
          <w:szCs w:val="24"/>
          <w:lang w:val="en-GB"/>
        </w:rPr>
        <w:t>. To facilitate adaptation and reduce stress, no handling will occur during the first week, followed by a habituation period where animals will undergo daily gentle handling for seven days before experimental procedures.</w:t>
      </w:r>
      <w:r w:rsidR="00846B24"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 xml:space="preserve">Behavioral assessments will be conducted in sound-attenuated chambers to minimize external disturbances. Pre-training sessions will be implemented to familiarize the animals with the touchscreen-based tasks, reducing neophobia and anxiety. The touchscreen system allows for comprehensive cognitive evaluation without inducing stress commonly associated with other </w:t>
      </w:r>
      <w:r w:rsidRPr="00F71F57">
        <w:rPr>
          <w:rFonts w:asciiTheme="majorBidi" w:hAnsiTheme="majorBidi" w:cstheme="majorBidi"/>
          <w:sz w:val="24"/>
          <w:szCs w:val="24"/>
          <w:lang w:val="en-GB"/>
        </w:rPr>
        <w:lastRenderedPageBreak/>
        <w:t xml:space="preserve">behavioral paradigms, such as the Open Field or Morris Water Maze. Positive reinforcement (a small volume of </w:t>
      </w:r>
      <w:r w:rsidR="00D04D1D" w:rsidRPr="00F71F57">
        <w:rPr>
          <w:rFonts w:asciiTheme="majorBidi" w:hAnsiTheme="majorBidi" w:cstheme="majorBidi"/>
          <w:sz w:val="24"/>
          <w:szCs w:val="24"/>
          <w:lang w:val="en-GB"/>
        </w:rPr>
        <w:t>flavoured</w:t>
      </w:r>
      <w:r w:rsidRPr="00F71F57">
        <w:rPr>
          <w:rFonts w:asciiTheme="majorBidi" w:hAnsiTheme="majorBidi" w:cstheme="majorBidi"/>
          <w:sz w:val="24"/>
          <w:szCs w:val="24"/>
          <w:lang w:val="en-GB"/>
        </w:rPr>
        <w:t xml:space="preserve"> condensed milk solution) will be used, and food restriction will be carefully regulated at 85% of free-feeding body weight. Daily monitoring will ensure that any excessive weight loss or aggressive interactions are promptly addressed through individualized feeding adjustments.</w:t>
      </w:r>
    </w:p>
    <w:p w14:paraId="2160C5B3" w14:textId="77777777" w:rsidR="00B51E4B" w:rsidRDefault="00B51E4B" w:rsidP="009B40BA">
      <w:pPr>
        <w:ind w:left="1080"/>
        <w:rPr>
          <w:rFonts w:asciiTheme="majorBidi" w:hAnsiTheme="majorBidi" w:cstheme="majorBidi"/>
          <w:b/>
          <w:bCs/>
          <w:sz w:val="24"/>
          <w:szCs w:val="24"/>
          <w:lang w:val="en-GB"/>
        </w:rPr>
      </w:pPr>
    </w:p>
    <w:p w14:paraId="5E942862" w14:textId="61EB77D3" w:rsidR="00447E49" w:rsidRPr="00F71F57" w:rsidRDefault="00E44F6D" w:rsidP="00D623DE">
      <w:pPr>
        <w:pStyle w:val="Heading2"/>
        <w:ind w:left="1080"/>
        <w:rPr>
          <w:lang w:val="en-GB"/>
        </w:rPr>
      </w:pPr>
      <w:bookmarkStart w:id="46" w:name="_Toc214875853"/>
      <w:r w:rsidRPr="00F71F57">
        <w:rPr>
          <w:lang w:val="en-GB"/>
        </w:rPr>
        <w:t>2</w:t>
      </w:r>
      <w:r w:rsidR="000B36F1" w:rsidRPr="00F71F57">
        <w:rPr>
          <w:lang w:val="en-GB"/>
        </w:rPr>
        <w:t>.</w:t>
      </w:r>
      <w:r w:rsidRPr="00F71F57">
        <w:rPr>
          <w:lang w:val="en-GB"/>
        </w:rPr>
        <w:t>2</w:t>
      </w:r>
      <w:r w:rsidR="000B36F1" w:rsidRPr="00F71F57">
        <w:rPr>
          <w:lang w:val="en-GB"/>
        </w:rPr>
        <w:t xml:space="preserve"> </w:t>
      </w:r>
      <w:r w:rsidR="00447E49" w:rsidRPr="00F71F57">
        <w:rPr>
          <w:lang w:val="en-GB"/>
        </w:rPr>
        <w:t>Apparatus</w:t>
      </w:r>
      <w:bookmarkEnd w:id="46"/>
      <w:r w:rsidR="00447E49" w:rsidRPr="00F71F57">
        <w:rPr>
          <w:lang w:val="en-GB"/>
        </w:rPr>
        <w:t xml:space="preserve"> </w:t>
      </w:r>
    </w:p>
    <w:p w14:paraId="43756DEC" w14:textId="131A1AA5" w:rsidR="00447E49" w:rsidRPr="00F71F57" w:rsidRDefault="00AB2864" w:rsidP="00D623DE">
      <w:pPr>
        <w:pStyle w:val="Heading3"/>
        <w:ind w:left="1080"/>
        <w:rPr>
          <w:lang w:val="en-GB"/>
        </w:rPr>
      </w:pPr>
      <w:bookmarkStart w:id="47" w:name="_Toc214875854"/>
      <w:r w:rsidRPr="00F71F57">
        <w:rPr>
          <w:lang w:val="en-GB"/>
        </w:rPr>
        <w:t xml:space="preserve">2.2.1 </w:t>
      </w:r>
      <w:r w:rsidR="00447E49" w:rsidRPr="00F71F57">
        <w:rPr>
          <w:lang w:val="en-GB"/>
        </w:rPr>
        <w:t>Detailed explanation of touchscreen chambers and behavioral tasks</w:t>
      </w:r>
      <w:bookmarkEnd w:id="47"/>
    </w:p>
    <w:p w14:paraId="2B5B7953" w14:textId="265AB815" w:rsidR="003C546A" w:rsidRPr="00F71F57" w:rsidRDefault="00922229"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All touchscreen behavior testing was performed using</w:t>
      </w:r>
      <w:r w:rsidR="001E372F">
        <w:rPr>
          <w:rFonts w:asciiTheme="majorBidi" w:hAnsiTheme="majorBidi" w:cstheme="majorBidi"/>
          <w:sz w:val="24"/>
          <w:szCs w:val="24"/>
          <w:lang w:val="en-GB"/>
        </w:rPr>
        <w:t xml:space="preserve"> four</w:t>
      </w:r>
      <w:r w:rsidRPr="00F71F57">
        <w:rPr>
          <w:rFonts w:asciiTheme="majorBidi" w:hAnsiTheme="majorBidi" w:cstheme="majorBidi"/>
          <w:sz w:val="24"/>
          <w:szCs w:val="24"/>
          <w:lang w:val="en-GB"/>
        </w:rPr>
        <w:t xml:space="preserve"> standard Bussey-Saksida mouse touchscreen chambers (model 80614,</w:t>
      </w:r>
      <w:r w:rsidRPr="00F71F57">
        <w:rPr>
          <w:rFonts w:asciiTheme="majorBidi" w:eastAsia="Times New Roman" w:hAnsiTheme="majorBidi" w:cstheme="majorBidi"/>
          <w:color w:val="212529"/>
          <w:spacing w:val="15"/>
          <w:kern w:val="36"/>
          <w:sz w:val="24"/>
          <w:szCs w:val="24"/>
          <w:lang w:val="en-GB"/>
        </w:rPr>
        <w:t xml:space="preserve"> </w:t>
      </w:r>
      <w:r w:rsidRPr="00F71F57">
        <w:rPr>
          <w:rFonts w:asciiTheme="majorBidi" w:hAnsiTheme="majorBidi" w:cstheme="majorBidi"/>
          <w:sz w:val="24"/>
          <w:szCs w:val="24"/>
          <w:lang w:val="en-GB"/>
        </w:rPr>
        <w:t xml:space="preserve">Second Generation Bussey-Saksida Touch Screen Chamber for Mice, Lafayette Instrument Company – see Figure </w:t>
      </w:r>
      <w:r w:rsidR="00EE3D19">
        <w:rPr>
          <w:rFonts w:asciiTheme="majorBidi" w:hAnsiTheme="majorBidi" w:cstheme="majorBidi"/>
          <w:sz w:val="24"/>
          <w:szCs w:val="24"/>
          <w:lang w:val="en-GB"/>
        </w:rPr>
        <w:t>1</w:t>
      </w:r>
      <w:r w:rsidRPr="00F71F57">
        <w:rPr>
          <w:rFonts w:asciiTheme="majorBidi" w:hAnsiTheme="majorBidi" w:cstheme="majorBidi"/>
          <w:sz w:val="24"/>
          <w:szCs w:val="24"/>
          <w:lang w:val="en-GB"/>
        </w:rPr>
        <w:t xml:space="preserve">).   The equipment is a trapezoidal chamber with a touchscreen on one side and a reward magazine tray at the opposite end. Against the touchscreen, a slot is available where removable masks for each of the cognitive tests can be inserted.   The chamber is environmentally sound-proofed and light-proofed. An embedded light and camera above the chamber allow real-time observation of </w:t>
      </w:r>
      <w:r w:rsidR="003F4E1E" w:rsidRPr="00F71F57">
        <w:rPr>
          <w:rFonts w:asciiTheme="majorBidi" w:hAnsiTheme="majorBidi" w:cstheme="majorBidi"/>
          <w:sz w:val="24"/>
          <w:szCs w:val="24"/>
          <w:lang w:val="en-GB"/>
        </w:rPr>
        <w:t>behavior</w:t>
      </w:r>
      <w:r w:rsidRPr="00F71F57">
        <w:rPr>
          <w:rFonts w:asciiTheme="majorBidi" w:hAnsiTheme="majorBidi" w:cstheme="majorBidi"/>
          <w:sz w:val="24"/>
          <w:szCs w:val="24"/>
          <w:lang w:val="en-GB"/>
        </w:rPr>
        <w:t xml:space="preserve"> as well as recording. The reward tray illuminates and delivers a liquid milkshake reward upon the completion of a trial.</w:t>
      </w:r>
    </w:p>
    <w:p w14:paraId="20EBAC0B" w14:textId="4B0B3A30" w:rsidR="00EC4C0E" w:rsidRPr="00F71F57" w:rsidRDefault="008444D7" w:rsidP="008444D7">
      <w:pPr>
        <w:ind w:left="1080"/>
        <w:jc w:val="center"/>
        <w:rPr>
          <w:rFonts w:asciiTheme="majorBidi" w:hAnsiTheme="majorBidi" w:cstheme="majorBidi"/>
          <w:sz w:val="24"/>
          <w:szCs w:val="24"/>
          <w:lang w:val="en-GB"/>
        </w:rPr>
      </w:pPr>
      <w:r w:rsidRPr="00F71F57">
        <w:rPr>
          <w:rFonts w:asciiTheme="majorBidi" w:hAnsiTheme="majorBidi" w:cstheme="majorBidi"/>
          <w:noProof/>
          <w:sz w:val="24"/>
          <w:szCs w:val="24"/>
          <w:lang w:val="en-GB"/>
        </w:rPr>
        <w:drawing>
          <wp:inline distT="0" distB="0" distL="0" distR="0" wp14:anchorId="09E4E060" wp14:editId="7886161C">
            <wp:extent cx="3154680" cy="2091436"/>
            <wp:effectExtent l="0" t="0" r="7620" b="4445"/>
            <wp:docPr id="1" name="Picture 1" descr="A machine in a box&#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machine in a box&#10;&#10;AI-generated content may be incorrect."/>
                    <pic:cNvPicPr/>
                  </pic:nvPicPr>
                  <pic:blipFill>
                    <a:blip r:embed="rId16">
                      <a:extLst>
                        <a:ext uri="{28A0092B-C50C-407E-A947-70E740481C1C}">
                          <a14:useLocalDpi xmlns:a14="http://schemas.microsoft.com/office/drawing/2010/main" val="0"/>
                        </a:ext>
                      </a:extLst>
                    </a:blip>
                    <a:stretch>
                      <a:fillRect/>
                    </a:stretch>
                  </pic:blipFill>
                  <pic:spPr>
                    <a:xfrm>
                      <a:off x="0" y="0"/>
                      <a:ext cx="3174552" cy="2104610"/>
                    </a:xfrm>
                    <a:prstGeom prst="rect">
                      <a:avLst/>
                    </a:prstGeom>
                  </pic:spPr>
                </pic:pic>
              </a:graphicData>
            </a:graphic>
          </wp:inline>
        </w:drawing>
      </w:r>
    </w:p>
    <w:p w14:paraId="14BCC430" w14:textId="1E58F5F2" w:rsidR="008444D7" w:rsidRPr="008F0C5E" w:rsidRDefault="008444D7" w:rsidP="0023309F">
      <w:pPr>
        <w:ind w:left="1080"/>
        <w:rPr>
          <w:rFonts w:asciiTheme="majorBidi" w:hAnsiTheme="majorBidi" w:cstheme="majorBidi"/>
          <w:rtl/>
          <w:lang w:val="en-GB" w:bidi="fa-IR"/>
        </w:rPr>
      </w:pPr>
      <w:r w:rsidRPr="008F0C5E">
        <w:rPr>
          <w:rFonts w:asciiTheme="majorBidi" w:hAnsiTheme="majorBidi" w:cstheme="majorBidi"/>
          <w:b/>
          <w:bCs/>
          <w:lang w:val="en-GB" w:bidi="fa-IR"/>
        </w:rPr>
        <w:t xml:space="preserve">Figure </w:t>
      </w:r>
      <w:r w:rsidR="00EE3D19" w:rsidRPr="008F0C5E">
        <w:rPr>
          <w:rFonts w:asciiTheme="majorBidi" w:hAnsiTheme="majorBidi" w:cstheme="majorBidi"/>
          <w:b/>
          <w:bCs/>
          <w:lang w:val="en-GB" w:bidi="fa-IR"/>
        </w:rPr>
        <w:t>1</w:t>
      </w:r>
      <w:r w:rsidRPr="008F0C5E">
        <w:rPr>
          <w:rFonts w:asciiTheme="majorBidi" w:hAnsiTheme="majorBidi" w:cstheme="majorBidi"/>
          <w:b/>
          <w:bCs/>
          <w:lang w:val="en-GB" w:bidi="fa-IR"/>
        </w:rPr>
        <w:t>.</w:t>
      </w:r>
      <w:r w:rsidRPr="008F0C5E">
        <w:rPr>
          <w:rFonts w:asciiTheme="majorBidi" w:hAnsiTheme="majorBidi" w:cstheme="majorBidi"/>
          <w:lang w:val="en-GB" w:bidi="fa-IR"/>
        </w:rPr>
        <w:t xml:space="preserve"> Second Generation Bussey-Saksida Touch Screen Chamber for mice (Campden Instruments, UK). The chamber is equipped with a </w:t>
      </w:r>
      <w:r w:rsidRPr="008F0C5E">
        <w:rPr>
          <w:rFonts w:asciiTheme="majorBidi" w:hAnsiTheme="majorBidi" w:cstheme="majorBidi"/>
          <w:lang w:val="en-GB" w:bidi="fa-IR"/>
        </w:rPr>
        <w:lastRenderedPageBreak/>
        <w:t>touchscreen interface, reward tray, and environmental control features, enabling automated assessment of learning, memory, attention, and decision-making in rodents.</w:t>
      </w:r>
      <w:r w:rsidR="0023309F" w:rsidRPr="008F0C5E">
        <w:rPr>
          <w:rFonts w:asciiTheme="majorBidi" w:hAnsiTheme="majorBidi" w:cstheme="majorBidi"/>
          <w:rtl/>
          <w:lang w:val="en-GB" w:bidi="fa-IR"/>
        </w:rPr>
        <w:t xml:space="preserve"> </w:t>
      </w:r>
      <w:r w:rsidRPr="008F0C5E">
        <w:rPr>
          <w:rFonts w:asciiTheme="majorBidi" w:hAnsiTheme="majorBidi" w:cstheme="majorBidi"/>
          <w:lang w:val="en-GB" w:bidi="fa-IR"/>
        </w:rPr>
        <w:t>Image source: Campden Instruments</w:t>
      </w:r>
      <w:r w:rsidR="0023309F" w:rsidRPr="008F0C5E">
        <w:rPr>
          <w:rFonts w:asciiTheme="majorBidi" w:hAnsiTheme="majorBidi" w:cstheme="majorBidi"/>
          <w:lang w:val="en-GB" w:bidi="fa-IR"/>
        </w:rPr>
        <w:t xml:space="preserve">, </w:t>
      </w:r>
      <w:hyperlink r:id="rId17" w:history="1">
        <w:r w:rsidR="0023309F" w:rsidRPr="008F0C5E">
          <w:rPr>
            <w:rStyle w:val="Hyperlink"/>
            <w:rFonts w:asciiTheme="majorBidi" w:hAnsiTheme="majorBidi" w:cstheme="majorBidi"/>
            <w:lang w:val="en-GB" w:bidi="fa-IR"/>
          </w:rPr>
          <w:t>https://campdeninstruments.com/products/second-gen-bussey-saksida-touch-screen-mice/</w:t>
        </w:r>
      </w:hyperlink>
    </w:p>
    <w:p w14:paraId="11EAF94F" w14:textId="77777777" w:rsidR="00B51E4B" w:rsidRDefault="00B51E4B" w:rsidP="00CD6C40">
      <w:pPr>
        <w:rPr>
          <w:rFonts w:asciiTheme="majorBidi" w:hAnsiTheme="majorBidi" w:cstheme="majorBidi"/>
          <w:b/>
          <w:bCs/>
          <w:sz w:val="24"/>
          <w:szCs w:val="24"/>
          <w:lang w:val="en-GB"/>
        </w:rPr>
      </w:pPr>
    </w:p>
    <w:p w14:paraId="4555E996" w14:textId="03954E56" w:rsidR="00EC4C0E" w:rsidRPr="00F71F57" w:rsidRDefault="00EC4C0E" w:rsidP="00D623DE">
      <w:pPr>
        <w:pStyle w:val="Heading3"/>
        <w:ind w:left="1080"/>
        <w:rPr>
          <w:lang w:val="en-GB"/>
        </w:rPr>
      </w:pPr>
      <w:bookmarkStart w:id="48" w:name="_Toc214875855"/>
      <w:r w:rsidRPr="00F71F57">
        <w:rPr>
          <w:lang w:val="en-GB"/>
        </w:rPr>
        <w:t>2.2.2 Software Installation and Experimental Setup</w:t>
      </w:r>
      <w:bookmarkEnd w:id="48"/>
    </w:p>
    <w:p w14:paraId="02BDFE45" w14:textId="3974C502" w:rsidR="00EC4C0E" w:rsidRPr="00F71F57" w:rsidRDefault="00EC4C0E"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The ABET II Cognition software is a comprehensive system designed for running and </w:t>
      </w:r>
      <w:r w:rsidR="00076D66" w:rsidRPr="00F71F57">
        <w:rPr>
          <w:rFonts w:asciiTheme="majorBidi" w:hAnsiTheme="majorBidi" w:cstheme="majorBidi"/>
          <w:sz w:val="24"/>
          <w:szCs w:val="24"/>
          <w:lang w:val="en-GB"/>
        </w:rPr>
        <w:t>analysing</w:t>
      </w:r>
      <w:r w:rsidRPr="00F71F57">
        <w:rPr>
          <w:rFonts w:asciiTheme="majorBidi" w:hAnsiTheme="majorBidi" w:cstheme="majorBidi"/>
          <w:sz w:val="24"/>
          <w:szCs w:val="24"/>
          <w:lang w:val="en-GB"/>
        </w:rPr>
        <w:t xml:space="preserve"> touchscreen-based behavioral experiments in rodents. The installation process involves setting up the software on a dedicated laboratory computer, ensuring proper hardware connections, and configuring the experimental environment. To begin, the software is installed following the manufacturer’s guidelines, and all necessary drivers are updated. Once installed, the system power is switched on, and the Execution Manager is initialized to establish communication with the touchscreen chambers. After installation, the experimental environment must be configured using the Environment Designer within ABET II. This step ensures that the software correctly recognizes all connected components, including the touchscreen chambers, feeders, and reward dispensers. Researchers can modify input-output (I/O) configurations and test hardware functionality by activating lights, feeders, and activity beams. To prevent accidental modifications, the environment settings can be locked using the Environment Editing Lock function. Proper calibration of touchscreen responsiveness and reward delivery is performed before initiating behavioral testing to ensure experimental consistency.</w:t>
      </w:r>
    </w:p>
    <w:p w14:paraId="70E86EC8" w14:textId="50E3B688" w:rsidR="00EC4C0E" w:rsidRPr="00F71F57" w:rsidRDefault="00EC4C0E"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To run an experiment, the Execution Manager is used to load pre-designed schedules, such as the </w:t>
      </w:r>
      <w:r w:rsidR="00263D31">
        <w:rPr>
          <w:rFonts w:asciiTheme="majorBidi" w:hAnsiTheme="majorBidi" w:cstheme="majorBidi"/>
          <w:sz w:val="24"/>
          <w:szCs w:val="24"/>
          <w:lang w:val="en-GB"/>
        </w:rPr>
        <w:t>Mouse Pairwise Discrimination (PVD)</w:t>
      </w:r>
      <w:r w:rsidRPr="00F71F57">
        <w:rPr>
          <w:rFonts w:asciiTheme="majorBidi" w:hAnsiTheme="majorBidi" w:cstheme="majorBidi"/>
          <w:sz w:val="24"/>
          <w:szCs w:val="24"/>
          <w:lang w:val="en-GB"/>
        </w:rPr>
        <w:t xml:space="preserve">. Schedules can be selected from the system’s database or manually loaded into the execution panel. Researchers define experimental parameters, including maximum trials, session duration, and subject IDs, before starting the session. Once the session is completed, the </w:t>
      </w:r>
      <w:r w:rsidRPr="00F71F57">
        <w:rPr>
          <w:rFonts w:asciiTheme="majorBidi" w:hAnsiTheme="majorBidi" w:cstheme="majorBidi"/>
          <w:sz w:val="24"/>
          <w:szCs w:val="24"/>
          <w:lang w:val="en-GB"/>
        </w:rPr>
        <w:lastRenderedPageBreak/>
        <w:t>collected data are saved and exported for analysis, ensuring a structured and reliable approach to behavioral experimentation.</w:t>
      </w:r>
    </w:p>
    <w:p w14:paraId="7B7CDA7F" w14:textId="77777777" w:rsidR="00EC4C0E" w:rsidRPr="00F71F57" w:rsidRDefault="00EC4C0E" w:rsidP="00EC4C0E">
      <w:pPr>
        <w:ind w:left="1080"/>
        <w:rPr>
          <w:rFonts w:asciiTheme="majorBidi" w:hAnsiTheme="majorBidi" w:cstheme="majorBidi"/>
          <w:sz w:val="24"/>
          <w:szCs w:val="24"/>
          <w:lang w:val="en-GB"/>
        </w:rPr>
      </w:pPr>
    </w:p>
    <w:p w14:paraId="25EA251E" w14:textId="48A9E47D" w:rsidR="00456B86" w:rsidRPr="00F71F57" w:rsidRDefault="00456B86" w:rsidP="00047FE3">
      <w:pPr>
        <w:ind w:left="720"/>
        <w:jc w:val="center"/>
        <w:rPr>
          <w:rFonts w:asciiTheme="majorBidi" w:hAnsiTheme="majorBidi" w:cstheme="majorBidi"/>
          <w:sz w:val="24"/>
          <w:szCs w:val="24"/>
          <w:lang w:val="en-GB"/>
        </w:rPr>
      </w:pPr>
      <w:r w:rsidRPr="00F71F57">
        <w:rPr>
          <w:rFonts w:asciiTheme="majorBidi" w:hAnsiTheme="majorBidi" w:cstheme="majorBidi"/>
          <w:noProof/>
          <w:sz w:val="24"/>
          <w:szCs w:val="24"/>
          <w:lang w:val="en-GB"/>
        </w:rPr>
        <w:drawing>
          <wp:inline distT="0" distB="0" distL="0" distR="0" wp14:anchorId="641B8046" wp14:editId="03A4CF7C">
            <wp:extent cx="4170218" cy="1459230"/>
            <wp:effectExtent l="0" t="0" r="190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20836" cy="1476942"/>
                    </a:xfrm>
                    <a:prstGeom prst="rect">
                      <a:avLst/>
                    </a:prstGeom>
                    <a:noFill/>
                  </pic:spPr>
                </pic:pic>
              </a:graphicData>
            </a:graphic>
          </wp:inline>
        </w:drawing>
      </w:r>
    </w:p>
    <w:p w14:paraId="42A35A15" w14:textId="64643E2F" w:rsidR="003C546A" w:rsidRPr="00F71F57" w:rsidRDefault="00431556" w:rsidP="005114DA">
      <w:pPr>
        <w:ind w:left="720"/>
        <w:jc w:val="center"/>
        <w:rPr>
          <w:rFonts w:asciiTheme="majorBidi" w:hAnsiTheme="majorBidi" w:cstheme="majorBidi"/>
          <w:sz w:val="24"/>
          <w:szCs w:val="24"/>
          <w:lang w:val="en-GB"/>
        </w:rPr>
      </w:pPr>
      <w:r w:rsidRPr="00F71F57">
        <w:rPr>
          <w:rFonts w:asciiTheme="majorBidi" w:hAnsiTheme="majorBidi" w:cstheme="majorBidi"/>
          <w:noProof/>
          <w:sz w:val="24"/>
          <w:szCs w:val="24"/>
          <w:lang w:val="en-GB"/>
        </w:rPr>
        <w:drawing>
          <wp:inline distT="0" distB="0" distL="0" distR="0" wp14:anchorId="1CE72443" wp14:editId="7C15B6E4">
            <wp:extent cx="4164904" cy="1866900"/>
            <wp:effectExtent l="0" t="0" r="7620" b="0"/>
            <wp:docPr id="3" name="Picture 2">
              <a:extLst xmlns:a="http://schemas.openxmlformats.org/drawingml/2006/main">
                <a:ext uri="{FF2B5EF4-FFF2-40B4-BE49-F238E27FC236}">
                  <a16:creationId xmlns:a16="http://schemas.microsoft.com/office/drawing/2014/main" id="{87EFAA37-850F-40C3-B081-4D7056C7681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87EFAA37-850F-40C3-B081-4D7056C7681B}"/>
                        </a:ext>
                      </a:extLst>
                    </pic:cNvPr>
                    <pic:cNvPicPr>
                      <a:picLocks noChangeAspect="1"/>
                    </pic:cNvPicPr>
                  </pic:nvPicPr>
                  <pic:blipFill rotWithShape="1">
                    <a:blip r:embed="rId19"/>
                    <a:srcRect b="55095"/>
                    <a:stretch/>
                  </pic:blipFill>
                  <pic:spPr>
                    <a:xfrm>
                      <a:off x="0" y="0"/>
                      <a:ext cx="4325429" cy="1938855"/>
                    </a:xfrm>
                    <a:prstGeom prst="rect">
                      <a:avLst/>
                    </a:prstGeom>
                  </pic:spPr>
                </pic:pic>
              </a:graphicData>
            </a:graphic>
          </wp:inline>
        </w:drawing>
      </w:r>
    </w:p>
    <w:p w14:paraId="58FF8F1C" w14:textId="10DAD15E" w:rsidR="008444D7" w:rsidRPr="00F71F57" w:rsidRDefault="008444D7" w:rsidP="008444D7">
      <w:pPr>
        <w:ind w:left="1080"/>
        <w:rPr>
          <w:rFonts w:asciiTheme="majorBidi" w:hAnsiTheme="majorBidi" w:cstheme="majorBidi"/>
          <w:sz w:val="24"/>
          <w:szCs w:val="24"/>
          <w:lang w:val="en-GB"/>
        </w:rPr>
      </w:pPr>
      <w:r w:rsidRPr="00F71F57">
        <w:rPr>
          <w:rFonts w:asciiTheme="majorBidi" w:hAnsiTheme="majorBidi" w:cstheme="majorBidi"/>
          <w:b/>
          <w:bCs/>
          <w:sz w:val="24"/>
          <w:szCs w:val="24"/>
          <w:lang w:val="en-GB"/>
        </w:rPr>
        <w:t xml:space="preserve">Figure </w:t>
      </w:r>
      <w:r w:rsidR="00EE3D19">
        <w:rPr>
          <w:rFonts w:asciiTheme="majorBidi" w:hAnsiTheme="majorBidi" w:cstheme="majorBidi"/>
          <w:b/>
          <w:bCs/>
          <w:sz w:val="24"/>
          <w:szCs w:val="24"/>
          <w:lang w:val="en-GB"/>
        </w:rPr>
        <w:t>2</w:t>
      </w:r>
      <w:r w:rsidRPr="00F71F57">
        <w:rPr>
          <w:rFonts w:asciiTheme="majorBidi" w:hAnsiTheme="majorBidi" w:cstheme="majorBidi"/>
          <w:b/>
          <w:bCs/>
          <w:sz w:val="24"/>
          <w:szCs w:val="24"/>
          <w:lang w:val="en-GB"/>
        </w:rPr>
        <w:t>.</w:t>
      </w:r>
      <w:r w:rsidRPr="00F71F57">
        <w:rPr>
          <w:rFonts w:asciiTheme="majorBidi" w:hAnsiTheme="majorBidi" w:cstheme="majorBidi"/>
          <w:sz w:val="24"/>
          <w:szCs w:val="24"/>
          <w:lang w:val="en-GB"/>
        </w:rPr>
        <w:t xml:space="preserve"> </w:t>
      </w:r>
      <w:r w:rsidRPr="00117426">
        <w:rPr>
          <w:rFonts w:asciiTheme="majorBidi" w:hAnsiTheme="majorBidi" w:cstheme="majorBidi"/>
          <w:sz w:val="24"/>
          <w:szCs w:val="24"/>
          <w:lang w:val="en-GB"/>
        </w:rPr>
        <w:t>Software environment of the</w:t>
      </w:r>
      <w:r w:rsidRPr="00F71F57">
        <w:rPr>
          <w:rFonts w:asciiTheme="majorBidi" w:hAnsiTheme="majorBidi" w:cstheme="majorBidi"/>
          <w:i/>
          <w:iCs/>
          <w:sz w:val="24"/>
          <w:szCs w:val="24"/>
          <w:lang w:val="en-GB"/>
        </w:rPr>
        <w:t xml:space="preserve"> </w:t>
      </w:r>
      <w:r w:rsidRPr="008F0C5E">
        <w:rPr>
          <w:rFonts w:asciiTheme="majorBidi" w:hAnsiTheme="majorBidi" w:cstheme="majorBidi"/>
          <w:sz w:val="24"/>
          <w:szCs w:val="24"/>
          <w:lang w:val="en-GB"/>
        </w:rPr>
        <w:t>ABET Cognition (Lafayette Instrument Company, USA).</w:t>
      </w:r>
      <w:r w:rsidRPr="00F71F57">
        <w:rPr>
          <w:rFonts w:asciiTheme="majorBidi" w:hAnsiTheme="majorBidi" w:cstheme="majorBidi"/>
          <w:sz w:val="24"/>
          <w:szCs w:val="24"/>
          <w:lang w:val="en-GB"/>
        </w:rPr>
        <w:t xml:space="preserve"> The screenshots illustrate the experimental setup and execution manager used for controlling Bussey-Saksida touchscreen chambers, configuring task parameters, and monitoring performance data in real-time during rodent cognitive testing.</w:t>
      </w:r>
    </w:p>
    <w:p w14:paraId="3A48849C" w14:textId="3057D739" w:rsidR="00A74C2C" w:rsidRDefault="00A74C2C" w:rsidP="001E372F">
      <w:pPr>
        <w:rPr>
          <w:rFonts w:asciiTheme="majorBidi" w:hAnsiTheme="majorBidi" w:cstheme="majorBidi"/>
          <w:b/>
          <w:bCs/>
          <w:sz w:val="24"/>
          <w:szCs w:val="24"/>
          <w:lang w:val="en-GB"/>
        </w:rPr>
      </w:pPr>
    </w:p>
    <w:p w14:paraId="34E86A44" w14:textId="77777777" w:rsidR="00D623DE" w:rsidRDefault="00D623DE" w:rsidP="001E372F">
      <w:pPr>
        <w:rPr>
          <w:rFonts w:asciiTheme="majorBidi" w:hAnsiTheme="majorBidi" w:cstheme="majorBidi"/>
          <w:b/>
          <w:bCs/>
          <w:sz w:val="24"/>
          <w:szCs w:val="24"/>
          <w:lang w:val="en-GB"/>
        </w:rPr>
      </w:pPr>
    </w:p>
    <w:p w14:paraId="33ED99B9" w14:textId="1628E792" w:rsidR="0077426C" w:rsidRPr="00F71F57" w:rsidRDefault="00AB2864" w:rsidP="00D623DE">
      <w:pPr>
        <w:pStyle w:val="Heading2"/>
        <w:ind w:left="1080"/>
        <w:rPr>
          <w:lang w:val="en-GB"/>
        </w:rPr>
      </w:pPr>
      <w:bookmarkStart w:id="49" w:name="_Toc214875856"/>
      <w:r w:rsidRPr="00F71F57">
        <w:rPr>
          <w:lang w:val="en-GB"/>
        </w:rPr>
        <w:t>2.3</w:t>
      </w:r>
      <w:r w:rsidR="00DF68EE" w:rsidRPr="00F71F57">
        <w:rPr>
          <w:lang w:val="en-GB"/>
        </w:rPr>
        <w:t xml:space="preserve"> Research Design and Approach</w:t>
      </w:r>
      <w:bookmarkEnd w:id="49"/>
      <w:r w:rsidR="00DF68EE" w:rsidRPr="00F71F57">
        <w:rPr>
          <w:lang w:val="en-GB"/>
        </w:rPr>
        <w:t xml:space="preserve"> </w:t>
      </w:r>
    </w:p>
    <w:p w14:paraId="51EFCAC2" w14:textId="77B29CB5" w:rsidR="0077426C" w:rsidRPr="00F71F57" w:rsidRDefault="0077426C" w:rsidP="00220F09">
      <w:pPr>
        <w:ind w:left="1080"/>
        <w:rPr>
          <w:rFonts w:asciiTheme="majorBidi" w:hAnsiTheme="majorBidi" w:cstheme="majorBidi"/>
          <w:sz w:val="24"/>
          <w:szCs w:val="24"/>
          <w:lang w:val="en-GB"/>
        </w:rPr>
      </w:pPr>
      <w:r w:rsidRPr="00F71F57">
        <w:rPr>
          <w:rFonts w:asciiTheme="majorBidi" w:hAnsiTheme="majorBidi" w:cstheme="majorBidi"/>
          <w:b/>
          <w:bCs/>
          <w:sz w:val="24"/>
          <w:szCs w:val="24"/>
          <w:lang w:val="en-GB"/>
        </w:rPr>
        <w:t>Experimental Design</w:t>
      </w:r>
      <w:r w:rsidR="00EC4C0E" w:rsidRPr="00F71F57">
        <w:rPr>
          <w:rFonts w:asciiTheme="majorBidi" w:hAnsiTheme="majorBidi" w:cstheme="majorBidi"/>
          <w:sz w:val="24"/>
          <w:szCs w:val="24"/>
          <w:lang w:val="en-GB"/>
        </w:rPr>
        <w:t>:</w:t>
      </w:r>
      <w:r w:rsidRPr="00F71F57">
        <w:rPr>
          <w:rFonts w:asciiTheme="majorBidi" w:hAnsiTheme="majorBidi" w:cstheme="majorBidi"/>
          <w:sz w:val="24"/>
          <w:szCs w:val="24"/>
          <w:lang w:val="en-GB"/>
        </w:rPr>
        <w:t xml:space="preserve">  </w:t>
      </w:r>
    </w:p>
    <w:p w14:paraId="489D6A40" w14:textId="389686CF" w:rsidR="0077426C" w:rsidRPr="00F71F57" w:rsidRDefault="0077426C" w:rsidP="00076D66">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This study employs a randomized controlled trial</w:t>
      </w:r>
      <w:r w:rsidR="00850F9B"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RCT</w:t>
      </w:r>
      <w:r w:rsidR="00850F9B" w:rsidRPr="00F71F57">
        <w:rPr>
          <w:rFonts w:asciiTheme="majorBidi" w:hAnsiTheme="majorBidi" w:cstheme="majorBidi"/>
          <w:sz w:val="24"/>
          <w:szCs w:val="24"/>
          <w:lang w:val="en-GB"/>
        </w:rPr>
        <w:t>)</w:t>
      </w:r>
      <w:r w:rsidR="00795BDF">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 xml:space="preserve">design to systematically </w:t>
      </w:r>
      <w:r w:rsidR="00DF4CC9" w:rsidRPr="00F71F57">
        <w:rPr>
          <w:rFonts w:asciiTheme="majorBidi" w:hAnsiTheme="majorBidi" w:cstheme="majorBidi"/>
          <w:sz w:val="24"/>
          <w:szCs w:val="24"/>
          <w:lang w:val="en-GB"/>
        </w:rPr>
        <w:t>implanted the baseline for the next phase of the study</w:t>
      </w:r>
      <w:r w:rsidRPr="00F71F57">
        <w:rPr>
          <w:rFonts w:asciiTheme="majorBidi" w:hAnsiTheme="majorBidi" w:cstheme="majorBidi"/>
          <w:sz w:val="24"/>
          <w:szCs w:val="24"/>
          <w:lang w:val="en-GB"/>
        </w:rPr>
        <w:t xml:space="preserve">. The use of an RCT ensures that potential sources of bias are minimized and that the results are internally valid and reproducible. By randomly assigning animals control groups, the study maintains balanced baseline characteristics among subjects, reducing the impact of confounding </w:t>
      </w:r>
      <w:r w:rsidRPr="00F71F57">
        <w:rPr>
          <w:rFonts w:asciiTheme="majorBidi" w:hAnsiTheme="majorBidi" w:cstheme="majorBidi"/>
          <w:sz w:val="24"/>
          <w:szCs w:val="24"/>
          <w:lang w:val="en-GB"/>
        </w:rPr>
        <w:lastRenderedPageBreak/>
        <w:t xml:space="preserve">variables such as age, sex, and baseline cognitive abilities. The randomized design also enhances the generalizability of findings within the scope of preclinical research, allowing for meaningful comparisons between groups.  </w:t>
      </w:r>
    </w:p>
    <w:p w14:paraId="16229EB0" w14:textId="28D3FA65" w:rsidR="0077426C" w:rsidRPr="00F71F57" w:rsidRDefault="0077426C" w:rsidP="00076D66">
      <w:pPr>
        <w:spacing w:line="360" w:lineRule="auto"/>
        <w:ind w:left="1080"/>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To assess cognitive performance, mice undergo touchscreen-based behavioral testing, which is an advanced and highly precise method for measuring various cognitive domains, including attention, learning, memory, and decision-making. The use of touchscreen chambers allows for automated stimulus presentation and response recording, reducing variability introduced by human handling. This method also closely resembles cognitive assessment techniques used in human neuropsychological studies, thereby improving the translational relevance of the findings.  </w:t>
      </w:r>
    </w:p>
    <w:p w14:paraId="18C6543B" w14:textId="50B7A4D2" w:rsidR="0077426C" w:rsidRPr="00F71F57" w:rsidRDefault="0077426C" w:rsidP="00076D66">
      <w:pPr>
        <w:spacing w:line="360" w:lineRule="auto"/>
        <w:ind w:left="1080"/>
        <w:rPr>
          <w:rFonts w:asciiTheme="majorBidi" w:hAnsiTheme="majorBidi" w:cstheme="majorBidi"/>
          <w:sz w:val="24"/>
          <w:szCs w:val="24"/>
          <w:lang w:val="en-GB"/>
        </w:rPr>
      </w:pPr>
      <w:r w:rsidRPr="00F71F57">
        <w:rPr>
          <w:rFonts w:asciiTheme="majorBidi" w:hAnsiTheme="majorBidi" w:cstheme="majorBidi"/>
          <w:sz w:val="24"/>
          <w:szCs w:val="24"/>
          <w:lang w:val="en-GB"/>
        </w:rPr>
        <w:t>The experiment follows a structured timeline, beginning with a habituation phase, during which mice are introduced to the touchscreen chambers to minimize stress and ensure familiarity with the environment. This is followed by a pre-training phase, where subjects learn basic task rules, such as initiating trials and responding to stimuli.</w:t>
      </w:r>
      <w:r w:rsidR="00DD2EF5"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 xml:space="preserve">The study design incorporates multiple test sessions per week, ensuring that any observed effects are consistent, replicable, and reflective of long-term cognitive processes rather than transient fluctuations.  </w:t>
      </w:r>
    </w:p>
    <w:p w14:paraId="6D9181CD" w14:textId="303AE049" w:rsidR="00B02408" w:rsidRPr="00F71F57" w:rsidRDefault="0077426C" w:rsidP="00076D66">
      <w:pPr>
        <w:spacing w:line="360" w:lineRule="auto"/>
        <w:ind w:left="1080"/>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To further enhance methodological rigor, the study follows a blinded experimental approach. This prevents observer bias and ensures that data interpretation remains objective. Additionally, all experimental conditions, including lighting, noise levels, feeding schedules, and handling procedures, are carefully controlled to eliminate external influences on behavior. The use of a standardized experimental protocol ensures that the results are robust, reproducible, and suitable for further preclinical investigation.  </w:t>
      </w:r>
    </w:p>
    <w:p w14:paraId="4993D106" w14:textId="77777777" w:rsidR="00076D66" w:rsidRPr="00F71F57" w:rsidRDefault="00076D66" w:rsidP="00076D66">
      <w:pPr>
        <w:spacing w:line="360" w:lineRule="auto"/>
        <w:ind w:left="1080"/>
        <w:jc w:val="both"/>
        <w:rPr>
          <w:rFonts w:asciiTheme="majorBidi" w:hAnsiTheme="majorBidi" w:cstheme="majorBidi"/>
          <w:sz w:val="24"/>
          <w:szCs w:val="24"/>
          <w:rtl/>
          <w:lang w:val="en-GB"/>
        </w:rPr>
      </w:pPr>
    </w:p>
    <w:p w14:paraId="28A60BAB" w14:textId="010AD1F0" w:rsidR="00DF68EE" w:rsidRPr="00F71F57" w:rsidRDefault="00AB2864" w:rsidP="00D623DE">
      <w:pPr>
        <w:pStyle w:val="Heading2"/>
        <w:ind w:left="1080"/>
        <w:rPr>
          <w:lang w:val="en-GB"/>
        </w:rPr>
      </w:pPr>
      <w:bookmarkStart w:id="50" w:name="_Toc214875857"/>
      <w:r w:rsidRPr="00F71F57">
        <w:rPr>
          <w:lang w:val="en-GB"/>
        </w:rPr>
        <w:lastRenderedPageBreak/>
        <w:t>2.4</w:t>
      </w:r>
      <w:r w:rsidR="00DF68EE" w:rsidRPr="00F71F57">
        <w:rPr>
          <w:lang w:val="en-GB"/>
        </w:rPr>
        <w:t xml:space="preserve"> Experimental Procedure</w:t>
      </w:r>
      <w:bookmarkEnd w:id="50"/>
      <w:r w:rsidR="00DF68EE" w:rsidRPr="00F71F57">
        <w:rPr>
          <w:lang w:val="en-GB"/>
        </w:rPr>
        <w:t xml:space="preserve"> </w:t>
      </w:r>
    </w:p>
    <w:p w14:paraId="101A881E" w14:textId="77777777" w:rsidR="00DF68EE" w:rsidRPr="00F71F57" w:rsidRDefault="00DF68EE" w:rsidP="00EC4C0E">
      <w:pPr>
        <w:ind w:left="1080"/>
        <w:rPr>
          <w:rFonts w:asciiTheme="majorBidi" w:hAnsiTheme="majorBidi" w:cstheme="majorBidi"/>
          <w:sz w:val="24"/>
          <w:szCs w:val="24"/>
          <w:lang w:val="en-GB"/>
        </w:rPr>
      </w:pPr>
      <w:r w:rsidRPr="00F71F57">
        <w:rPr>
          <w:rFonts w:asciiTheme="majorBidi" w:hAnsiTheme="majorBidi" w:cstheme="majorBidi"/>
          <w:sz w:val="24"/>
          <w:szCs w:val="24"/>
          <w:lang w:val="en-GB"/>
        </w:rPr>
        <w:t xml:space="preserve">Cognitive tasks administered: </w:t>
      </w:r>
    </w:p>
    <w:p w14:paraId="64E49966" w14:textId="086B2588" w:rsidR="00DF68EE" w:rsidRPr="00F71F57" w:rsidRDefault="00EC4C0E" w:rsidP="00EC4C0E">
      <w:pPr>
        <w:ind w:left="1080"/>
        <w:rPr>
          <w:rFonts w:asciiTheme="majorBidi" w:hAnsiTheme="majorBidi" w:cstheme="majorBidi"/>
          <w:sz w:val="24"/>
          <w:szCs w:val="24"/>
          <w:lang w:val="en-GB"/>
        </w:rPr>
      </w:pPr>
      <w:r w:rsidRPr="00F71F57">
        <w:rPr>
          <w:rFonts w:asciiTheme="majorBidi" w:hAnsiTheme="majorBidi" w:cstheme="majorBidi"/>
          <w:sz w:val="24"/>
          <w:szCs w:val="24"/>
          <w:lang w:val="en-GB"/>
        </w:rPr>
        <w:t>1-</w:t>
      </w:r>
      <w:r w:rsidR="00C37FF7">
        <w:rPr>
          <w:rFonts w:asciiTheme="majorBidi" w:hAnsiTheme="majorBidi" w:cstheme="majorBidi"/>
          <w:sz w:val="24"/>
          <w:szCs w:val="24"/>
          <w:lang w:val="en-GB"/>
        </w:rPr>
        <w:t>Pairwise</w:t>
      </w:r>
      <w:r w:rsidR="00DF68EE" w:rsidRPr="00F71F57">
        <w:rPr>
          <w:rFonts w:asciiTheme="majorBidi" w:hAnsiTheme="majorBidi" w:cstheme="majorBidi"/>
          <w:sz w:val="24"/>
          <w:szCs w:val="24"/>
          <w:lang w:val="en-GB"/>
        </w:rPr>
        <w:t xml:space="preserve"> Visual Discrimination</w:t>
      </w:r>
      <w:r w:rsidR="00C37FF7">
        <w:rPr>
          <w:rFonts w:asciiTheme="majorBidi" w:hAnsiTheme="majorBidi" w:cstheme="majorBidi"/>
          <w:sz w:val="24"/>
          <w:szCs w:val="24"/>
          <w:lang w:val="en-GB"/>
        </w:rPr>
        <w:t xml:space="preserve"> and Reversal Learning</w:t>
      </w:r>
      <w:r w:rsidR="00D10213">
        <w:rPr>
          <w:rFonts w:asciiTheme="majorBidi" w:hAnsiTheme="majorBidi" w:cstheme="majorBidi"/>
          <w:sz w:val="24"/>
          <w:szCs w:val="24"/>
          <w:lang w:val="en-GB"/>
        </w:rPr>
        <w:t xml:space="preserve"> (PVD)</w:t>
      </w:r>
    </w:p>
    <w:p w14:paraId="30DDC83B" w14:textId="16121FE8" w:rsidR="00DF68EE" w:rsidRPr="00F71F57" w:rsidRDefault="00EC4C0E" w:rsidP="00EC4C0E">
      <w:pPr>
        <w:ind w:left="1080"/>
        <w:rPr>
          <w:rFonts w:asciiTheme="majorBidi" w:hAnsiTheme="majorBidi" w:cstheme="majorBidi"/>
          <w:sz w:val="24"/>
          <w:szCs w:val="24"/>
          <w:lang w:val="en-GB"/>
        </w:rPr>
      </w:pPr>
      <w:r w:rsidRPr="00F71F57">
        <w:rPr>
          <w:rFonts w:asciiTheme="majorBidi" w:hAnsiTheme="majorBidi" w:cstheme="majorBidi"/>
          <w:sz w:val="24"/>
          <w:szCs w:val="24"/>
          <w:lang w:val="en-GB"/>
        </w:rPr>
        <w:t>2-</w:t>
      </w:r>
      <w:r w:rsidR="00DF68EE" w:rsidRPr="00F71F57">
        <w:rPr>
          <w:rFonts w:asciiTheme="majorBidi" w:hAnsiTheme="majorBidi" w:cstheme="majorBidi"/>
          <w:sz w:val="24"/>
          <w:szCs w:val="24"/>
          <w:lang w:val="en-GB"/>
        </w:rPr>
        <w:t>Paired Associate Learning (PAL)</w:t>
      </w:r>
    </w:p>
    <w:p w14:paraId="475741AC" w14:textId="5CF0447E" w:rsidR="00DF68EE" w:rsidRPr="00F71F57" w:rsidRDefault="00EC4C0E" w:rsidP="00EC4C0E">
      <w:pPr>
        <w:ind w:left="1080"/>
        <w:rPr>
          <w:rFonts w:asciiTheme="majorBidi" w:hAnsiTheme="majorBidi" w:cstheme="majorBidi"/>
          <w:sz w:val="24"/>
          <w:szCs w:val="24"/>
          <w:lang w:val="en-GB"/>
        </w:rPr>
      </w:pPr>
      <w:r w:rsidRPr="00F71F57">
        <w:rPr>
          <w:rFonts w:asciiTheme="majorBidi" w:hAnsiTheme="majorBidi" w:cstheme="majorBidi"/>
          <w:sz w:val="24"/>
          <w:szCs w:val="24"/>
          <w:lang w:val="en-GB"/>
        </w:rPr>
        <w:t>3-</w:t>
      </w:r>
      <w:r w:rsidR="00DF68EE" w:rsidRPr="00F71F57">
        <w:rPr>
          <w:rFonts w:asciiTheme="majorBidi" w:hAnsiTheme="majorBidi" w:cstheme="majorBidi"/>
          <w:sz w:val="24"/>
          <w:szCs w:val="24"/>
          <w:lang w:val="en-GB"/>
        </w:rPr>
        <w:t>5-Choice Serial Reaction Time Task (5CSRTT)</w:t>
      </w:r>
    </w:p>
    <w:p w14:paraId="797F2CD6" w14:textId="467C9B36" w:rsidR="00DF68EE" w:rsidRPr="00F71F57" w:rsidRDefault="00EC4C0E" w:rsidP="00EC4C0E">
      <w:pPr>
        <w:ind w:left="1080"/>
        <w:rPr>
          <w:rFonts w:asciiTheme="majorBidi" w:hAnsiTheme="majorBidi" w:cstheme="majorBidi"/>
          <w:sz w:val="24"/>
          <w:szCs w:val="24"/>
          <w:lang w:val="en-GB"/>
        </w:rPr>
      </w:pPr>
      <w:r w:rsidRPr="00F71F57">
        <w:rPr>
          <w:rFonts w:asciiTheme="majorBidi" w:hAnsiTheme="majorBidi" w:cstheme="majorBidi"/>
          <w:sz w:val="24"/>
          <w:szCs w:val="24"/>
          <w:lang w:val="en-GB"/>
        </w:rPr>
        <w:t>4-</w:t>
      </w:r>
      <w:r w:rsidR="00DF68EE" w:rsidRPr="00F71F57">
        <w:rPr>
          <w:rFonts w:asciiTheme="majorBidi" w:hAnsiTheme="majorBidi" w:cstheme="majorBidi"/>
          <w:sz w:val="24"/>
          <w:szCs w:val="24"/>
          <w:lang w:val="en-GB"/>
        </w:rPr>
        <w:t>Rodent Continuous Performance Test (rCPT)</w:t>
      </w:r>
    </w:p>
    <w:p w14:paraId="6C2E6BDD" w14:textId="07128DB5" w:rsidR="00A6152D" w:rsidRPr="00F71F57" w:rsidRDefault="00EC4C0E" w:rsidP="00EC4C0E">
      <w:pPr>
        <w:ind w:left="1080"/>
        <w:rPr>
          <w:rFonts w:asciiTheme="majorBidi" w:hAnsiTheme="majorBidi" w:cstheme="majorBidi"/>
          <w:sz w:val="24"/>
          <w:szCs w:val="24"/>
          <w:lang w:val="en-GB"/>
        </w:rPr>
      </w:pPr>
      <w:r w:rsidRPr="00F71F57">
        <w:rPr>
          <w:rFonts w:asciiTheme="majorBidi" w:hAnsiTheme="majorBidi" w:cstheme="majorBidi"/>
          <w:sz w:val="24"/>
          <w:szCs w:val="24"/>
          <w:lang w:val="en-GB"/>
        </w:rPr>
        <w:t>5-</w:t>
      </w:r>
      <w:r w:rsidR="00A6152D" w:rsidRPr="00F71F57">
        <w:rPr>
          <w:rFonts w:asciiTheme="majorBidi" w:hAnsiTheme="majorBidi" w:cstheme="majorBidi"/>
          <w:sz w:val="24"/>
          <w:szCs w:val="24"/>
          <w:lang w:val="en-GB"/>
        </w:rPr>
        <w:t>Trial unique non-matching to location (TUNL)</w:t>
      </w:r>
    </w:p>
    <w:p w14:paraId="1068349F" w14:textId="3B59DC08" w:rsidR="00A6152D" w:rsidRPr="00F71F57" w:rsidRDefault="00EC4C0E" w:rsidP="00EC4C0E">
      <w:pPr>
        <w:ind w:left="1080"/>
        <w:rPr>
          <w:rFonts w:asciiTheme="majorBidi" w:hAnsiTheme="majorBidi" w:cstheme="majorBidi"/>
          <w:sz w:val="24"/>
          <w:szCs w:val="24"/>
          <w:lang w:val="en-GB"/>
        </w:rPr>
      </w:pPr>
      <w:r w:rsidRPr="00F71F57">
        <w:rPr>
          <w:rFonts w:asciiTheme="majorBidi" w:hAnsiTheme="majorBidi" w:cstheme="majorBidi"/>
          <w:sz w:val="24"/>
          <w:szCs w:val="24"/>
          <w:lang w:val="en-GB"/>
        </w:rPr>
        <w:t>6-</w:t>
      </w:r>
      <w:r w:rsidR="00A6152D" w:rsidRPr="00F71F57">
        <w:rPr>
          <w:rFonts w:asciiTheme="majorBidi" w:hAnsiTheme="majorBidi" w:cstheme="majorBidi"/>
          <w:sz w:val="24"/>
          <w:szCs w:val="24"/>
          <w:lang w:val="en-GB"/>
        </w:rPr>
        <w:t>4-Choice Gambling Task (4</w:t>
      </w:r>
      <w:r w:rsidR="00676DF9">
        <w:rPr>
          <w:rFonts w:asciiTheme="majorBidi" w:hAnsiTheme="majorBidi" w:cstheme="majorBidi"/>
          <w:sz w:val="24"/>
          <w:szCs w:val="24"/>
          <w:lang w:val="en-GB"/>
        </w:rPr>
        <w:t>-</w:t>
      </w:r>
      <w:r w:rsidR="00A6152D" w:rsidRPr="00F71F57">
        <w:rPr>
          <w:rFonts w:asciiTheme="majorBidi" w:hAnsiTheme="majorBidi" w:cstheme="majorBidi"/>
          <w:sz w:val="24"/>
          <w:szCs w:val="24"/>
          <w:lang w:val="en-GB"/>
        </w:rPr>
        <w:t>CGT)</w:t>
      </w:r>
    </w:p>
    <w:p w14:paraId="7E8C229B" w14:textId="716D887F" w:rsidR="009D2004" w:rsidRDefault="009D2004" w:rsidP="00076D66">
      <w:pPr>
        <w:spacing w:line="360" w:lineRule="auto"/>
        <w:ind w:left="1080"/>
        <w:rPr>
          <w:rFonts w:asciiTheme="majorBidi" w:hAnsiTheme="majorBidi" w:cstheme="majorBidi"/>
          <w:sz w:val="24"/>
          <w:szCs w:val="24"/>
          <w:lang w:val="en-GB"/>
        </w:rPr>
      </w:pPr>
      <w:r w:rsidRPr="00F71F57">
        <w:rPr>
          <w:rFonts w:asciiTheme="majorBidi" w:hAnsiTheme="majorBidi" w:cstheme="majorBidi"/>
          <w:sz w:val="24"/>
          <w:szCs w:val="24"/>
          <w:lang w:val="en-GB"/>
        </w:rPr>
        <w:t>Each task has been selected for its ability to assess specific cognitive domains, including learning, memory, attention, executive function, and decision-making.</w:t>
      </w:r>
    </w:p>
    <w:p w14:paraId="121A56DE" w14:textId="77777777" w:rsidR="001E372F" w:rsidRPr="00F71F57" w:rsidRDefault="001E372F" w:rsidP="00076D66">
      <w:pPr>
        <w:spacing w:line="360" w:lineRule="auto"/>
        <w:ind w:left="1080"/>
        <w:rPr>
          <w:rFonts w:asciiTheme="majorBidi" w:hAnsiTheme="majorBidi" w:cstheme="majorBidi"/>
          <w:sz w:val="24"/>
          <w:szCs w:val="24"/>
          <w:lang w:val="en-GB"/>
        </w:rPr>
      </w:pPr>
    </w:p>
    <w:p w14:paraId="61189EB3" w14:textId="535398C7" w:rsidR="009D2004" w:rsidRPr="00F71F57" w:rsidRDefault="00AB2864" w:rsidP="00D623DE">
      <w:pPr>
        <w:pStyle w:val="Heading3"/>
        <w:ind w:left="1080"/>
        <w:rPr>
          <w:lang w:val="en-GB"/>
        </w:rPr>
      </w:pPr>
      <w:bookmarkStart w:id="51" w:name="_Toc214875858"/>
      <w:r w:rsidRPr="00F71F57">
        <w:rPr>
          <w:lang w:val="en-GB"/>
        </w:rPr>
        <w:t>2.4.</w:t>
      </w:r>
      <w:r w:rsidR="009D2004" w:rsidRPr="00F71F57">
        <w:rPr>
          <w:lang w:val="en-GB"/>
        </w:rPr>
        <w:t xml:space="preserve">1 </w:t>
      </w:r>
      <w:r w:rsidR="00C37FF7" w:rsidRPr="00C37FF7">
        <w:rPr>
          <w:lang w:val="en-GB"/>
        </w:rPr>
        <w:t>Pairwise Visual Discrimination and Reversal Learning</w:t>
      </w:r>
      <w:r w:rsidR="00D10213">
        <w:rPr>
          <w:lang w:val="en-GB"/>
        </w:rPr>
        <w:t xml:space="preserve"> (PVD)</w:t>
      </w:r>
      <w:bookmarkEnd w:id="51"/>
    </w:p>
    <w:p w14:paraId="1F2B4D79" w14:textId="0154BB86" w:rsidR="001E372F" w:rsidRPr="00EE3D19" w:rsidRDefault="009D2004" w:rsidP="00EE3D19">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The </w:t>
      </w:r>
      <w:r w:rsidR="00101019">
        <w:rPr>
          <w:rFonts w:asciiTheme="majorBidi" w:hAnsiTheme="majorBidi" w:cstheme="majorBidi"/>
          <w:sz w:val="24"/>
          <w:szCs w:val="24"/>
          <w:lang w:val="en-GB"/>
        </w:rPr>
        <w:t>Pairwise</w:t>
      </w:r>
      <w:r w:rsidR="00101019" w:rsidRPr="00F71F57">
        <w:rPr>
          <w:rFonts w:asciiTheme="majorBidi" w:hAnsiTheme="majorBidi" w:cstheme="majorBidi"/>
          <w:sz w:val="24"/>
          <w:szCs w:val="24"/>
          <w:lang w:val="en-GB"/>
        </w:rPr>
        <w:t xml:space="preserve"> Visual Discrimination</w:t>
      </w:r>
      <w:r w:rsidR="00101019">
        <w:rPr>
          <w:rFonts w:asciiTheme="majorBidi" w:hAnsiTheme="majorBidi" w:cstheme="majorBidi"/>
          <w:sz w:val="24"/>
          <w:szCs w:val="24"/>
          <w:lang w:val="en-GB"/>
        </w:rPr>
        <w:t xml:space="preserve"> and Reversal Learning</w:t>
      </w:r>
      <w:r w:rsidRPr="00F71F57">
        <w:rPr>
          <w:rFonts w:asciiTheme="majorBidi" w:hAnsiTheme="majorBidi" w:cstheme="majorBidi"/>
          <w:sz w:val="24"/>
          <w:szCs w:val="24"/>
          <w:lang w:val="en-GB"/>
        </w:rPr>
        <w:t xml:space="preserve"> Task is a well-established paradigm designed to assess cognitive function, particularly learning, memory, and decision-making processes, in rodent models. This touchscreen-based task involves training mice to distinguish between two visual stimuli presented on a screen and to select the correct stimulus based on reinforcement contingencies. The task is particularly valuable in translational research because it closely resembles computer-based cognitive testing in humans.</w:t>
      </w:r>
      <w:r w:rsidR="00EC4C0E"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 xml:space="preserve">Each trial of the </w:t>
      </w:r>
      <w:r w:rsidR="00101019">
        <w:rPr>
          <w:rFonts w:asciiTheme="majorBidi" w:hAnsiTheme="majorBidi" w:cstheme="majorBidi"/>
          <w:sz w:val="24"/>
          <w:szCs w:val="24"/>
          <w:lang w:val="en-GB"/>
        </w:rPr>
        <w:t>Pairwise</w:t>
      </w:r>
      <w:r w:rsidR="00101019" w:rsidRPr="00F71F57">
        <w:rPr>
          <w:rFonts w:asciiTheme="majorBidi" w:hAnsiTheme="majorBidi" w:cstheme="majorBidi"/>
          <w:sz w:val="24"/>
          <w:szCs w:val="24"/>
          <w:lang w:val="en-GB"/>
        </w:rPr>
        <w:t xml:space="preserve"> Visual Discrimination</w:t>
      </w:r>
      <w:r w:rsidR="00101019">
        <w:rPr>
          <w:rFonts w:asciiTheme="majorBidi" w:hAnsiTheme="majorBidi" w:cstheme="majorBidi"/>
          <w:sz w:val="24"/>
          <w:szCs w:val="24"/>
          <w:lang w:val="en-GB"/>
        </w:rPr>
        <w:t xml:space="preserve"> and Reversal Learning</w:t>
      </w:r>
      <w:r w:rsidR="00101019"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Task begins with the presentation of two novel stimuli on a touchscreen. One of these stimuli is predesignated as the correct choice (S+), while the other serves as the incorrect choice (S-). The location of the correct stimulus is determined pseudo-randomly on either the left or right side of the screen to prevent side bias. The subject must use its nose to poke the correct stimulus to receive a food reward. Incorrect responses are followed by a timeout period, during which no reward is given, and a correction trial is initiated, allowing the mouse to attempt the same trial again under the same conditions.</w:t>
      </w:r>
      <w:r w:rsidR="00094E20"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 xml:space="preserve">The performance of mice in the VD task is typically </w:t>
      </w:r>
      <w:r w:rsidRPr="00F71F57">
        <w:rPr>
          <w:rFonts w:asciiTheme="majorBidi" w:hAnsiTheme="majorBidi" w:cstheme="majorBidi"/>
          <w:sz w:val="24"/>
          <w:szCs w:val="24"/>
          <w:lang w:val="en-GB"/>
        </w:rPr>
        <w:lastRenderedPageBreak/>
        <w:t>measured by accuracy rates, response latency, trial completion rates, and the number of correction trials required.</w:t>
      </w:r>
    </w:p>
    <w:p w14:paraId="34E1E157" w14:textId="11164A41" w:rsidR="009D2004" w:rsidRPr="00F71F57" w:rsidRDefault="009D2004" w:rsidP="00076D66">
      <w:pPr>
        <w:spacing w:line="360" w:lineRule="auto"/>
        <w:ind w:left="1080"/>
        <w:jc w:val="both"/>
        <w:rPr>
          <w:rFonts w:asciiTheme="majorBidi" w:hAnsiTheme="majorBidi" w:cstheme="majorBidi"/>
          <w:b/>
          <w:bCs/>
          <w:sz w:val="24"/>
          <w:szCs w:val="24"/>
          <w:lang w:val="en-GB"/>
        </w:rPr>
      </w:pPr>
      <w:r w:rsidRPr="00F71F57">
        <w:rPr>
          <w:rFonts w:asciiTheme="majorBidi" w:hAnsiTheme="majorBidi" w:cstheme="majorBidi"/>
          <w:b/>
          <w:bCs/>
          <w:sz w:val="24"/>
          <w:szCs w:val="24"/>
          <w:lang w:val="en-GB"/>
        </w:rPr>
        <w:t>Experimental Protocol</w:t>
      </w:r>
    </w:p>
    <w:p w14:paraId="1D9F53C2" w14:textId="2D764438" w:rsidR="009D2004" w:rsidRDefault="00D24CC3" w:rsidP="00D24CC3">
      <w:pPr>
        <w:spacing w:line="360" w:lineRule="auto"/>
        <w:ind w:left="1080"/>
        <w:jc w:val="both"/>
        <w:rPr>
          <w:rFonts w:asciiTheme="majorBidi" w:hAnsiTheme="majorBidi" w:cstheme="majorBidi"/>
          <w:sz w:val="24"/>
          <w:szCs w:val="24"/>
          <w:lang w:val="en-GB"/>
        </w:rPr>
      </w:pPr>
      <w:r w:rsidRPr="00D24CC3">
        <w:rPr>
          <w:rFonts w:asciiTheme="majorBidi" w:hAnsiTheme="majorBidi" w:cstheme="majorBidi"/>
          <w:sz w:val="24"/>
          <w:szCs w:val="24"/>
          <w:lang w:val="en-GB"/>
        </w:rPr>
        <w:t xml:space="preserve">The pre-training started with a series of habituation sessions in which the mice learned to collect the food reward (20 </w:t>
      </w:r>
      <w:r w:rsidR="00C77EA9" w:rsidRPr="00D24CC3">
        <w:rPr>
          <w:rFonts w:asciiTheme="majorBidi" w:hAnsiTheme="majorBidi" w:cstheme="majorBidi"/>
          <w:sz w:val="24"/>
          <w:szCs w:val="24"/>
          <w:lang w:val="en-GB"/>
        </w:rPr>
        <w:t>μL</w:t>
      </w:r>
      <w:r w:rsidRPr="00D24CC3">
        <w:rPr>
          <w:rFonts w:asciiTheme="majorBidi" w:hAnsiTheme="majorBidi" w:cstheme="majorBidi"/>
          <w:sz w:val="24"/>
          <w:szCs w:val="24"/>
          <w:lang w:val="en-GB"/>
        </w:rPr>
        <w:t xml:space="preserve"> condensed strawberry flavoured milk). Then, animals were taught the relationship between offset of a visual stimulus and the delivery of reward in the “initial touch” phase. A reward was given after touching the stimulus or after a time period of 30 s, accompanied with illumination of the reward magazine. After reaching criterion, which was for all pre-training stages 30 trials within 60 min, animals moved to the “must touch” phase. In this phase, stimulus offset was dependent on the mouse touching the screen. The stimulus remained on the screen until it was touched. After reaching the mentioned criterion, animals moved to the next phase, which was the “initiate must touch” phase. In addition to the previous phase, now animals had to initiate a trial by nose poking into the reward magazine. The pre-training also included a “punish incorrect” phase. In this phase, when touching the blank location, a 5-second time out with lights-on ‘aversive’ stimulus was presented to all animals, to prevent the development of a side-bias in the chamber. These sessions continued until the mice collected all rewards. Animals</w:t>
      </w:r>
      <w:r w:rsidR="00C77EA9">
        <w:rPr>
          <w:rFonts w:asciiTheme="majorBidi" w:hAnsiTheme="majorBidi" w:cstheme="majorBidi"/>
          <w:sz w:val="24"/>
          <w:szCs w:val="24"/>
          <w:lang w:val="en-GB"/>
        </w:rPr>
        <w:t xml:space="preserve"> at least</w:t>
      </w:r>
      <w:r w:rsidRPr="00D24CC3">
        <w:rPr>
          <w:rFonts w:asciiTheme="majorBidi" w:hAnsiTheme="majorBidi" w:cstheme="majorBidi"/>
          <w:sz w:val="24"/>
          <w:szCs w:val="24"/>
          <w:lang w:val="en-GB"/>
        </w:rPr>
        <w:t xml:space="preserve"> had five sessions per week with 30 trials or a maximum time of one hour per session. After animals had completed pre-training, mice were moved to the actual task. This consisted of the acquisition of a visual discrimination paradigm as depicted: one of the stimuli was designated as correct (S+), whereas the other was incorrect (S−). Horizontal and vertical gratings were randomly assigned as being S+ or S− and the location was pseudo randomly presented for each trial. The stimuli were not displayed in the same location for more than three consecutive trials. After a correct response, both stimuli were removed, and a liquid reward was delivered in the illuminated magazine. After the collection of the reward, a 20 s inter-trial-interval (ITI) was initiated. An incorrect response was </w:t>
      </w:r>
      <w:r w:rsidRPr="00D24CC3">
        <w:rPr>
          <w:rFonts w:asciiTheme="majorBidi" w:hAnsiTheme="majorBidi" w:cstheme="majorBidi"/>
          <w:sz w:val="24"/>
          <w:szCs w:val="24"/>
          <w:lang w:val="en-GB"/>
        </w:rPr>
        <w:lastRenderedPageBreak/>
        <w:t>followed by lighting of the house light; removal of both stimuli and a time-out period of 5 s in all animals. In addition, the mice had to perform correction trials in which the same position of the two stimuli was repeated until the correct stimulus (S+) was chosen. These correction trials did not add to the total trial number, which was always set to 30 trials. New trials were initiated by a nose poke accompanied with illumination of the reward magazine. After all animals reached criterion (≥ 80% correct) on two consecutive days, reward contingencies reversed and reacquisition of the new associations was started, making the old S− stimulus the new S+ and vice versa.</w:t>
      </w:r>
      <w:r w:rsidR="009D2004" w:rsidRPr="00F71F57">
        <w:rPr>
          <w:rFonts w:asciiTheme="majorBidi" w:hAnsiTheme="majorBidi" w:cstheme="majorBidi"/>
          <w:sz w:val="24"/>
          <w:szCs w:val="24"/>
          <w:lang w:val="en-GB"/>
        </w:rPr>
        <w:br/>
      </w:r>
      <w:r w:rsidR="003A3158">
        <w:rPr>
          <w:rFonts w:asciiTheme="majorBidi" w:hAnsiTheme="majorBidi" w:cstheme="majorBidi"/>
          <w:noProof/>
          <w:sz w:val="24"/>
          <w:szCs w:val="24"/>
          <w:lang w:val="en-GB"/>
        </w:rPr>
        <w:drawing>
          <wp:anchor distT="0" distB="0" distL="114300" distR="114300" simplePos="0" relativeHeight="251668480" behindDoc="1" locked="0" layoutInCell="1" allowOverlap="1" wp14:anchorId="78CB312A" wp14:editId="57090701">
            <wp:simplePos x="0" y="0"/>
            <wp:positionH relativeFrom="column">
              <wp:posOffset>807720</wp:posOffset>
            </wp:positionH>
            <wp:positionV relativeFrom="page">
              <wp:posOffset>3878580</wp:posOffset>
            </wp:positionV>
            <wp:extent cx="1906905" cy="1463040"/>
            <wp:effectExtent l="0" t="0" r="0" b="381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rotWithShape="1">
                    <a:blip r:embed="rId20">
                      <a:extLst>
                        <a:ext uri="{28A0092B-C50C-407E-A947-70E740481C1C}">
                          <a14:useLocalDpi xmlns:a14="http://schemas.microsoft.com/office/drawing/2010/main" val="0"/>
                        </a:ext>
                      </a:extLst>
                    </a:blip>
                    <a:srcRect l="15792"/>
                    <a:stretch/>
                  </pic:blipFill>
                  <pic:spPr bwMode="auto">
                    <a:xfrm>
                      <a:off x="0" y="0"/>
                      <a:ext cx="1906905" cy="14630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A3158">
        <w:rPr>
          <w:rFonts w:asciiTheme="majorBidi" w:hAnsiTheme="majorBidi" w:cstheme="majorBidi"/>
          <w:noProof/>
          <w:sz w:val="24"/>
          <w:szCs w:val="24"/>
          <w:lang w:val="en-GB"/>
        </w:rPr>
        <w:drawing>
          <wp:anchor distT="0" distB="0" distL="114300" distR="114300" simplePos="0" relativeHeight="251667456" behindDoc="1" locked="0" layoutInCell="1" allowOverlap="1" wp14:anchorId="0CE88B14" wp14:editId="195D5E87">
            <wp:simplePos x="0" y="0"/>
            <wp:positionH relativeFrom="column">
              <wp:posOffset>2865120</wp:posOffset>
            </wp:positionH>
            <wp:positionV relativeFrom="page">
              <wp:posOffset>3779520</wp:posOffset>
            </wp:positionV>
            <wp:extent cx="1844040" cy="1516380"/>
            <wp:effectExtent l="0" t="0" r="3810" b="7620"/>
            <wp:wrapTight wrapText="bothSides">
              <wp:wrapPolygon edited="0">
                <wp:start x="0" y="0"/>
                <wp:lineTo x="0" y="21437"/>
                <wp:lineTo x="21421" y="21437"/>
                <wp:lineTo x="21421"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21">
                      <a:extLst>
                        <a:ext uri="{28A0092B-C50C-407E-A947-70E740481C1C}">
                          <a14:useLocalDpi xmlns:a14="http://schemas.microsoft.com/office/drawing/2010/main" val="0"/>
                        </a:ext>
                      </a:extLst>
                    </a:blip>
                    <a:srcRect l="12640"/>
                    <a:stretch/>
                  </pic:blipFill>
                  <pic:spPr bwMode="auto">
                    <a:xfrm>
                      <a:off x="0" y="0"/>
                      <a:ext cx="1844040" cy="15163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E1E82">
        <w:rPr>
          <w:rFonts w:asciiTheme="majorBidi" w:hAnsiTheme="majorBidi" w:cstheme="majorBidi"/>
          <w:sz w:val="24"/>
          <w:szCs w:val="24"/>
          <w:lang w:val="en-GB"/>
        </w:rPr>
        <w:t xml:space="preserve"> </w:t>
      </w:r>
    </w:p>
    <w:p w14:paraId="226EE94D" w14:textId="16B80180" w:rsidR="00C77EA9" w:rsidRDefault="00C77EA9" w:rsidP="00D24CC3">
      <w:pPr>
        <w:spacing w:line="360" w:lineRule="auto"/>
        <w:ind w:left="1080"/>
        <w:jc w:val="both"/>
        <w:rPr>
          <w:rFonts w:asciiTheme="majorBidi" w:hAnsiTheme="majorBidi" w:cstheme="majorBidi"/>
          <w:sz w:val="24"/>
          <w:szCs w:val="24"/>
          <w:lang w:val="en-GB"/>
        </w:rPr>
      </w:pPr>
    </w:p>
    <w:p w14:paraId="539C1C42" w14:textId="2AC6F92A" w:rsidR="002E1E82" w:rsidRDefault="002E1E82" w:rsidP="00D24CC3">
      <w:pPr>
        <w:spacing w:line="360" w:lineRule="auto"/>
        <w:ind w:left="1080"/>
        <w:jc w:val="both"/>
        <w:rPr>
          <w:rFonts w:asciiTheme="majorBidi" w:hAnsiTheme="majorBidi" w:cstheme="majorBidi"/>
          <w:sz w:val="24"/>
          <w:szCs w:val="24"/>
          <w:lang w:val="en-GB"/>
        </w:rPr>
      </w:pPr>
    </w:p>
    <w:p w14:paraId="3E47462E" w14:textId="2FD71FC5" w:rsidR="00C77EA9" w:rsidRDefault="00C77EA9" w:rsidP="00D24CC3">
      <w:pPr>
        <w:spacing w:line="360" w:lineRule="auto"/>
        <w:ind w:left="1080"/>
        <w:jc w:val="both"/>
        <w:rPr>
          <w:rFonts w:asciiTheme="majorBidi" w:hAnsiTheme="majorBidi" w:cstheme="majorBidi"/>
          <w:sz w:val="24"/>
          <w:szCs w:val="24"/>
          <w:lang w:val="en-GB"/>
        </w:rPr>
      </w:pPr>
    </w:p>
    <w:p w14:paraId="0B002E97" w14:textId="77777777" w:rsidR="00D623DE" w:rsidRDefault="00D623DE" w:rsidP="00766371">
      <w:pPr>
        <w:spacing w:line="360" w:lineRule="auto"/>
        <w:ind w:left="1080"/>
        <w:jc w:val="both"/>
        <w:rPr>
          <w:rFonts w:asciiTheme="majorBidi" w:hAnsiTheme="majorBidi" w:cstheme="majorBidi"/>
          <w:b/>
          <w:bCs/>
          <w:lang w:val="en-GB"/>
        </w:rPr>
      </w:pPr>
    </w:p>
    <w:p w14:paraId="56671856" w14:textId="51497440" w:rsidR="00C77EA9" w:rsidRPr="008F0C5E" w:rsidRDefault="00766371" w:rsidP="00766371">
      <w:pPr>
        <w:spacing w:line="360" w:lineRule="auto"/>
        <w:ind w:left="1080"/>
        <w:jc w:val="both"/>
        <w:rPr>
          <w:rFonts w:asciiTheme="majorBidi" w:hAnsiTheme="majorBidi" w:cstheme="majorBidi"/>
          <w:lang w:val="en-GB"/>
        </w:rPr>
      </w:pPr>
      <w:r w:rsidRPr="008F0C5E">
        <w:rPr>
          <w:rFonts w:asciiTheme="majorBidi" w:hAnsiTheme="majorBidi" w:cstheme="majorBidi"/>
          <w:b/>
          <w:bCs/>
          <w:lang w:val="en-GB"/>
        </w:rPr>
        <w:t xml:space="preserve">Figure </w:t>
      </w:r>
      <w:r w:rsidR="00EE3D19" w:rsidRPr="008F0C5E">
        <w:rPr>
          <w:rFonts w:asciiTheme="majorBidi" w:hAnsiTheme="majorBidi" w:cstheme="majorBidi"/>
          <w:b/>
          <w:bCs/>
          <w:lang w:val="en-GB"/>
        </w:rPr>
        <w:t>3</w:t>
      </w:r>
      <w:r w:rsidRPr="008F0C5E">
        <w:rPr>
          <w:rFonts w:asciiTheme="majorBidi" w:hAnsiTheme="majorBidi" w:cstheme="majorBidi"/>
          <w:b/>
          <w:bCs/>
          <w:lang w:val="en-GB"/>
        </w:rPr>
        <w:t>. Pairwise visual discrimination (PVD) acquisition and reversal learning</w:t>
      </w:r>
      <w:r w:rsidR="009B021E" w:rsidRPr="008F0C5E">
        <w:rPr>
          <w:rFonts w:asciiTheme="majorBidi" w:hAnsiTheme="majorBidi" w:cstheme="majorBidi"/>
          <w:b/>
          <w:bCs/>
          <w:lang w:val="en-GB"/>
        </w:rPr>
        <w:t xml:space="preserve"> </w:t>
      </w:r>
      <w:r w:rsidR="009B021E" w:rsidRPr="008F0C5E">
        <w:rPr>
          <w:rFonts w:asciiTheme="majorBidi" w:hAnsiTheme="majorBidi" w:cstheme="majorBidi"/>
          <w:b/>
          <w:bCs/>
          <w:lang w:val="en-GB"/>
        </w:rPr>
        <w:fldChar w:fldCharType="begin"/>
      </w:r>
      <w:r w:rsidR="009B021E" w:rsidRPr="008F0C5E">
        <w:rPr>
          <w:rFonts w:asciiTheme="majorBidi" w:hAnsiTheme="majorBidi" w:cstheme="majorBidi"/>
          <w:b/>
          <w:bCs/>
          <w:lang w:val="en-GB"/>
        </w:rPr>
        <w:instrText xml:space="preserve"> ADDIN EN.CITE &lt;EndNote&gt;&lt;Cite&gt;&lt;Author&gt;Luo&lt;/Author&gt;&lt;Year&gt;2020&lt;/Year&gt;&lt;RecNum&gt;377&lt;/RecNum&gt;&lt;DisplayText&gt;(Luo et al., 2020)&lt;/DisplayText&gt;&lt;record&gt;&lt;rec-number&gt;377&lt;/rec-number&gt;&lt;foreign-keys&gt;&lt;key app="EN" db-id="2ptrtps0adr9vke22dn5tpwzrsfaxtxrfwet" timestamp="1761125046"&gt;377&lt;/key&gt;&lt;/foreign-keys&gt;&lt;ref-type name="Journal Article"&gt;17&lt;/ref-type&gt;&lt;contributors&gt;&lt;authors&gt;&lt;author&gt;Luo, Jiaqi&lt;/author&gt;&lt;author&gt;Tan, Jessica M&lt;/author&gt;&lt;author&gt;Nithianantharajah, Jess&lt;/author&gt;&lt;/authors&gt;&lt;/contributors&gt;&lt;titles&gt;&lt;title&gt;Associative Learning and Motivation Differentially Requires Neuroligin-1 at Excitatory Synapses&lt;/title&gt;&lt;secondary-title&gt;bioRxiv&lt;/secondary-title&gt;&lt;/titles&gt;&lt;periodical&gt;&lt;full-title&gt;bioRxiv&lt;/full-title&gt;&lt;/periodical&gt;&lt;pages&gt;2020.01.01.890798&lt;/pages&gt;&lt;dates&gt;&lt;year&gt;2020&lt;/year&gt;&lt;/dates&gt;&lt;urls&gt;&lt;related-urls&gt;&lt;url&gt;https://www.biorxiv.org/content/biorxiv/early/2020/01/02/2020.01.01.890798.full.pdf&lt;/url&gt;&lt;/related-urls&gt;&lt;/urls&gt;&lt;electronic-resource-num&gt;10.1101/2020.01.01.890798&lt;/electronic-resource-num&gt;&lt;/record&gt;&lt;/Cite&gt;&lt;/EndNote&gt;</w:instrText>
      </w:r>
      <w:r w:rsidR="009B021E" w:rsidRPr="008F0C5E">
        <w:rPr>
          <w:rFonts w:asciiTheme="majorBidi" w:hAnsiTheme="majorBidi" w:cstheme="majorBidi"/>
          <w:b/>
          <w:bCs/>
          <w:lang w:val="en-GB"/>
        </w:rPr>
        <w:fldChar w:fldCharType="separate"/>
      </w:r>
      <w:r w:rsidR="009B021E" w:rsidRPr="008F0C5E">
        <w:rPr>
          <w:rFonts w:asciiTheme="majorBidi" w:hAnsiTheme="majorBidi" w:cstheme="majorBidi"/>
          <w:b/>
          <w:bCs/>
          <w:noProof/>
          <w:lang w:val="en-GB"/>
        </w:rPr>
        <w:t>(</w:t>
      </w:r>
      <w:hyperlink w:anchor="_ENREF_145" w:tooltip="Luo, 2020 #377" w:history="1">
        <w:r w:rsidR="00DE113E" w:rsidRPr="008F0C5E">
          <w:rPr>
            <w:rFonts w:asciiTheme="majorBidi" w:hAnsiTheme="majorBidi" w:cstheme="majorBidi"/>
            <w:b/>
            <w:bCs/>
            <w:noProof/>
            <w:lang w:val="en-GB"/>
          </w:rPr>
          <w:t>Luo et al., 2020</w:t>
        </w:r>
      </w:hyperlink>
      <w:r w:rsidR="009B021E" w:rsidRPr="008F0C5E">
        <w:rPr>
          <w:rFonts w:asciiTheme="majorBidi" w:hAnsiTheme="majorBidi" w:cstheme="majorBidi"/>
          <w:b/>
          <w:bCs/>
          <w:noProof/>
          <w:lang w:val="en-GB"/>
        </w:rPr>
        <w:t>)</w:t>
      </w:r>
      <w:r w:rsidR="009B021E" w:rsidRPr="008F0C5E">
        <w:rPr>
          <w:rFonts w:asciiTheme="majorBidi" w:hAnsiTheme="majorBidi" w:cstheme="majorBidi"/>
          <w:b/>
          <w:bCs/>
          <w:lang w:val="en-GB"/>
        </w:rPr>
        <w:fldChar w:fldCharType="end"/>
      </w:r>
    </w:p>
    <w:p w14:paraId="36ABEEE9" w14:textId="67975D35" w:rsidR="00012CA4" w:rsidRPr="00F71F57" w:rsidRDefault="00012CA4" w:rsidP="008E2A33">
      <w:pPr>
        <w:rPr>
          <w:rFonts w:asciiTheme="majorBidi" w:hAnsiTheme="majorBidi" w:cstheme="majorBidi"/>
          <w:sz w:val="24"/>
          <w:szCs w:val="24"/>
          <w:lang w:val="en-GB"/>
        </w:rPr>
      </w:pPr>
    </w:p>
    <w:p w14:paraId="15F2CD3B" w14:textId="6DF580E5" w:rsidR="009D2004" w:rsidRPr="00F71F57" w:rsidRDefault="00AB2864" w:rsidP="00D623DE">
      <w:pPr>
        <w:pStyle w:val="Heading3"/>
        <w:ind w:left="1080"/>
        <w:rPr>
          <w:lang w:val="en-GB"/>
        </w:rPr>
      </w:pPr>
      <w:bookmarkStart w:id="52" w:name="_Toc214875859"/>
      <w:r w:rsidRPr="00F71F57">
        <w:rPr>
          <w:lang w:val="en-GB"/>
        </w:rPr>
        <w:t>2.4.</w:t>
      </w:r>
      <w:r w:rsidR="00FE3C86" w:rsidRPr="00F71F57">
        <w:rPr>
          <w:lang w:val="en-GB"/>
        </w:rPr>
        <w:t xml:space="preserve">2 </w:t>
      </w:r>
      <w:r w:rsidR="009D2004" w:rsidRPr="00F71F57">
        <w:rPr>
          <w:lang w:val="en-GB"/>
        </w:rPr>
        <w:t>Paired Associate Learning (PAL)</w:t>
      </w:r>
      <w:bookmarkEnd w:id="52"/>
      <w:r w:rsidR="009D2004" w:rsidRPr="00F71F57">
        <w:rPr>
          <w:lang w:val="en-GB"/>
        </w:rPr>
        <w:t xml:space="preserve"> </w:t>
      </w:r>
    </w:p>
    <w:p w14:paraId="472165A0" w14:textId="3ABE9AAB" w:rsidR="00F20B0B" w:rsidRPr="00D623DE" w:rsidRDefault="000E4C9D" w:rsidP="00D623DE">
      <w:pPr>
        <w:spacing w:before="100" w:beforeAutospacing="1" w:after="100" w:afterAutospacing="1" w:line="360" w:lineRule="auto"/>
        <w:ind w:left="1080"/>
        <w:jc w:val="both"/>
        <w:rPr>
          <w:rFonts w:asciiTheme="majorBidi" w:eastAsia="Times New Roman" w:hAnsiTheme="majorBidi" w:cstheme="majorBidi"/>
          <w:sz w:val="24"/>
          <w:szCs w:val="24"/>
          <w:lang w:val="en-GB"/>
        </w:rPr>
      </w:pPr>
      <w:r w:rsidRPr="00F71F57">
        <w:rPr>
          <w:rFonts w:asciiTheme="majorBidi" w:eastAsia="Times New Roman" w:hAnsiTheme="majorBidi" w:cstheme="majorBidi"/>
          <w:sz w:val="24"/>
          <w:szCs w:val="24"/>
          <w:lang w:val="en-GB"/>
        </w:rPr>
        <w:t>The Paired Associate Learning (PAL) Task is a touchscreen-based cognitive task used to assess associative learning, spatial memory, and cognitive flexibility in rodent models. It is particularly useful for evaluating hippocampal-dependent memory functions, as it requires animals to form and recall specific stimulus-location associations. This task closely resembles neuropsychological tests used in human cognitive research, making it a valuable tool for investigating memory impairments, neurodegenerative diseases, and potential cognitive-enhancing treatments.</w:t>
      </w:r>
    </w:p>
    <w:p w14:paraId="1C882FBF" w14:textId="77777777" w:rsidR="004C3033" w:rsidRDefault="004C3033" w:rsidP="00D623DE">
      <w:pPr>
        <w:ind w:left="1080"/>
        <w:rPr>
          <w:rFonts w:asciiTheme="majorBidi" w:hAnsiTheme="majorBidi" w:cstheme="majorBidi"/>
          <w:sz w:val="24"/>
          <w:szCs w:val="24"/>
          <w:lang w:val="en-GB"/>
        </w:rPr>
      </w:pPr>
    </w:p>
    <w:p w14:paraId="5349453A" w14:textId="5CA762DA" w:rsidR="000E4C9D" w:rsidRPr="00D623DE" w:rsidRDefault="000E4C9D" w:rsidP="00D623DE">
      <w:pPr>
        <w:ind w:left="1080"/>
        <w:rPr>
          <w:rFonts w:asciiTheme="majorBidi" w:hAnsiTheme="majorBidi" w:cstheme="majorBidi"/>
          <w:sz w:val="24"/>
          <w:szCs w:val="24"/>
          <w:lang w:val="en-GB"/>
        </w:rPr>
      </w:pPr>
      <w:r w:rsidRPr="00D623DE">
        <w:rPr>
          <w:rFonts w:asciiTheme="majorBidi" w:hAnsiTheme="majorBidi" w:cstheme="majorBidi"/>
          <w:sz w:val="24"/>
          <w:szCs w:val="24"/>
          <w:lang w:val="en-GB"/>
        </w:rPr>
        <w:lastRenderedPageBreak/>
        <w:t>Experimental Protocol</w:t>
      </w:r>
    </w:p>
    <w:p w14:paraId="36538CB7" w14:textId="2F9C711A" w:rsidR="003754F4" w:rsidRDefault="003754F4" w:rsidP="004C3033">
      <w:pPr>
        <w:spacing w:before="100" w:beforeAutospacing="1" w:after="100" w:afterAutospacing="1" w:line="360" w:lineRule="auto"/>
        <w:ind w:left="1080"/>
        <w:jc w:val="both"/>
        <w:rPr>
          <w:rFonts w:asciiTheme="majorBidi" w:eastAsia="Times New Roman" w:hAnsiTheme="majorBidi" w:cstheme="majorBidi"/>
          <w:sz w:val="24"/>
          <w:szCs w:val="24"/>
          <w:lang w:val="en-GB"/>
        </w:rPr>
      </w:pPr>
      <w:r w:rsidRPr="003754F4">
        <w:rPr>
          <w:rFonts w:asciiTheme="majorBidi" w:eastAsia="Times New Roman" w:hAnsiTheme="majorBidi" w:cstheme="majorBidi"/>
          <w:sz w:val="24"/>
          <w:szCs w:val="24"/>
          <w:lang w:val="en-GB"/>
        </w:rPr>
        <w:t>Behavioural training began with a 10-min habituation session in the touchscreen chamber, during which mice freely explored the apparatus without stimulus presentation. Following habituation, animals underwent initial touch training, where a single white stimulus was presented pseudo-randomly on the screen; touching it triggered a tone and liquid reward delivery in the magazine (criterion: 30 trials completed within 60 min). In the subsequent “must initiate” stage, mice learned to nose-poke the reward tray to initiate each trial and then touch the stimulus to receive a reward (criterion: 30 trials completed within 60 min). In the final pre-training phase (“punish incorrect”), touches to blank windows resulted in a 5-s timeout signalled by house-light illumination, followed by a 20-s intertrial interval (ITI). Once mice achieved ≥80 % correct responses across two consecutive sessions, they proceeded to the different paired associates learning (dPAL) task, in which two distinct visual stimuli were presented simultaneously in pseudo-random locations. Each object had one correct spatial location, and a correct touch (S+) triggered tone-cued reward delivery, while incorrect touches (S–) resulted in a 5-s timeout and correction trials until a correct response was made. Mice completed 36 trials per 60-min session for 45 consecutive days, and performance was evaluated based on accuracy sessions.</w:t>
      </w:r>
    </w:p>
    <w:p w14:paraId="34266B0C" w14:textId="14B017EF" w:rsidR="00F637FF" w:rsidRDefault="00D623DE" w:rsidP="003754F4">
      <w:pPr>
        <w:spacing w:before="100" w:beforeAutospacing="1" w:after="100" w:afterAutospacing="1" w:line="360" w:lineRule="auto"/>
        <w:ind w:left="1080"/>
        <w:jc w:val="both"/>
        <w:rPr>
          <w:rFonts w:asciiTheme="majorBidi" w:eastAsia="Times New Roman" w:hAnsiTheme="majorBidi" w:cstheme="majorBidi"/>
          <w:sz w:val="24"/>
          <w:szCs w:val="24"/>
          <w:lang w:val="en-GB"/>
        </w:rPr>
      </w:pPr>
      <w:r>
        <w:rPr>
          <w:rFonts w:asciiTheme="majorBidi" w:eastAsia="Times New Roman" w:hAnsiTheme="majorBidi" w:cstheme="majorBidi"/>
          <w:noProof/>
          <w:sz w:val="24"/>
          <w:szCs w:val="24"/>
          <w:lang w:val="en-GB"/>
        </w:rPr>
        <w:drawing>
          <wp:anchor distT="0" distB="0" distL="114300" distR="114300" simplePos="0" relativeHeight="251669504" behindDoc="1" locked="0" layoutInCell="1" allowOverlap="1" wp14:anchorId="164B9707" wp14:editId="32D4001F">
            <wp:simplePos x="0" y="0"/>
            <wp:positionH relativeFrom="margin">
              <wp:posOffset>635000</wp:posOffset>
            </wp:positionH>
            <wp:positionV relativeFrom="paragraph">
              <wp:posOffset>9525</wp:posOffset>
            </wp:positionV>
            <wp:extent cx="3739515" cy="2078990"/>
            <wp:effectExtent l="0" t="0" r="0" b="0"/>
            <wp:wrapNone/>
            <wp:docPr id="9" name="Picture 9" descr="A close-up of a mach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close-up of a machine&#10;&#10;AI-generated content may be incorrect."/>
                    <pic:cNvPicPr/>
                  </pic:nvPicPr>
                  <pic:blipFill>
                    <a:blip r:embed="rId22">
                      <a:extLst>
                        <a:ext uri="{28A0092B-C50C-407E-A947-70E740481C1C}">
                          <a14:useLocalDpi xmlns:a14="http://schemas.microsoft.com/office/drawing/2010/main" val="0"/>
                        </a:ext>
                      </a:extLst>
                    </a:blip>
                    <a:stretch>
                      <a:fillRect/>
                    </a:stretch>
                  </pic:blipFill>
                  <pic:spPr>
                    <a:xfrm>
                      <a:off x="0" y="0"/>
                      <a:ext cx="3739515" cy="2078990"/>
                    </a:xfrm>
                    <a:prstGeom prst="rect">
                      <a:avLst/>
                    </a:prstGeom>
                  </pic:spPr>
                </pic:pic>
              </a:graphicData>
            </a:graphic>
          </wp:anchor>
        </w:drawing>
      </w:r>
    </w:p>
    <w:p w14:paraId="4064A500" w14:textId="701AD10E" w:rsidR="00F637FF" w:rsidRDefault="00F637FF" w:rsidP="003754F4">
      <w:pPr>
        <w:spacing w:before="100" w:beforeAutospacing="1" w:after="100" w:afterAutospacing="1" w:line="360" w:lineRule="auto"/>
        <w:ind w:left="1080"/>
        <w:jc w:val="both"/>
        <w:rPr>
          <w:rFonts w:asciiTheme="majorBidi" w:eastAsia="Times New Roman" w:hAnsiTheme="majorBidi" w:cstheme="majorBidi"/>
          <w:sz w:val="24"/>
          <w:szCs w:val="24"/>
          <w:lang w:val="en-GB"/>
        </w:rPr>
      </w:pPr>
    </w:p>
    <w:p w14:paraId="4FD3010B" w14:textId="6CDBDFAE" w:rsidR="00F637FF" w:rsidRDefault="00F637FF" w:rsidP="003754F4">
      <w:pPr>
        <w:spacing w:before="100" w:beforeAutospacing="1" w:after="100" w:afterAutospacing="1" w:line="360" w:lineRule="auto"/>
        <w:ind w:left="1080"/>
        <w:jc w:val="both"/>
        <w:rPr>
          <w:rFonts w:asciiTheme="majorBidi" w:eastAsia="Times New Roman" w:hAnsiTheme="majorBidi" w:cstheme="majorBidi"/>
          <w:sz w:val="24"/>
          <w:szCs w:val="24"/>
          <w:lang w:val="en-GB"/>
        </w:rPr>
      </w:pPr>
    </w:p>
    <w:p w14:paraId="4881C7D4" w14:textId="77777777" w:rsidR="00D623DE" w:rsidRDefault="00D623DE" w:rsidP="005C23E5">
      <w:pPr>
        <w:spacing w:before="100" w:beforeAutospacing="1" w:after="100" w:afterAutospacing="1" w:line="360" w:lineRule="auto"/>
        <w:ind w:left="1080"/>
        <w:jc w:val="both"/>
        <w:rPr>
          <w:rFonts w:asciiTheme="majorBidi" w:hAnsiTheme="majorBidi" w:cstheme="majorBidi"/>
          <w:b/>
          <w:bCs/>
          <w:lang w:val="en-GB"/>
        </w:rPr>
      </w:pPr>
    </w:p>
    <w:p w14:paraId="0CAD79F8" w14:textId="77777777" w:rsidR="00D623DE" w:rsidRDefault="00D623DE" w:rsidP="00D623DE">
      <w:pPr>
        <w:spacing w:before="100" w:beforeAutospacing="1" w:after="100" w:afterAutospacing="1" w:line="360" w:lineRule="auto"/>
        <w:jc w:val="both"/>
        <w:rPr>
          <w:rFonts w:asciiTheme="majorBidi" w:hAnsiTheme="majorBidi" w:cstheme="majorBidi"/>
          <w:b/>
          <w:bCs/>
          <w:lang w:val="en-GB"/>
        </w:rPr>
      </w:pPr>
    </w:p>
    <w:p w14:paraId="217BE96A" w14:textId="719809B5" w:rsidR="00F20B0B" w:rsidRPr="00D623DE" w:rsidRDefault="00BA333A" w:rsidP="00D623DE">
      <w:pPr>
        <w:spacing w:before="100" w:beforeAutospacing="1" w:after="100" w:afterAutospacing="1" w:line="360" w:lineRule="auto"/>
        <w:ind w:left="1080"/>
        <w:jc w:val="both"/>
        <w:rPr>
          <w:rFonts w:asciiTheme="majorBidi" w:eastAsia="Times New Roman" w:hAnsiTheme="majorBidi" w:cstheme="majorBidi"/>
          <w:lang w:val="en-GB"/>
        </w:rPr>
      </w:pPr>
      <w:r w:rsidRPr="008F0C5E">
        <w:rPr>
          <w:rFonts w:asciiTheme="majorBidi" w:hAnsiTheme="majorBidi" w:cstheme="majorBidi"/>
          <w:b/>
          <w:bCs/>
          <w:lang w:val="en-GB"/>
        </w:rPr>
        <w:t xml:space="preserve">Figure </w:t>
      </w:r>
      <w:r w:rsidR="00EE3D19" w:rsidRPr="008F0C5E">
        <w:rPr>
          <w:rFonts w:asciiTheme="majorBidi" w:hAnsiTheme="majorBidi" w:cstheme="majorBidi"/>
          <w:b/>
          <w:bCs/>
          <w:lang w:val="en-GB"/>
        </w:rPr>
        <w:t>4</w:t>
      </w:r>
      <w:r w:rsidRPr="008F0C5E">
        <w:rPr>
          <w:rFonts w:asciiTheme="majorBidi" w:hAnsiTheme="majorBidi" w:cstheme="majorBidi"/>
          <w:b/>
          <w:bCs/>
          <w:lang w:val="en-GB"/>
        </w:rPr>
        <w:t xml:space="preserve">. Paired Associate Learning (PAL) </w:t>
      </w:r>
      <w:r w:rsidRPr="008F0C5E">
        <w:rPr>
          <w:rFonts w:asciiTheme="majorBidi" w:hAnsiTheme="majorBidi" w:cstheme="majorBidi"/>
          <w:b/>
          <w:bCs/>
          <w:lang w:val="en-GB"/>
        </w:rPr>
        <w:fldChar w:fldCharType="begin"/>
      </w:r>
      <w:r w:rsidRPr="008F0C5E">
        <w:rPr>
          <w:rFonts w:asciiTheme="majorBidi" w:hAnsiTheme="majorBidi" w:cstheme="majorBidi"/>
          <w:b/>
          <w:bCs/>
          <w:lang w:val="en-GB"/>
        </w:rPr>
        <w:instrText xml:space="preserve"> ADDIN EN.CITE &lt;EndNote&gt;&lt;Cite&gt;&lt;Author&gt;Chow&lt;/Author&gt;&lt;Year&gt;2020&lt;/Year&gt;&lt;RecNum&gt;378&lt;/RecNum&gt;&lt;DisplayText&gt;(Chow et al., 2020)&lt;/DisplayText&gt;&lt;record&gt;&lt;rec-number&gt;378&lt;/rec-number&gt;&lt;foreign-keys&gt;&lt;key app="EN" db-id="2ptrtps0adr9vke22dn5tpwzrsfaxtxrfwet" timestamp="1761126375"&gt;378&lt;/key&gt;&lt;/foreign-keys&gt;&lt;ref-type name="Journal Article"&gt;17&lt;/ref-type&gt;&lt;contributors&gt;&lt;authors&gt;&lt;author&gt;Chow, Wei Zhen&lt;/author&gt;&lt;author&gt;Ong, Lin Kooi&lt;/author&gt;&lt;author&gt;Kluge, Murielle G.&lt;/author&gt;&lt;author&gt;Gyawali, Prajwal&lt;/author&gt;&lt;author&gt;Walker, Frederick R.&lt;/author&gt;&lt;author&gt;Nilsson, Michael&lt;/author&gt;&lt;/authors&gt;&lt;/contributors&gt;&lt;titles&gt;&lt;title&gt;Similar cognitive deficits in mice and humans in the chronic phase post-stroke identified using the touchscreen-based paired-associate learning task&lt;/title&gt;&lt;secondary-title&gt;Scientific Reports&lt;/secondary-title&gt;&lt;/titles&gt;&lt;periodical&gt;&lt;full-title&gt;Scientific Reports&lt;/full-title&gt;&lt;/periodical&gt;&lt;pages&gt;19545&lt;/pages&gt;&lt;volume&gt;10&lt;/volume&gt;&lt;number&gt;1&lt;/number&gt;&lt;dates&gt;&lt;year&gt;2020&lt;/year&gt;&lt;pub-dates&gt;&lt;date&gt;2020/11/11&lt;/date&gt;&lt;/pub-dates&gt;&lt;/dates&gt;&lt;isbn&gt;2045-2322&lt;/isbn&gt;&lt;urls&gt;&lt;related-urls&gt;&lt;url&gt;https://doi.org/10.1038/s41598-020-76560-x&lt;/url&gt;&lt;/related-urls&gt;&lt;/urls&gt;&lt;electronic-resource-num&gt;10.1038/s41598-020-76560-x&lt;/electronic-resource-num&gt;&lt;/record&gt;&lt;/Cite&gt;&lt;/EndNote&gt;</w:instrText>
      </w:r>
      <w:r w:rsidRPr="008F0C5E">
        <w:rPr>
          <w:rFonts w:asciiTheme="majorBidi" w:hAnsiTheme="majorBidi" w:cstheme="majorBidi"/>
          <w:b/>
          <w:bCs/>
          <w:lang w:val="en-GB"/>
        </w:rPr>
        <w:fldChar w:fldCharType="separate"/>
      </w:r>
      <w:r w:rsidRPr="008F0C5E">
        <w:rPr>
          <w:rFonts w:asciiTheme="majorBidi" w:hAnsiTheme="majorBidi" w:cstheme="majorBidi"/>
          <w:b/>
          <w:bCs/>
          <w:noProof/>
          <w:lang w:val="en-GB"/>
        </w:rPr>
        <w:t>(</w:t>
      </w:r>
      <w:hyperlink w:anchor="_ENREF_45" w:tooltip="Chow, 2020 #353" w:history="1">
        <w:r w:rsidR="00DE113E" w:rsidRPr="008F0C5E">
          <w:rPr>
            <w:rFonts w:asciiTheme="majorBidi" w:hAnsiTheme="majorBidi" w:cstheme="majorBidi"/>
            <w:b/>
            <w:bCs/>
            <w:noProof/>
            <w:lang w:val="en-GB"/>
          </w:rPr>
          <w:t>Chow et al., 2020</w:t>
        </w:r>
      </w:hyperlink>
      <w:r w:rsidRPr="008F0C5E">
        <w:rPr>
          <w:rFonts w:asciiTheme="majorBidi" w:hAnsiTheme="majorBidi" w:cstheme="majorBidi"/>
          <w:b/>
          <w:bCs/>
          <w:noProof/>
          <w:lang w:val="en-GB"/>
        </w:rPr>
        <w:t>)</w:t>
      </w:r>
      <w:r w:rsidRPr="008F0C5E">
        <w:rPr>
          <w:rFonts w:asciiTheme="majorBidi" w:hAnsiTheme="majorBidi" w:cstheme="majorBidi"/>
          <w:b/>
          <w:bCs/>
          <w:lang w:val="en-GB"/>
        </w:rPr>
        <w:fldChar w:fldCharType="end"/>
      </w:r>
    </w:p>
    <w:p w14:paraId="1EB80DCD" w14:textId="558D1C1A" w:rsidR="009D2004" w:rsidRPr="00F71F57" w:rsidRDefault="00AB2864" w:rsidP="00D623DE">
      <w:pPr>
        <w:pStyle w:val="Heading3"/>
        <w:ind w:left="1080"/>
        <w:rPr>
          <w:lang w:val="en-GB"/>
        </w:rPr>
      </w:pPr>
      <w:bookmarkStart w:id="53" w:name="_Toc214875860"/>
      <w:r w:rsidRPr="00F71F57">
        <w:rPr>
          <w:lang w:val="en-GB"/>
        </w:rPr>
        <w:lastRenderedPageBreak/>
        <w:t>2.4</w:t>
      </w:r>
      <w:r w:rsidR="009D2004" w:rsidRPr="00F71F57">
        <w:rPr>
          <w:lang w:val="en-GB"/>
        </w:rPr>
        <w:t>.</w:t>
      </w:r>
      <w:r w:rsidRPr="00F71F57">
        <w:rPr>
          <w:lang w:val="en-GB"/>
        </w:rPr>
        <w:t>4</w:t>
      </w:r>
      <w:r w:rsidR="009D2004" w:rsidRPr="00F71F57">
        <w:rPr>
          <w:lang w:val="en-GB"/>
        </w:rPr>
        <w:t xml:space="preserve"> 5-Choice Serial Reaction Time Task (5CSRTT)</w:t>
      </w:r>
      <w:bookmarkEnd w:id="53"/>
    </w:p>
    <w:p w14:paraId="15F64240" w14:textId="77777777" w:rsidR="009D2004" w:rsidRPr="00F71F57" w:rsidRDefault="009D2004" w:rsidP="00012CA4">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The 5-Choice Serial Reaction Time Task (5CSRTT) is a widely used paradigm to measure sustained attention, impulsivity, and inhibitory control. Mice are required to detect and respond to a brief visual stimulus that appears randomly in one of five touchscreen locations. The mouse must accurately identify and respond within a limited time window to receive a reward. Premature responses before stimulus presentation are penalized with a timeout.</w:t>
      </w:r>
    </w:p>
    <w:p w14:paraId="0DFCAD7B" w14:textId="77777777" w:rsidR="006B3E92" w:rsidRPr="00F71F57" w:rsidRDefault="006B3E92" w:rsidP="006B3E92">
      <w:pPr>
        <w:ind w:left="1080"/>
        <w:rPr>
          <w:rFonts w:asciiTheme="majorBidi" w:hAnsiTheme="majorBidi" w:cstheme="majorBidi"/>
          <w:b/>
          <w:bCs/>
          <w:sz w:val="24"/>
          <w:szCs w:val="24"/>
          <w:lang w:val="en-GB"/>
        </w:rPr>
      </w:pPr>
      <w:r w:rsidRPr="00F71F57">
        <w:rPr>
          <w:rFonts w:asciiTheme="majorBidi" w:hAnsiTheme="majorBidi" w:cstheme="majorBidi"/>
          <w:b/>
          <w:bCs/>
          <w:sz w:val="24"/>
          <w:szCs w:val="24"/>
          <w:lang w:val="en-GB"/>
        </w:rPr>
        <w:t>Experimental Protocol</w:t>
      </w:r>
    </w:p>
    <w:p w14:paraId="48DD267F" w14:textId="67AB5711" w:rsidR="00B507F1" w:rsidRDefault="006B3E92" w:rsidP="006B3E92">
      <w:pPr>
        <w:spacing w:line="360" w:lineRule="auto"/>
        <w:ind w:left="1080"/>
        <w:jc w:val="both"/>
        <w:rPr>
          <w:rFonts w:asciiTheme="majorBidi" w:hAnsiTheme="majorBidi" w:cstheme="majorBidi"/>
          <w:sz w:val="24"/>
          <w:szCs w:val="24"/>
          <w:lang w:val="en-GB"/>
        </w:rPr>
      </w:pPr>
      <w:r w:rsidRPr="006B3E92">
        <w:rPr>
          <w:rFonts w:asciiTheme="majorBidi" w:hAnsiTheme="majorBidi" w:cstheme="majorBidi"/>
          <w:sz w:val="24"/>
          <w:szCs w:val="24"/>
          <w:lang w:val="en-GB"/>
        </w:rPr>
        <w:t>Behavioural training for the 5-Choice Serial Reaction Time (5CSRT) task began with two habituation sessions, during which mice were allowed to explore the touchscreen chamber and learn the location of the reward magazine. Following habituation, animals underwent initial touch training where a single white stimulus appeared pseudo-randomly in one of five response windows; touching the illuminated window triggered a tone and reward delivery (criterion: completion of 30 trials within 60 min). In the subsequent “must initiate” phase, mice were required to nose-poke the magazine to initiate each trial before the stimulus appeared, and in the “punish incorrect” stage, touches to blank windows resulted in a 5-s time-out signalled by house-light illumination. Once mice achieved ≥80% accuracy and ≤20% omissions across two consecutive sessions, they advanced to the baseline 5CSRT attentional task, in which brief light stimuli were presented in one of five windows for variable durations. Correct responses within the limited hold period were rewarded, whereas premature, incorrect, or omitted responses triggered a 5-s timeout. Mice completed 50 trials per 60-min session, one session per day, and performance was evaluated by accuracy, omissions. After baseline stabilization, animals underwent probe evaluations in which stimulus duration and limited hold times were systematically varied to increase attentional load (0.6–0.8-1.0-1.5 s stimulus durations) and (5.6-5.8-6.0-7.5 s Limited Hold).</w:t>
      </w:r>
    </w:p>
    <w:p w14:paraId="333805E3" w14:textId="5821A209" w:rsidR="006B3E92" w:rsidRDefault="006B3E92" w:rsidP="006B3E92">
      <w:pPr>
        <w:spacing w:line="360" w:lineRule="auto"/>
        <w:ind w:left="1080"/>
        <w:jc w:val="both"/>
        <w:rPr>
          <w:rFonts w:asciiTheme="majorBidi" w:hAnsiTheme="majorBidi" w:cstheme="majorBidi"/>
          <w:sz w:val="24"/>
          <w:szCs w:val="24"/>
          <w:lang w:val="en-GB"/>
        </w:rPr>
      </w:pPr>
    </w:p>
    <w:p w14:paraId="75F7EA4C" w14:textId="1D52240A" w:rsidR="006B3E92" w:rsidRDefault="001A68BE" w:rsidP="00412F60">
      <w:pPr>
        <w:ind w:left="1080"/>
        <w:rPr>
          <w:rFonts w:asciiTheme="majorBidi" w:hAnsiTheme="majorBidi" w:cstheme="majorBidi"/>
          <w:sz w:val="24"/>
          <w:szCs w:val="24"/>
          <w:lang w:val="en-GB"/>
        </w:rPr>
      </w:pPr>
      <w:r>
        <w:rPr>
          <w:rFonts w:asciiTheme="majorBidi" w:hAnsiTheme="majorBidi" w:cstheme="majorBidi"/>
          <w:noProof/>
          <w:sz w:val="24"/>
          <w:szCs w:val="24"/>
          <w:lang w:val="en-GB"/>
        </w:rPr>
        <w:lastRenderedPageBreak/>
        <w:drawing>
          <wp:anchor distT="0" distB="0" distL="114300" distR="114300" simplePos="0" relativeHeight="251670528" behindDoc="1" locked="0" layoutInCell="1" allowOverlap="1" wp14:anchorId="6C44246A" wp14:editId="733D5544">
            <wp:simplePos x="0" y="0"/>
            <wp:positionH relativeFrom="margin">
              <wp:posOffset>1421765</wp:posOffset>
            </wp:positionH>
            <wp:positionV relativeFrom="page">
              <wp:posOffset>516255</wp:posOffset>
            </wp:positionV>
            <wp:extent cx="2369820" cy="1712595"/>
            <wp:effectExtent l="0" t="0" r="0" b="1905"/>
            <wp:wrapNone/>
            <wp:docPr id="10" name="Picture 10" descr="A metal and silver machine with a mouse insi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metal and silver machine with a mouse inside&#10;&#10;AI-generated content may be incorrect."/>
                    <pic:cNvPicPr/>
                  </pic:nvPicPr>
                  <pic:blipFill>
                    <a:blip r:embed="rId23">
                      <a:extLst>
                        <a:ext uri="{28A0092B-C50C-407E-A947-70E740481C1C}">
                          <a14:useLocalDpi xmlns:a14="http://schemas.microsoft.com/office/drawing/2010/main" val="0"/>
                        </a:ext>
                      </a:extLst>
                    </a:blip>
                    <a:stretch>
                      <a:fillRect/>
                    </a:stretch>
                  </pic:blipFill>
                  <pic:spPr>
                    <a:xfrm>
                      <a:off x="0" y="0"/>
                      <a:ext cx="2369820" cy="1712595"/>
                    </a:xfrm>
                    <a:prstGeom prst="rect">
                      <a:avLst/>
                    </a:prstGeom>
                  </pic:spPr>
                </pic:pic>
              </a:graphicData>
            </a:graphic>
          </wp:anchor>
        </w:drawing>
      </w:r>
    </w:p>
    <w:p w14:paraId="4E763611" w14:textId="28051B9E" w:rsidR="006B3E92" w:rsidRDefault="006B3E92" w:rsidP="00412F60">
      <w:pPr>
        <w:ind w:left="1080"/>
        <w:rPr>
          <w:rFonts w:asciiTheme="majorBidi" w:hAnsiTheme="majorBidi" w:cstheme="majorBidi"/>
          <w:sz w:val="24"/>
          <w:szCs w:val="24"/>
          <w:lang w:val="en-GB"/>
        </w:rPr>
      </w:pPr>
    </w:p>
    <w:p w14:paraId="67015663" w14:textId="395BF393" w:rsidR="006B3E92" w:rsidRDefault="006B3E92" w:rsidP="00412F60">
      <w:pPr>
        <w:ind w:left="1080"/>
        <w:rPr>
          <w:rFonts w:asciiTheme="majorBidi" w:hAnsiTheme="majorBidi" w:cstheme="majorBidi"/>
          <w:sz w:val="24"/>
          <w:szCs w:val="24"/>
          <w:lang w:val="en-GB"/>
        </w:rPr>
      </w:pPr>
    </w:p>
    <w:p w14:paraId="179C1F8D" w14:textId="5B733332" w:rsidR="006B3E92" w:rsidRDefault="006B3E92" w:rsidP="00412F60">
      <w:pPr>
        <w:ind w:left="1080"/>
        <w:rPr>
          <w:rFonts w:asciiTheme="majorBidi" w:hAnsiTheme="majorBidi" w:cstheme="majorBidi"/>
          <w:sz w:val="24"/>
          <w:szCs w:val="24"/>
          <w:lang w:val="en-GB"/>
        </w:rPr>
      </w:pPr>
    </w:p>
    <w:p w14:paraId="6D7FF03C" w14:textId="60301D4A" w:rsidR="006B3E92" w:rsidRDefault="006B3E92" w:rsidP="00412F60">
      <w:pPr>
        <w:ind w:left="1080"/>
        <w:rPr>
          <w:rFonts w:asciiTheme="majorBidi" w:hAnsiTheme="majorBidi" w:cstheme="majorBidi"/>
          <w:sz w:val="24"/>
          <w:szCs w:val="24"/>
          <w:lang w:val="en-GB"/>
        </w:rPr>
      </w:pPr>
    </w:p>
    <w:p w14:paraId="3D2C59BF" w14:textId="3ED5F55E" w:rsidR="006B3E92" w:rsidRPr="008F0C5E" w:rsidRDefault="006B3E92" w:rsidP="006B3E92">
      <w:pPr>
        <w:spacing w:before="100" w:beforeAutospacing="1" w:after="100" w:afterAutospacing="1" w:line="360" w:lineRule="auto"/>
        <w:ind w:left="1080"/>
        <w:jc w:val="both"/>
        <w:rPr>
          <w:rFonts w:asciiTheme="majorBidi" w:hAnsiTheme="majorBidi" w:cstheme="majorBidi"/>
          <w:b/>
          <w:bCs/>
          <w:lang w:val="en-GB"/>
        </w:rPr>
      </w:pPr>
      <w:r w:rsidRPr="008F0C5E">
        <w:rPr>
          <w:rFonts w:asciiTheme="majorBidi" w:hAnsiTheme="majorBidi" w:cstheme="majorBidi"/>
          <w:b/>
          <w:bCs/>
          <w:lang w:val="en-GB"/>
        </w:rPr>
        <w:t xml:space="preserve">Figure </w:t>
      </w:r>
      <w:r w:rsidR="00EE3D19" w:rsidRPr="008F0C5E">
        <w:rPr>
          <w:rFonts w:asciiTheme="majorBidi" w:hAnsiTheme="majorBidi" w:cstheme="majorBidi"/>
          <w:b/>
          <w:bCs/>
          <w:lang w:val="en-GB"/>
        </w:rPr>
        <w:t>5</w:t>
      </w:r>
      <w:r w:rsidRPr="008F0C5E">
        <w:rPr>
          <w:rFonts w:asciiTheme="majorBidi" w:hAnsiTheme="majorBidi" w:cstheme="majorBidi"/>
          <w:b/>
          <w:bCs/>
          <w:lang w:val="en-GB"/>
        </w:rPr>
        <w:t>. 5-Choice Serial Reaction Time Task (5CSRTT) (https://campdeninstruments.com/products/5-choice-serial-reaction-time-task-mice)</w:t>
      </w:r>
    </w:p>
    <w:p w14:paraId="65944462" w14:textId="77777777" w:rsidR="006B3E92" w:rsidRPr="00F71F57" w:rsidRDefault="006B3E92" w:rsidP="006B3E92">
      <w:pPr>
        <w:rPr>
          <w:rFonts w:asciiTheme="majorBidi" w:hAnsiTheme="majorBidi" w:cstheme="majorBidi"/>
          <w:sz w:val="24"/>
          <w:szCs w:val="24"/>
          <w:lang w:val="en-GB"/>
        </w:rPr>
      </w:pPr>
    </w:p>
    <w:p w14:paraId="05807E26" w14:textId="77777777" w:rsidR="00412F60" w:rsidRPr="00F71F57" w:rsidRDefault="00412F60" w:rsidP="00D623DE">
      <w:pPr>
        <w:pStyle w:val="Heading3"/>
        <w:ind w:left="1080"/>
        <w:rPr>
          <w:lang w:val="en-GB"/>
        </w:rPr>
      </w:pPr>
      <w:bookmarkStart w:id="54" w:name="_Toc214875861"/>
      <w:r w:rsidRPr="00F71F57">
        <w:rPr>
          <w:lang w:val="en-GB"/>
        </w:rPr>
        <w:t>2.4.5 Rodent Continuous Performance Test (rCPT)</w:t>
      </w:r>
      <w:bookmarkEnd w:id="54"/>
    </w:p>
    <w:p w14:paraId="2D74327A" w14:textId="05F4DA76" w:rsidR="00412F60" w:rsidRPr="00F71F57" w:rsidRDefault="00412F60" w:rsidP="00012CA4">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Mice are trained to discriminate between target and non-target visual stimuli across multiple trials. Correct identification of target stimuli (S+) leads to a reward, while incorrect responses to non-targets (S−), or failures to respond, are penalized. </w:t>
      </w:r>
    </w:p>
    <w:p w14:paraId="5DC12E69" w14:textId="50CC372B" w:rsidR="00412F60" w:rsidRDefault="00412F60" w:rsidP="00412F60">
      <w:pPr>
        <w:ind w:left="1080"/>
        <w:rPr>
          <w:rFonts w:asciiTheme="majorBidi" w:hAnsiTheme="majorBidi" w:cstheme="majorBidi"/>
          <w:b/>
          <w:bCs/>
          <w:sz w:val="24"/>
          <w:szCs w:val="24"/>
          <w:lang w:val="en-GB"/>
        </w:rPr>
      </w:pPr>
      <w:bookmarkStart w:id="55" w:name="_Hlk212026538"/>
      <w:r w:rsidRPr="00F71F57">
        <w:rPr>
          <w:rFonts w:asciiTheme="majorBidi" w:hAnsiTheme="majorBidi" w:cstheme="majorBidi"/>
          <w:b/>
          <w:bCs/>
          <w:sz w:val="24"/>
          <w:szCs w:val="24"/>
          <w:lang w:val="en-GB"/>
        </w:rPr>
        <w:t>Experimental Protocol</w:t>
      </w:r>
    </w:p>
    <w:p w14:paraId="456D4C01" w14:textId="789E09B1" w:rsidR="003D5CB0" w:rsidRPr="003D5CB0" w:rsidRDefault="003D5CB0" w:rsidP="003D5CB0">
      <w:pPr>
        <w:spacing w:line="360" w:lineRule="auto"/>
        <w:ind w:left="1080"/>
        <w:jc w:val="both"/>
        <w:rPr>
          <w:rFonts w:asciiTheme="majorBidi" w:hAnsiTheme="majorBidi" w:cstheme="majorBidi"/>
          <w:sz w:val="24"/>
          <w:szCs w:val="24"/>
          <w:lang w:val="en-GB"/>
        </w:rPr>
      </w:pPr>
      <w:r w:rsidRPr="003D5CB0">
        <w:rPr>
          <w:rFonts w:asciiTheme="majorBidi" w:hAnsiTheme="majorBidi" w:cstheme="majorBidi"/>
          <w:sz w:val="24"/>
          <w:szCs w:val="24"/>
          <w:lang w:val="en-GB"/>
        </w:rPr>
        <w:t xml:space="preserve">rCPT began with a habituation session in which mice were introduced to the touchscreen chamber and allowed to explore and consume a small quantity of the liquid reward placed in the magazine (typically 200 µL strawberry milkshake). Following habituation, mice underwent Stage 1 touch training, where a white square stimulus appeared in the central response window; a touch to this stimulus triggered a tone and reward delivery (criterion: 60 rewards within 45 min). In Stage 2, the white square was replaced by the designated S+ image (vertical or horizontal lines, counterbalanced across subjects), and correct touches were reinforced under variable intertrial intervals (2–3 s). During Stage 3, S+ and S– images (e.g., vertical lines vs. snowflake) were presented pseudo-randomly (50:50), with touches to S+ producing reward and touches to S– initiating correction trials until a response was withheld. In Stage 4, four additional S– stimuli were introduced (probability: 33% S+ / 67% S–), and mice were trained until reaching stable baseline performance (≥0.6 d′ across two consecutive sessions). Each session </w:t>
      </w:r>
      <w:r w:rsidRPr="003D5CB0">
        <w:rPr>
          <w:rFonts w:asciiTheme="majorBidi" w:hAnsiTheme="majorBidi" w:cstheme="majorBidi"/>
          <w:sz w:val="24"/>
          <w:szCs w:val="24"/>
          <w:lang w:val="en-GB"/>
        </w:rPr>
        <w:lastRenderedPageBreak/>
        <w:t>lasted up to 45 min or 100 rewards, and trials were separated by a 2–3 s variable ITI. After baseline acquisition, animals underwent probe evaluations, including variable stimulus duration probes where stimulus duration (1.0–0</w:t>
      </w:r>
      <w:r w:rsidR="00E511F1">
        <w:rPr>
          <w:rFonts w:asciiTheme="majorBidi" w:hAnsiTheme="majorBidi" w:cstheme="majorBidi"/>
          <w:sz w:val="24"/>
          <w:szCs w:val="24"/>
          <w:lang w:val="en-GB"/>
        </w:rPr>
        <w:t>.75-0.5-0.25 s</w:t>
      </w:r>
      <w:r w:rsidRPr="003D5CB0">
        <w:rPr>
          <w:rFonts w:asciiTheme="majorBidi" w:hAnsiTheme="majorBidi" w:cstheme="majorBidi"/>
          <w:sz w:val="24"/>
          <w:szCs w:val="24"/>
          <w:lang w:val="en-GB"/>
        </w:rPr>
        <w:t>) and limited hold (2.5 s) and stimulus contrast and flanker distractor were manipulated to increase attentional demand. Task performance was assessed by hit rate, false alarms, and perceptual sensitivity (d′).</w:t>
      </w:r>
    </w:p>
    <w:bookmarkEnd w:id="55"/>
    <w:p w14:paraId="2D1B511F" w14:textId="77777777" w:rsidR="00412F60" w:rsidRPr="00F71F57" w:rsidRDefault="00412F60" w:rsidP="00F02653">
      <w:pPr>
        <w:ind w:left="1080"/>
        <w:rPr>
          <w:rFonts w:asciiTheme="majorBidi" w:hAnsiTheme="majorBidi" w:cstheme="majorBidi"/>
          <w:b/>
          <w:bCs/>
          <w:sz w:val="24"/>
          <w:szCs w:val="24"/>
          <w:lang w:val="en-GB"/>
        </w:rPr>
      </w:pPr>
      <w:r w:rsidRPr="00F71F57">
        <w:rPr>
          <w:rFonts w:asciiTheme="majorBidi" w:hAnsiTheme="majorBidi" w:cstheme="majorBidi"/>
          <w:b/>
          <w:bCs/>
          <w:sz w:val="24"/>
          <w:szCs w:val="24"/>
          <w:lang w:val="en-GB"/>
        </w:rPr>
        <w:t>Performance Metrics</w:t>
      </w:r>
    </w:p>
    <w:p w14:paraId="09B84D18" w14:textId="77777777" w:rsidR="00012CA4" w:rsidRDefault="00412F60" w:rsidP="003D5CB0">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The rCPT produces multiple behavioral endpoints, offering a comprehensive assessment of attention and impulse control:</w:t>
      </w:r>
      <w:r w:rsidR="00012CA4">
        <w:rPr>
          <w:rFonts w:asciiTheme="majorBidi" w:hAnsiTheme="majorBidi" w:cstheme="majorBidi"/>
          <w:sz w:val="24"/>
          <w:szCs w:val="24"/>
          <w:lang w:val="en-GB"/>
        </w:rPr>
        <w:t xml:space="preserve"> </w:t>
      </w:r>
    </w:p>
    <w:p w14:paraId="6506DB10" w14:textId="1A30DA2A" w:rsidR="003D5CB0" w:rsidRDefault="00412F60" w:rsidP="004907C1">
      <w:pPr>
        <w:spacing w:line="360" w:lineRule="auto"/>
        <w:ind w:left="1080"/>
        <w:jc w:val="both"/>
        <w:rPr>
          <w:rFonts w:asciiTheme="majorBidi" w:hAnsiTheme="majorBidi" w:cstheme="majorBidi"/>
          <w:sz w:val="24"/>
          <w:szCs w:val="24"/>
          <w:rtl/>
          <w:lang w:val="en-GB"/>
        </w:rPr>
      </w:pPr>
      <w:r w:rsidRPr="00F71F57">
        <w:rPr>
          <w:rFonts w:asciiTheme="majorBidi" w:hAnsiTheme="majorBidi" w:cstheme="majorBidi"/>
          <w:sz w:val="24"/>
          <w:szCs w:val="24"/>
          <w:lang w:val="en-GB"/>
        </w:rPr>
        <w:t>Hit Rate (% of S+ trials correctly responded to): Indicates the subject's ability to detect and act upon target stimuli.</w:t>
      </w:r>
      <w:r w:rsidR="00012CA4">
        <w:rPr>
          <w:rFonts w:asciiTheme="majorBidi" w:hAnsiTheme="majorBidi" w:cstheme="majorBidi"/>
          <w:sz w:val="24"/>
          <w:szCs w:val="24"/>
          <w:lang w:val="en-GB"/>
        </w:rPr>
        <w:t xml:space="preserve"> </w:t>
      </w:r>
      <w:r w:rsidR="003D5CB0">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False Alarm Rate (% of S− trials incorrectly responded to): Reflects deficits in inhibitory control and impulsivity.</w:t>
      </w:r>
      <w:r w:rsidR="00012CA4">
        <w:rPr>
          <w:rFonts w:asciiTheme="majorBidi" w:hAnsiTheme="majorBidi" w:cstheme="majorBidi"/>
          <w:sz w:val="24"/>
          <w:szCs w:val="24"/>
          <w:lang w:val="en-GB"/>
        </w:rPr>
        <w:t xml:space="preserve"> </w:t>
      </w:r>
      <w:r w:rsidR="003D5CB0">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Omissions (% of S+ trials not responded to): Suggests lapses in sustained attention.</w:t>
      </w:r>
      <w:r w:rsidR="00012CA4">
        <w:rPr>
          <w:rFonts w:asciiTheme="majorBidi" w:hAnsiTheme="majorBidi" w:cstheme="majorBidi"/>
          <w:sz w:val="24"/>
          <w:szCs w:val="24"/>
          <w:lang w:val="en-GB"/>
        </w:rPr>
        <w:t xml:space="preserve"> </w:t>
      </w:r>
      <w:r w:rsidR="003D5CB0">
        <w:rPr>
          <w:rFonts w:asciiTheme="majorBidi" w:hAnsiTheme="majorBidi" w:cstheme="majorBidi"/>
          <w:sz w:val="24"/>
          <w:szCs w:val="24"/>
          <w:lang w:val="en-GB"/>
        </w:rPr>
        <w:t xml:space="preserve"> </w:t>
      </w:r>
      <w:r w:rsidRPr="00012CA4">
        <w:rPr>
          <w:rFonts w:asciiTheme="majorBidi" w:hAnsiTheme="majorBidi" w:cstheme="majorBidi"/>
          <w:sz w:val="24"/>
          <w:szCs w:val="24"/>
          <w:lang w:val="en-GB"/>
        </w:rPr>
        <w:t>Response Latency (s): Time between stimulus onset and response; prolonged latencies may reflect reduced arousal or cognitive fatigue.</w:t>
      </w:r>
      <w:r w:rsidR="00012CA4">
        <w:rPr>
          <w:rFonts w:asciiTheme="majorBidi" w:hAnsiTheme="majorBidi" w:cstheme="majorBidi"/>
          <w:sz w:val="24"/>
          <w:szCs w:val="24"/>
          <w:lang w:val="en-GB"/>
        </w:rPr>
        <w:t xml:space="preserve"> </w:t>
      </w:r>
      <w:r w:rsidR="003D5CB0">
        <w:rPr>
          <w:rFonts w:asciiTheme="majorBidi" w:hAnsiTheme="majorBidi" w:cstheme="majorBidi"/>
          <w:sz w:val="24"/>
          <w:szCs w:val="24"/>
          <w:lang w:val="en-GB"/>
        </w:rPr>
        <w:t xml:space="preserve"> </w:t>
      </w:r>
      <w:r w:rsidRPr="00012CA4">
        <w:rPr>
          <w:rFonts w:asciiTheme="majorBidi" w:hAnsiTheme="majorBidi" w:cstheme="majorBidi"/>
          <w:sz w:val="24"/>
          <w:szCs w:val="24"/>
          <w:lang w:val="en-GB"/>
        </w:rPr>
        <w:t>Discrimination Index (d’): Derived from signal detection theory, this value integrates hit and false alarm rates to reflect overall task sensitivity.</w:t>
      </w:r>
    </w:p>
    <w:p w14:paraId="7D8A46C3" w14:textId="53058EB5" w:rsidR="003D5CB0" w:rsidRDefault="00D623DE" w:rsidP="003D5CB0">
      <w:pPr>
        <w:spacing w:line="360" w:lineRule="auto"/>
        <w:ind w:left="1080"/>
        <w:jc w:val="both"/>
        <w:rPr>
          <w:rFonts w:asciiTheme="majorBidi" w:hAnsiTheme="majorBidi" w:cstheme="majorBidi"/>
          <w:sz w:val="24"/>
          <w:szCs w:val="24"/>
          <w:lang w:val="en-GB"/>
        </w:rPr>
      </w:pPr>
      <w:r>
        <w:rPr>
          <w:rFonts w:asciiTheme="majorBidi" w:hAnsiTheme="majorBidi" w:cstheme="majorBidi" w:hint="cs"/>
          <w:noProof/>
          <w:sz w:val="24"/>
          <w:szCs w:val="24"/>
          <w:rtl/>
          <w:lang w:val="fa-IR" w:bidi="fa-IR"/>
        </w:rPr>
        <w:drawing>
          <wp:anchor distT="0" distB="0" distL="114300" distR="114300" simplePos="0" relativeHeight="251671552" behindDoc="1" locked="0" layoutInCell="1" allowOverlap="1" wp14:anchorId="36B00CD3" wp14:editId="0E63BBCC">
            <wp:simplePos x="0" y="0"/>
            <wp:positionH relativeFrom="column">
              <wp:posOffset>821055</wp:posOffset>
            </wp:positionH>
            <wp:positionV relativeFrom="page">
              <wp:posOffset>6416040</wp:posOffset>
            </wp:positionV>
            <wp:extent cx="3558540" cy="2276475"/>
            <wp:effectExtent l="0" t="0" r="3810" b="9525"/>
            <wp:wrapNone/>
            <wp:docPr id="11" name="Picture 11" descr="A diagram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diagram of a computer program&#10;&#10;AI-generated content may be incorrect."/>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558540" cy="2276475"/>
                    </a:xfrm>
                    <a:prstGeom prst="rect">
                      <a:avLst/>
                    </a:prstGeom>
                  </pic:spPr>
                </pic:pic>
              </a:graphicData>
            </a:graphic>
          </wp:anchor>
        </w:drawing>
      </w:r>
    </w:p>
    <w:p w14:paraId="1FC69AFC" w14:textId="213484D3" w:rsidR="003D5CB0" w:rsidRDefault="003D5CB0" w:rsidP="003D5CB0">
      <w:pPr>
        <w:spacing w:line="360" w:lineRule="auto"/>
        <w:ind w:left="1080"/>
        <w:jc w:val="both"/>
        <w:rPr>
          <w:rFonts w:asciiTheme="majorBidi" w:hAnsiTheme="majorBidi" w:cstheme="majorBidi"/>
          <w:sz w:val="24"/>
          <w:szCs w:val="24"/>
          <w:lang w:val="en-GB"/>
        </w:rPr>
      </w:pPr>
    </w:p>
    <w:p w14:paraId="76D84CDE" w14:textId="6309E605" w:rsidR="003D5CB0" w:rsidRDefault="003D5CB0" w:rsidP="003D5CB0">
      <w:pPr>
        <w:spacing w:line="360" w:lineRule="auto"/>
        <w:ind w:left="1080"/>
        <w:jc w:val="both"/>
        <w:rPr>
          <w:rFonts w:asciiTheme="majorBidi" w:hAnsiTheme="majorBidi" w:cstheme="majorBidi"/>
          <w:sz w:val="24"/>
          <w:szCs w:val="24"/>
          <w:lang w:val="en-GB"/>
        </w:rPr>
      </w:pPr>
    </w:p>
    <w:p w14:paraId="0DCA33F2" w14:textId="2137947F" w:rsidR="003D5CB0" w:rsidRDefault="003D5CB0" w:rsidP="003D5CB0">
      <w:pPr>
        <w:spacing w:line="360" w:lineRule="auto"/>
        <w:ind w:left="1080"/>
        <w:jc w:val="both"/>
        <w:rPr>
          <w:rFonts w:asciiTheme="majorBidi" w:hAnsiTheme="majorBidi" w:cstheme="majorBidi"/>
          <w:sz w:val="24"/>
          <w:szCs w:val="24"/>
          <w:lang w:val="en-GB"/>
        </w:rPr>
      </w:pPr>
    </w:p>
    <w:p w14:paraId="6C488DD9" w14:textId="3676A323" w:rsidR="003D5CB0" w:rsidRDefault="003D5CB0" w:rsidP="003D5CB0">
      <w:pPr>
        <w:spacing w:line="360" w:lineRule="auto"/>
        <w:ind w:left="1080"/>
        <w:jc w:val="both"/>
        <w:rPr>
          <w:rFonts w:asciiTheme="majorBidi" w:hAnsiTheme="majorBidi" w:cstheme="majorBidi"/>
          <w:sz w:val="24"/>
          <w:szCs w:val="24"/>
          <w:lang w:val="en-GB"/>
        </w:rPr>
      </w:pPr>
    </w:p>
    <w:p w14:paraId="2386A3BF" w14:textId="77777777" w:rsidR="00D623DE" w:rsidRDefault="00D623DE" w:rsidP="00643EE9">
      <w:pPr>
        <w:spacing w:line="360" w:lineRule="auto"/>
        <w:ind w:left="1080"/>
        <w:jc w:val="both"/>
        <w:rPr>
          <w:rFonts w:asciiTheme="majorBidi" w:hAnsiTheme="majorBidi" w:cstheme="majorBidi"/>
          <w:b/>
          <w:bCs/>
          <w:lang w:val="en-GB"/>
        </w:rPr>
      </w:pPr>
    </w:p>
    <w:p w14:paraId="04AE8659" w14:textId="77777777" w:rsidR="00D623DE" w:rsidRDefault="00D623DE" w:rsidP="00643EE9">
      <w:pPr>
        <w:spacing w:line="360" w:lineRule="auto"/>
        <w:ind w:left="1080"/>
        <w:jc w:val="both"/>
        <w:rPr>
          <w:rFonts w:asciiTheme="majorBidi" w:hAnsiTheme="majorBidi" w:cstheme="majorBidi"/>
          <w:b/>
          <w:bCs/>
          <w:lang w:val="en-GB"/>
        </w:rPr>
      </w:pPr>
    </w:p>
    <w:p w14:paraId="7C8E713D" w14:textId="7F449253" w:rsidR="00F75478" w:rsidRPr="008F0C5E" w:rsidRDefault="00643EE9" w:rsidP="00643EE9">
      <w:pPr>
        <w:spacing w:line="360" w:lineRule="auto"/>
        <w:ind w:left="1080"/>
        <w:jc w:val="both"/>
        <w:rPr>
          <w:rFonts w:asciiTheme="majorBidi" w:hAnsiTheme="majorBidi" w:cstheme="majorBidi"/>
          <w:b/>
          <w:bCs/>
        </w:rPr>
      </w:pPr>
      <w:r w:rsidRPr="008F0C5E">
        <w:rPr>
          <w:rFonts w:asciiTheme="majorBidi" w:hAnsiTheme="majorBidi" w:cstheme="majorBidi"/>
          <w:b/>
          <w:bCs/>
          <w:lang w:val="en-GB"/>
        </w:rPr>
        <w:t xml:space="preserve">Figure </w:t>
      </w:r>
      <w:r w:rsidR="00EE3D19" w:rsidRPr="008F0C5E">
        <w:rPr>
          <w:rFonts w:asciiTheme="majorBidi" w:hAnsiTheme="majorBidi" w:cstheme="majorBidi"/>
          <w:b/>
          <w:bCs/>
        </w:rPr>
        <w:t>6</w:t>
      </w:r>
      <w:r w:rsidRPr="008F0C5E">
        <w:rPr>
          <w:rFonts w:asciiTheme="majorBidi" w:hAnsiTheme="majorBidi" w:cstheme="majorBidi"/>
          <w:b/>
          <w:bCs/>
        </w:rPr>
        <w:t xml:space="preserve">. </w:t>
      </w:r>
      <w:r w:rsidRPr="008F0C5E">
        <w:rPr>
          <w:rFonts w:asciiTheme="majorBidi" w:hAnsiTheme="majorBidi" w:cstheme="majorBidi"/>
          <w:b/>
          <w:bCs/>
          <w:lang w:val="en-GB"/>
        </w:rPr>
        <w:t>Rodent Continuous Performance Test (rCPT)</w:t>
      </w:r>
      <w:r w:rsidRPr="008F0C5E">
        <w:rPr>
          <w:rFonts w:asciiTheme="majorBidi" w:hAnsiTheme="majorBidi" w:cstheme="majorBidi"/>
        </w:rPr>
        <w:t xml:space="preserve"> </w:t>
      </w:r>
      <w:r w:rsidRPr="008F0C5E">
        <w:rPr>
          <w:rFonts w:asciiTheme="majorBidi" w:hAnsiTheme="majorBidi" w:cstheme="majorBidi"/>
          <w:b/>
          <w:bCs/>
          <w:lang w:val="en-GB"/>
        </w:rPr>
        <w:fldChar w:fldCharType="begin"/>
      </w:r>
      <w:r w:rsidRPr="008F0C5E">
        <w:rPr>
          <w:rFonts w:asciiTheme="majorBidi" w:hAnsiTheme="majorBidi" w:cstheme="majorBidi"/>
          <w:b/>
          <w:bCs/>
          <w:lang w:val="en-GB"/>
        </w:rPr>
        <w:instrText xml:space="preserve"> ADDIN EN.CITE &lt;EndNote&gt;&lt;Cite&gt;&lt;Author&gt;Prichardt&lt;/Author&gt;&lt;Year&gt;2023&lt;/Year&gt;&lt;RecNum&gt;379&lt;/RecNum&gt;&lt;DisplayText&gt;(Prichardt et al., 2023)&lt;/DisplayText&gt;&lt;record&gt;&lt;rec-number&gt;379&lt;/rec-number&gt;&lt;foreign-keys&gt;&lt;key app="EN" db-id="2ptrtps0adr9vke22dn5tpwzrsfaxtxrfwet" timestamp="1761129851"&gt;379&lt;/key&gt;&lt;/foreign-keys&gt;&lt;ref-type name="Journal Article"&gt;17&lt;/ref-type&gt;&lt;contributors&gt;&lt;authors&gt;&lt;author&gt;Prichardt, S.&lt;/author&gt;&lt;author&gt;Caballero-Puntiverio, M.&lt;/author&gt;&lt;author&gt;Klem, L.&lt;/author&gt;&lt;author&gt;Arvastson, L.&lt;/author&gt;&lt;author&gt;Lerdrup, L.&lt;/author&gt;&lt;author&gt;Andreasen, J. T.&lt;/author&gt;&lt;/authors&gt;&lt;/contributors&gt;&lt;titles&gt;&lt;title&gt;Assessing the nature of premature responses in the rodent continuous performance test variable intertrial interval schedule using atomoxetine and amphetamine&lt;/title&gt;&lt;secondary-title&gt;Journal of Neuroscience Methods&lt;/secondary-title&gt;&lt;/titles&gt;&lt;periodical&gt;&lt;full-title&gt;Journal of Neuroscience Methods&lt;/full-title&gt;&lt;/periodical&gt;&lt;pages&gt;109749&lt;/pages&gt;&lt;volume&gt;384&lt;/volume&gt;&lt;keywords&gt;&lt;keyword&gt;Variable inter-trial interval&lt;/keyword&gt;&lt;keyword&gt;Rodent continuous performance test&lt;/keyword&gt;&lt;keyword&gt;Impulsivity&lt;/keyword&gt;&lt;keyword&gt;Premature response&lt;/keyword&gt;&lt;keyword&gt;Atomoxetine&lt;/keyword&gt;&lt;keyword&gt;Amphetamine&lt;/keyword&gt;&lt;/keywords&gt;&lt;dates&gt;&lt;year&gt;2023&lt;/year&gt;&lt;pub-dates&gt;&lt;date&gt;2023/01/15/&lt;/date&gt;&lt;/pub-dates&gt;&lt;/dates&gt;&lt;isbn&gt;0165-0270&lt;/isbn&gt;&lt;urls&gt;&lt;related-urls&gt;&lt;url&gt;https://www.sciencedirect.com/science/article/pii/S0165027022002758&lt;/url&gt;&lt;/related-urls&gt;&lt;/urls&gt;&lt;electronic-resource-num&gt;https://doi.org/10.1016/j.jneumeth.2022.109749&lt;/electronic-resource-num&gt;&lt;/record&gt;&lt;/Cite&gt;&lt;/EndNote&gt;</w:instrText>
      </w:r>
      <w:r w:rsidRPr="008F0C5E">
        <w:rPr>
          <w:rFonts w:asciiTheme="majorBidi" w:hAnsiTheme="majorBidi" w:cstheme="majorBidi"/>
          <w:b/>
          <w:bCs/>
          <w:lang w:val="en-GB"/>
        </w:rPr>
        <w:fldChar w:fldCharType="separate"/>
      </w:r>
      <w:r w:rsidRPr="008F0C5E">
        <w:rPr>
          <w:rFonts w:asciiTheme="majorBidi" w:hAnsiTheme="majorBidi" w:cstheme="majorBidi"/>
          <w:b/>
          <w:bCs/>
          <w:noProof/>
          <w:lang w:val="en-GB"/>
        </w:rPr>
        <w:t>(</w:t>
      </w:r>
      <w:hyperlink w:anchor="_ENREF_187" w:tooltip="Prichardt, 2023 #379" w:history="1">
        <w:r w:rsidR="00DE113E" w:rsidRPr="008F0C5E">
          <w:rPr>
            <w:rFonts w:asciiTheme="majorBidi" w:hAnsiTheme="majorBidi" w:cstheme="majorBidi"/>
            <w:b/>
            <w:bCs/>
            <w:noProof/>
            <w:lang w:val="en-GB"/>
          </w:rPr>
          <w:t>Prichardt et al., 2023</w:t>
        </w:r>
      </w:hyperlink>
      <w:r w:rsidRPr="008F0C5E">
        <w:rPr>
          <w:rFonts w:asciiTheme="majorBidi" w:hAnsiTheme="majorBidi" w:cstheme="majorBidi"/>
          <w:b/>
          <w:bCs/>
          <w:noProof/>
          <w:lang w:val="en-GB"/>
        </w:rPr>
        <w:t>)</w:t>
      </w:r>
      <w:r w:rsidRPr="008F0C5E">
        <w:rPr>
          <w:rFonts w:asciiTheme="majorBidi" w:hAnsiTheme="majorBidi" w:cstheme="majorBidi"/>
          <w:b/>
          <w:bCs/>
          <w:lang w:val="en-GB"/>
        </w:rPr>
        <w:fldChar w:fldCharType="end"/>
      </w:r>
    </w:p>
    <w:p w14:paraId="0237632C" w14:textId="015AEBB6" w:rsidR="009D37CD" w:rsidRDefault="009D37CD" w:rsidP="00D623DE">
      <w:pPr>
        <w:pStyle w:val="Heading3"/>
        <w:ind w:left="1080"/>
        <w:rPr>
          <w:lang w:val="en-GB"/>
        </w:rPr>
      </w:pPr>
      <w:bookmarkStart w:id="56" w:name="_Toc214875862"/>
      <w:r w:rsidRPr="00F71F57">
        <w:rPr>
          <w:lang w:val="en-GB"/>
        </w:rPr>
        <w:lastRenderedPageBreak/>
        <w:t>2.4.6 4-Choice Gambling Task (4</w:t>
      </w:r>
      <w:r w:rsidR="00676DF9">
        <w:rPr>
          <w:lang w:val="en-GB"/>
        </w:rPr>
        <w:t>-</w:t>
      </w:r>
      <w:r w:rsidRPr="00F71F57">
        <w:rPr>
          <w:lang w:val="en-GB"/>
        </w:rPr>
        <w:t>CGT)</w:t>
      </w:r>
      <w:bookmarkEnd w:id="56"/>
    </w:p>
    <w:p w14:paraId="4FB62D00" w14:textId="325411A9" w:rsidR="00643D62" w:rsidRDefault="00643D62" w:rsidP="00643D62">
      <w:pPr>
        <w:spacing w:line="360" w:lineRule="auto"/>
        <w:ind w:left="1080"/>
        <w:jc w:val="both"/>
        <w:rPr>
          <w:rFonts w:asciiTheme="majorBidi" w:hAnsiTheme="majorBidi" w:cstheme="majorBidi"/>
          <w:sz w:val="24"/>
          <w:szCs w:val="24"/>
        </w:rPr>
      </w:pPr>
      <w:r w:rsidRPr="00643D62">
        <w:rPr>
          <w:rFonts w:asciiTheme="majorBidi" w:hAnsiTheme="majorBidi" w:cstheme="majorBidi"/>
          <w:b/>
          <w:bCs/>
          <w:sz w:val="24"/>
          <w:szCs w:val="24"/>
        </w:rPr>
        <w:t>4</w:t>
      </w:r>
      <w:r w:rsidR="00676DF9">
        <w:rPr>
          <w:rFonts w:asciiTheme="majorBidi" w:hAnsiTheme="majorBidi" w:cstheme="majorBidi"/>
          <w:b/>
          <w:bCs/>
          <w:sz w:val="24"/>
          <w:szCs w:val="24"/>
        </w:rPr>
        <w:t>-</w:t>
      </w:r>
      <w:r w:rsidRPr="00643D62">
        <w:rPr>
          <w:rFonts w:asciiTheme="majorBidi" w:hAnsiTheme="majorBidi" w:cstheme="majorBidi"/>
          <w:b/>
          <w:bCs/>
          <w:sz w:val="24"/>
          <w:szCs w:val="24"/>
        </w:rPr>
        <w:t>CGT</w:t>
      </w:r>
      <w:r w:rsidRPr="00643D62">
        <w:rPr>
          <w:rFonts w:asciiTheme="majorBidi" w:hAnsiTheme="majorBidi" w:cstheme="majorBidi"/>
          <w:sz w:val="24"/>
          <w:szCs w:val="24"/>
        </w:rPr>
        <w:t xml:space="preserve"> </w:t>
      </w:r>
      <w:r>
        <w:rPr>
          <w:rFonts w:asciiTheme="majorBidi" w:hAnsiTheme="majorBidi" w:cstheme="majorBidi"/>
          <w:sz w:val="24"/>
          <w:szCs w:val="24"/>
        </w:rPr>
        <w:t xml:space="preserve">test </w:t>
      </w:r>
      <w:r w:rsidRPr="00643D62">
        <w:rPr>
          <w:rFonts w:asciiTheme="majorBidi" w:hAnsiTheme="majorBidi" w:cstheme="majorBidi"/>
          <w:sz w:val="24"/>
          <w:szCs w:val="24"/>
        </w:rPr>
        <w:t>began with habituation and touch training sessions to familiarize mice with the touchscreen chamber, reward magazine, and liquid reward delivery (strawberry milkshake, ~7 µL). Mice first learned to associate a touch response with reward delivery during “must touch” training, where a single white square appeared pseudo-randomly in one of four response windows (positions 1, 2, 4, and 5); a correct touch produced a tone and reward. After animals reached criterion performance (≥40 trials within 30 min on two consecutive sessions), they advanced to the forced-choice gambling stage, where only one stimulus appeared per trial. Each grid position was associated with a distinct probability/reward profile: 1P (90% chance of 1× reward, 10% 5-s timeout), 2P (80% 2×, 20% 10-s timeout), 3P (50% 3×, 50% 30-s timeout), and 4P (40% 4×, 60% 40-s timeout). To control for spatial bias, reward contingencies were fully counterbalanced across animals (four probability sets A–D) such that each grid position was assigned every reward/punishment profile across subjects. Following forced-choice acquisition, mice progressed to the free-choice gambling phase, where all four options were presented simultaneously, allowing assessment of individual decision-making and risk preference. Sessions lasted 30 min or 100 trials, and performance was evaluated by choice preference</w:t>
      </w:r>
      <w:r>
        <w:rPr>
          <w:rFonts w:asciiTheme="majorBidi" w:hAnsiTheme="majorBidi" w:cstheme="majorBidi"/>
          <w:sz w:val="24"/>
          <w:szCs w:val="24"/>
        </w:rPr>
        <w:t>.</w:t>
      </w:r>
    </w:p>
    <w:p w14:paraId="4B6E9B2D" w14:textId="5E365716" w:rsidR="00E97B65" w:rsidRDefault="00D623DE" w:rsidP="00643D62">
      <w:pPr>
        <w:spacing w:line="360" w:lineRule="auto"/>
        <w:ind w:left="1080"/>
        <w:jc w:val="both"/>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72576" behindDoc="1" locked="0" layoutInCell="1" allowOverlap="1" wp14:anchorId="1C6D771A" wp14:editId="23283796">
            <wp:simplePos x="0" y="0"/>
            <wp:positionH relativeFrom="margin">
              <wp:align>center</wp:align>
            </wp:positionH>
            <wp:positionV relativeFrom="page">
              <wp:posOffset>6903720</wp:posOffset>
            </wp:positionV>
            <wp:extent cx="3473450" cy="2232660"/>
            <wp:effectExtent l="0" t="0" r="0" b="0"/>
            <wp:wrapNone/>
            <wp:docPr id="12" name="Picture 12" descr="A diagram of different option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diagram of different options&#10;&#10;AI-generated content may be incorrect."/>
                    <pic:cNvPicPr/>
                  </pic:nvPicPr>
                  <pic:blipFill>
                    <a:blip r:embed="rId25">
                      <a:extLst>
                        <a:ext uri="{28A0092B-C50C-407E-A947-70E740481C1C}">
                          <a14:useLocalDpi xmlns:a14="http://schemas.microsoft.com/office/drawing/2010/main" val="0"/>
                        </a:ext>
                      </a:extLst>
                    </a:blip>
                    <a:stretch>
                      <a:fillRect/>
                    </a:stretch>
                  </pic:blipFill>
                  <pic:spPr>
                    <a:xfrm>
                      <a:off x="0" y="0"/>
                      <a:ext cx="3473450" cy="2232660"/>
                    </a:xfrm>
                    <a:prstGeom prst="rect">
                      <a:avLst/>
                    </a:prstGeom>
                  </pic:spPr>
                </pic:pic>
              </a:graphicData>
            </a:graphic>
            <wp14:sizeRelH relativeFrom="margin">
              <wp14:pctWidth>0</wp14:pctWidth>
            </wp14:sizeRelH>
            <wp14:sizeRelV relativeFrom="margin">
              <wp14:pctHeight>0</wp14:pctHeight>
            </wp14:sizeRelV>
          </wp:anchor>
        </w:drawing>
      </w:r>
    </w:p>
    <w:p w14:paraId="0C560848" w14:textId="51D2E080" w:rsidR="00E97B65" w:rsidRPr="00643D62" w:rsidRDefault="00E97B65" w:rsidP="00643D62">
      <w:pPr>
        <w:spacing w:line="360" w:lineRule="auto"/>
        <w:ind w:left="1080"/>
        <w:jc w:val="both"/>
        <w:rPr>
          <w:rFonts w:asciiTheme="majorBidi" w:hAnsiTheme="majorBidi" w:cstheme="majorBidi"/>
          <w:sz w:val="24"/>
          <w:szCs w:val="24"/>
        </w:rPr>
      </w:pPr>
    </w:p>
    <w:p w14:paraId="4ED496F9" w14:textId="59047150" w:rsidR="009D37CD" w:rsidRPr="00643D62" w:rsidRDefault="009D37CD" w:rsidP="003D5CB0">
      <w:pPr>
        <w:spacing w:line="360" w:lineRule="auto"/>
        <w:ind w:left="1080"/>
        <w:jc w:val="both"/>
        <w:rPr>
          <w:rFonts w:asciiTheme="majorBidi" w:hAnsiTheme="majorBidi" w:cstheme="majorBidi"/>
          <w:sz w:val="24"/>
          <w:szCs w:val="24"/>
        </w:rPr>
      </w:pPr>
    </w:p>
    <w:p w14:paraId="48BC40BE" w14:textId="44737A88" w:rsidR="00CE0352" w:rsidRPr="00F71F57" w:rsidRDefault="00CE0352" w:rsidP="00BA354B">
      <w:pPr>
        <w:ind w:left="1080"/>
        <w:rPr>
          <w:rFonts w:asciiTheme="majorBidi" w:hAnsiTheme="majorBidi" w:cstheme="majorBidi"/>
          <w:b/>
          <w:bCs/>
          <w:sz w:val="24"/>
          <w:szCs w:val="24"/>
          <w:rtl/>
          <w:lang w:val="en-GB"/>
        </w:rPr>
      </w:pPr>
    </w:p>
    <w:p w14:paraId="410E79F1" w14:textId="77777777" w:rsidR="00E97B65" w:rsidRDefault="00E97B65" w:rsidP="00BA354B">
      <w:pPr>
        <w:ind w:left="1080"/>
        <w:rPr>
          <w:rFonts w:asciiTheme="majorBidi" w:hAnsiTheme="majorBidi" w:cstheme="majorBidi"/>
          <w:b/>
          <w:bCs/>
          <w:sz w:val="24"/>
          <w:szCs w:val="24"/>
          <w:lang w:val="en-GB"/>
        </w:rPr>
      </w:pPr>
    </w:p>
    <w:p w14:paraId="4AD72EC9" w14:textId="77777777" w:rsidR="00E97B65" w:rsidRDefault="00E97B65" w:rsidP="00BA354B">
      <w:pPr>
        <w:ind w:left="1080"/>
        <w:rPr>
          <w:rFonts w:asciiTheme="majorBidi" w:hAnsiTheme="majorBidi" w:cstheme="majorBidi"/>
          <w:b/>
          <w:bCs/>
          <w:sz w:val="24"/>
          <w:szCs w:val="24"/>
          <w:lang w:val="en-GB"/>
        </w:rPr>
      </w:pPr>
    </w:p>
    <w:p w14:paraId="48AAB641" w14:textId="77777777" w:rsidR="00D623DE" w:rsidRDefault="00D623DE" w:rsidP="00A16572">
      <w:pPr>
        <w:ind w:left="1080"/>
        <w:rPr>
          <w:rFonts w:asciiTheme="majorBidi" w:hAnsiTheme="majorBidi" w:cstheme="majorBidi"/>
          <w:b/>
          <w:bCs/>
          <w:lang w:val="en-GB"/>
        </w:rPr>
      </w:pPr>
    </w:p>
    <w:p w14:paraId="6833D602" w14:textId="56565293" w:rsidR="00A16572" w:rsidRPr="008F0C5E" w:rsidRDefault="00A16572" w:rsidP="00A16572">
      <w:pPr>
        <w:ind w:left="1080"/>
        <w:rPr>
          <w:rFonts w:asciiTheme="majorBidi" w:hAnsiTheme="majorBidi" w:cstheme="majorBidi"/>
          <w:b/>
          <w:bCs/>
          <w:lang w:val="en-GB"/>
        </w:rPr>
      </w:pPr>
      <w:r w:rsidRPr="008F0C5E">
        <w:rPr>
          <w:rFonts w:asciiTheme="majorBidi" w:hAnsiTheme="majorBidi" w:cstheme="majorBidi"/>
          <w:b/>
          <w:bCs/>
          <w:lang w:val="en-GB"/>
        </w:rPr>
        <w:t xml:space="preserve">Figure </w:t>
      </w:r>
      <w:r w:rsidR="00EE3D19" w:rsidRPr="008F0C5E">
        <w:rPr>
          <w:rFonts w:asciiTheme="majorBidi" w:hAnsiTheme="majorBidi" w:cstheme="majorBidi"/>
          <w:b/>
          <w:bCs/>
        </w:rPr>
        <w:t>7</w:t>
      </w:r>
      <w:r w:rsidRPr="008F0C5E">
        <w:rPr>
          <w:rFonts w:asciiTheme="majorBidi" w:hAnsiTheme="majorBidi" w:cstheme="majorBidi"/>
          <w:b/>
          <w:bCs/>
        </w:rPr>
        <w:t>.</w:t>
      </w:r>
      <w:r w:rsidRPr="008F0C5E">
        <w:rPr>
          <w:rFonts w:asciiTheme="majorBidi" w:hAnsiTheme="majorBidi" w:cstheme="majorBidi"/>
        </w:rPr>
        <w:t xml:space="preserve"> </w:t>
      </w:r>
      <w:r w:rsidRPr="008F0C5E">
        <w:rPr>
          <w:rFonts w:asciiTheme="majorBidi" w:hAnsiTheme="majorBidi" w:cstheme="majorBidi"/>
          <w:b/>
          <w:bCs/>
        </w:rPr>
        <w:t xml:space="preserve">Incentive conditions for each of the four options presented during the gambling task </w:t>
      </w:r>
      <w:r w:rsidRPr="008F0C5E">
        <w:rPr>
          <w:rFonts w:asciiTheme="majorBidi" w:hAnsiTheme="majorBidi" w:cstheme="majorBidi"/>
          <w:b/>
          <w:bCs/>
        </w:rPr>
        <w:fldChar w:fldCharType="begin"/>
      </w:r>
      <w:r w:rsidRPr="008F0C5E">
        <w:rPr>
          <w:rFonts w:asciiTheme="majorBidi" w:hAnsiTheme="majorBidi" w:cstheme="majorBidi"/>
          <w:b/>
          <w:bCs/>
        </w:rPr>
        <w:instrText xml:space="preserve"> ADDIN EN.CITE &lt;EndNote&gt;&lt;Cite&gt;&lt;Author&gt;Thomson&lt;/Author&gt;&lt;Year&gt;2021&lt;/Year&gt;&lt;RecNum&gt;380&lt;/RecNum&gt;&lt;DisplayText&gt;(Thomson et al., 2021)&lt;/DisplayText&gt;&lt;record&gt;&lt;rec-number&gt;380&lt;/rec-number&gt;&lt;foreign-keys&gt;&lt;key app="EN" db-id="2ptrtps0adr9vke22dn5tpwzrsfaxtxrfwet" timestamp="1761132771"&gt;380&lt;/key&gt;&lt;/foreign-keys&gt;&lt;ref-type name="Journal Article"&gt;17&lt;/ref-type&gt;&lt;contributors&gt;&lt;authors&gt;&lt;author&gt;Thomson, David M.&lt;/author&gt;&lt;author&gt;Openshaw, Rebecca L.&lt;/author&gt;&lt;author&gt;Mitchell, Emma J.&lt;/author&gt;&lt;author&gt;Kouskou, Marianna&lt;/author&gt;&lt;author&gt;Millan, Mark J.&lt;/author&gt;&lt;author&gt;Mannoury la Cour, Clotilde&lt;/author&gt;&lt;author&gt;Morris, Brian J.&lt;/author&gt;&lt;author&gt;Pratt, Judith A.&lt;/author&gt;&lt;/authors&gt;&lt;/contributors&gt;&lt;titles&gt;&lt;title&gt;Impaired working memory, cognitive flexibility and reward processing in mice genetically lacking Gpr88: Evidence for a key role for Gpr88 in multiple cortico-striatal-thalamic circuits&lt;/title&gt;&lt;secondary-title&gt;Genes, Brain and Behavior&lt;/secondary-title&gt;&lt;/titles&gt;&lt;periodical&gt;&lt;full-title&gt;Genes, Brain and Behavior&lt;/full-title&gt;&lt;/periodical&gt;&lt;pages&gt;e12710&lt;/pages&gt;&lt;volume&gt;20&lt;/volume&gt;&lt;number&gt;2&lt;/number&gt;&lt;dates&gt;&lt;year&gt;2021&lt;/year&gt;&lt;/dates&gt;&lt;isbn&gt;1601-1848&lt;/isbn&gt;&lt;urls&gt;&lt;related-urls&gt;&lt;url&gt;https://onlinelibrary.wiley.com/doi/abs/10.1111/gbb.12710&lt;/url&gt;&lt;/related-urls&gt;&lt;/urls&gt;&lt;electronic-resource-num&gt;https://doi.org/10.1111/gbb.12710&lt;/electronic-resource-num&gt;&lt;/record&gt;&lt;/Cite&gt;&lt;/EndNote&gt;</w:instrText>
      </w:r>
      <w:r w:rsidRPr="008F0C5E">
        <w:rPr>
          <w:rFonts w:asciiTheme="majorBidi" w:hAnsiTheme="majorBidi" w:cstheme="majorBidi"/>
          <w:b/>
          <w:bCs/>
        </w:rPr>
        <w:fldChar w:fldCharType="separate"/>
      </w:r>
      <w:r w:rsidRPr="008F0C5E">
        <w:rPr>
          <w:rFonts w:asciiTheme="majorBidi" w:hAnsiTheme="majorBidi" w:cstheme="majorBidi"/>
          <w:b/>
          <w:bCs/>
          <w:noProof/>
        </w:rPr>
        <w:t>(</w:t>
      </w:r>
      <w:hyperlink w:anchor="_ENREF_249" w:tooltip="Thomson, 2021 #384" w:history="1">
        <w:r w:rsidR="00DE113E" w:rsidRPr="008F0C5E">
          <w:rPr>
            <w:rFonts w:asciiTheme="majorBidi" w:hAnsiTheme="majorBidi" w:cstheme="majorBidi"/>
            <w:b/>
            <w:bCs/>
            <w:noProof/>
          </w:rPr>
          <w:t>Thomson et al., 2021</w:t>
        </w:r>
      </w:hyperlink>
      <w:r w:rsidRPr="008F0C5E">
        <w:rPr>
          <w:rFonts w:asciiTheme="majorBidi" w:hAnsiTheme="majorBidi" w:cstheme="majorBidi"/>
          <w:b/>
          <w:bCs/>
          <w:noProof/>
        </w:rPr>
        <w:t>)</w:t>
      </w:r>
      <w:r w:rsidRPr="008F0C5E">
        <w:rPr>
          <w:rFonts w:asciiTheme="majorBidi" w:hAnsiTheme="majorBidi" w:cstheme="majorBidi"/>
          <w:b/>
          <w:bCs/>
        </w:rPr>
        <w:fldChar w:fldCharType="end"/>
      </w:r>
      <w:r w:rsidRPr="008F0C5E">
        <w:rPr>
          <w:rFonts w:asciiTheme="majorBidi" w:hAnsiTheme="majorBidi" w:cstheme="majorBidi"/>
          <w:b/>
          <w:bCs/>
        </w:rPr>
        <w:t>.</w:t>
      </w:r>
    </w:p>
    <w:p w14:paraId="4C4C620D" w14:textId="158F1CE7" w:rsidR="00E97B65" w:rsidRDefault="00E97B65" w:rsidP="00BA354B">
      <w:pPr>
        <w:ind w:left="1080"/>
        <w:rPr>
          <w:rFonts w:asciiTheme="majorBidi" w:hAnsiTheme="majorBidi" w:cstheme="majorBidi"/>
          <w:b/>
          <w:bCs/>
          <w:sz w:val="24"/>
          <w:szCs w:val="24"/>
          <w:lang w:val="en-GB"/>
        </w:rPr>
      </w:pPr>
    </w:p>
    <w:p w14:paraId="7EA2945B" w14:textId="295A67B0" w:rsidR="00BA354B" w:rsidRPr="00F71F57" w:rsidRDefault="00BA354B" w:rsidP="00D623DE">
      <w:pPr>
        <w:pStyle w:val="Heading3"/>
        <w:ind w:left="1080"/>
        <w:rPr>
          <w:lang w:val="en-GB"/>
        </w:rPr>
      </w:pPr>
      <w:bookmarkStart w:id="57" w:name="_Toc214875863"/>
      <w:r w:rsidRPr="00F71F57">
        <w:rPr>
          <w:lang w:val="en-GB"/>
        </w:rPr>
        <w:t>2.4.7 Trial-Unique Nonmatching-to-Location Task (TUNL)</w:t>
      </w:r>
      <w:bookmarkEnd w:id="57"/>
    </w:p>
    <w:p w14:paraId="66C3BA9E" w14:textId="340354CB" w:rsidR="009D7B6C" w:rsidRPr="00F71F57" w:rsidRDefault="009D7B6C" w:rsidP="006A5E0C">
      <w:pPr>
        <w:spacing w:line="360" w:lineRule="auto"/>
        <w:ind w:left="1080"/>
        <w:jc w:val="both"/>
        <w:rPr>
          <w:rFonts w:asciiTheme="majorBidi" w:hAnsiTheme="majorBidi" w:cstheme="majorBidi"/>
          <w:sz w:val="24"/>
          <w:szCs w:val="24"/>
          <w:lang w:val="en-GB" w:bidi="fa-IR"/>
        </w:rPr>
      </w:pPr>
      <w:r w:rsidRPr="00F71F57">
        <w:rPr>
          <w:rFonts w:asciiTheme="majorBidi" w:hAnsiTheme="majorBidi" w:cstheme="majorBidi"/>
          <w:sz w:val="24"/>
          <w:szCs w:val="24"/>
          <w:lang w:val="en-GB" w:bidi="fa-IR"/>
        </w:rPr>
        <w:t xml:space="preserve">The TUNL task is a touchscreen-based test of spatial working memory and pattern separation. Mice must remember the location of a briefly presented sample stimulus and subsequently select a novel location during the choice phase. </w:t>
      </w:r>
    </w:p>
    <w:p w14:paraId="7DDB35B5" w14:textId="62111BD8" w:rsidR="009D7B6C" w:rsidRPr="00F71F57" w:rsidRDefault="009D7B6C" w:rsidP="009D7B6C">
      <w:pPr>
        <w:ind w:left="1080"/>
        <w:rPr>
          <w:rFonts w:asciiTheme="majorBidi" w:hAnsiTheme="majorBidi" w:cstheme="majorBidi"/>
          <w:b/>
          <w:bCs/>
          <w:sz w:val="24"/>
          <w:szCs w:val="24"/>
          <w:lang w:val="en-GB" w:bidi="fa-IR"/>
        </w:rPr>
      </w:pPr>
      <w:r w:rsidRPr="00F71F57">
        <w:rPr>
          <w:rFonts w:asciiTheme="majorBidi" w:hAnsiTheme="majorBidi" w:cstheme="majorBidi"/>
          <w:b/>
          <w:bCs/>
          <w:sz w:val="24"/>
          <w:szCs w:val="24"/>
          <w:lang w:val="en-GB" w:bidi="fa-IR"/>
        </w:rPr>
        <w:t>Experimental Protocol</w:t>
      </w:r>
    </w:p>
    <w:p w14:paraId="6B5C5484" w14:textId="0FDBAF47" w:rsidR="00A16572" w:rsidRPr="00D623DE" w:rsidRDefault="00E27ACB" w:rsidP="00D623DE">
      <w:pPr>
        <w:spacing w:line="360" w:lineRule="auto"/>
        <w:ind w:left="1080"/>
        <w:jc w:val="both"/>
        <w:rPr>
          <w:rFonts w:asciiTheme="majorBidi" w:hAnsiTheme="majorBidi" w:cstheme="majorBidi"/>
          <w:sz w:val="24"/>
          <w:szCs w:val="24"/>
          <w:lang w:bidi="fa-IR"/>
        </w:rPr>
      </w:pPr>
      <w:r w:rsidRPr="00E27ACB">
        <w:rPr>
          <w:rFonts w:asciiTheme="majorBidi" w:hAnsiTheme="majorBidi" w:cstheme="majorBidi"/>
          <w:sz w:val="24"/>
          <w:szCs w:val="24"/>
          <w:lang w:bidi="fa-IR"/>
        </w:rPr>
        <w:t>TUNL task began with standard touchscreen pre-training (habituation, initial touch, must touch, must initiate, and punish incorrect) to ensure animals reliably initiated trials and responded to on-screen stimuli for a strawberry milkshake reward. Following pre-training, mice advanced to the TUNL acquisition phase (Stage 1), in which each trial consisted of a sample phase and a choice phase. During the sample phase, a single white square appeared in one of five spatial locations; after a touch response and a short delay (2 s), two stimuli were presented—one in the previous (sample) location and one in a novel (non-matching) location. Correct responses to the novel location were rewarded, whereas incorrect touches to the sample location triggered a 5-s timeout and correction trials. Spatial separation between the sample and choice stimuli was systematically reduced across training (S3→S2→S1), requiring increasing spatial discrimination until criterion performance (≥70% correct across two sessions) was achieved. Mice then proceeded to Stage 2, which assessed the effect of spatial separation by comparing performance at S1 versus S0 levels. At S0, sample and choice locations were immediately adjacent, increasing task difficulty and reducing accuracy.</w:t>
      </w:r>
    </w:p>
    <w:p w14:paraId="365CF58B" w14:textId="77777777" w:rsidR="003A6EF8" w:rsidRDefault="003A6EF8" w:rsidP="00EB004F">
      <w:pPr>
        <w:ind w:left="1080"/>
        <w:rPr>
          <w:rFonts w:asciiTheme="majorBidi" w:hAnsiTheme="majorBidi" w:cstheme="majorBidi"/>
          <w:b/>
          <w:bCs/>
          <w:sz w:val="24"/>
          <w:szCs w:val="24"/>
          <w:lang w:val="en-GB" w:bidi="fa-IR"/>
        </w:rPr>
      </w:pPr>
    </w:p>
    <w:p w14:paraId="7178D6F4" w14:textId="680756FC" w:rsidR="00A16572" w:rsidRDefault="003046A5" w:rsidP="00EB004F">
      <w:pPr>
        <w:ind w:left="1080"/>
        <w:rPr>
          <w:rFonts w:asciiTheme="majorBidi" w:hAnsiTheme="majorBidi" w:cstheme="majorBidi"/>
          <w:b/>
          <w:bCs/>
          <w:sz w:val="24"/>
          <w:szCs w:val="24"/>
          <w:lang w:val="en-GB" w:bidi="fa-IR"/>
        </w:rPr>
      </w:pPr>
      <w:r>
        <w:rPr>
          <w:rFonts w:asciiTheme="majorBidi" w:hAnsiTheme="majorBidi" w:cstheme="majorBidi"/>
          <w:noProof/>
          <w:sz w:val="24"/>
          <w:szCs w:val="24"/>
          <w:lang w:bidi="fa-IR"/>
        </w:rPr>
        <w:lastRenderedPageBreak/>
        <w:drawing>
          <wp:anchor distT="0" distB="0" distL="114300" distR="114300" simplePos="0" relativeHeight="251673600" behindDoc="1" locked="0" layoutInCell="1" allowOverlap="1" wp14:anchorId="427C03A3" wp14:editId="58E92AFD">
            <wp:simplePos x="0" y="0"/>
            <wp:positionH relativeFrom="margin">
              <wp:posOffset>701040</wp:posOffset>
            </wp:positionH>
            <wp:positionV relativeFrom="page">
              <wp:posOffset>1082040</wp:posOffset>
            </wp:positionV>
            <wp:extent cx="3863340" cy="2805430"/>
            <wp:effectExtent l="0" t="0" r="3810" b="0"/>
            <wp:wrapSquare wrapText="bothSides"/>
            <wp:docPr id="13" name="Picture 13" descr="A diagram of a tes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diagram of a test&#10;&#10;AI-generated content may be incorrect."/>
                    <pic:cNvPicPr/>
                  </pic:nvPicPr>
                  <pic:blipFill>
                    <a:blip r:embed="rId26">
                      <a:extLst>
                        <a:ext uri="{28A0092B-C50C-407E-A947-70E740481C1C}">
                          <a14:useLocalDpi xmlns:a14="http://schemas.microsoft.com/office/drawing/2010/main" val="0"/>
                        </a:ext>
                      </a:extLst>
                    </a:blip>
                    <a:stretch>
                      <a:fillRect/>
                    </a:stretch>
                  </pic:blipFill>
                  <pic:spPr>
                    <a:xfrm>
                      <a:off x="0" y="0"/>
                      <a:ext cx="3863340" cy="2805430"/>
                    </a:xfrm>
                    <a:prstGeom prst="rect">
                      <a:avLst/>
                    </a:prstGeom>
                  </pic:spPr>
                </pic:pic>
              </a:graphicData>
            </a:graphic>
            <wp14:sizeRelH relativeFrom="margin">
              <wp14:pctWidth>0</wp14:pctWidth>
            </wp14:sizeRelH>
            <wp14:sizeRelV relativeFrom="margin">
              <wp14:pctHeight>0</wp14:pctHeight>
            </wp14:sizeRelV>
          </wp:anchor>
        </w:drawing>
      </w:r>
    </w:p>
    <w:p w14:paraId="4D3BFF5C" w14:textId="11C043CB" w:rsidR="00A16572" w:rsidRDefault="00A16572" w:rsidP="00EB004F">
      <w:pPr>
        <w:ind w:left="1080"/>
        <w:rPr>
          <w:rFonts w:asciiTheme="majorBidi" w:hAnsiTheme="majorBidi" w:cstheme="majorBidi"/>
          <w:b/>
          <w:bCs/>
          <w:sz w:val="24"/>
          <w:szCs w:val="24"/>
          <w:lang w:val="en-GB" w:bidi="fa-IR"/>
        </w:rPr>
      </w:pPr>
    </w:p>
    <w:p w14:paraId="17F56E48" w14:textId="3D948816" w:rsidR="00A16572" w:rsidRDefault="00A16572" w:rsidP="00EB004F">
      <w:pPr>
        <w:ind w:left="1080"/>
        <w:rPr>
          <w:rFonts w:asciiTheme="majorBidi" w:hAnsiTheme="majorBidi" w:cstheme="majorBidi"/>
          <w:b/>
          <w:bCs/>
          <w:sz w:val="24"/>
          <w:szCs w:val="24"/>
          <w:lang w:val="en-GB" w:bidi="fa-IR"/>
        </w:rPr>
      </w:pPr>
    </w:p>
    <w:p w14:paraId="06359C39" w14:textId="51B6DD38" w:rsidR="00A16572" w:rsidRDefault="00A16572" w:rsidP="00EB004F">
      <w:pPr>
        <w:ind w:left="1080"/>
        <w:rPr>
          <w:rFonts w:asciiTheme="majorBidi" w:hAnsiTheme="majorBidi" w:cstheme="majorBidi"/>
          <w:b/>
          <w:bCs/>
          <w:sz w:val="24"/>
          <w:szCs w:val="24"/>
          <w:lang w:val="en-GB" w:bidi="fa-IR"/>
        </w:rPr>
      </w:pPr>
    </w:p>
    <w:p w14:paraId="6F51951E" w14:textId="27D28FB1" w:rsidR="00A16572" w:rsidRDefault="00A16572" w:rsidP="00EB004F">
      <w:pPr>
        <w:ind w:left="1080"/>
        <w:rPr>
          <w:rFonts w:asciiTheme="majorBidi" w:hAnsiTheme="majorBidi" w:cstheme="majorBidi"/>
          <w:b/>
          <w:bCs/>
          <w:sz w:val="24"/>
          <w:szCs w:val="24"/>
          <w:lang w:val="en-GB" w:bidi="fa-IR"/>
        </w:rPr>
      </w:pPr>
    </w:p>
    <w:p w14:paraId="53DF5370" w14:textId="3990DD3C" w:rsidR="00A16572" w:rsidRDefault="00A16572" w:rsidP="00EB004F">
      <w:pPr>
        <w:ind w:left="1080"/>
        <w:rPr>
          <w:rFonts w:asciiTheme="majorBidi" w:hAnsiTheme="majorBidi" w:cstheme="majorBidi"/>
          <w:b/>
          <w:bCs/>
          <w:sz w:val="24"/>
          <w:szCs w:val="24"/>
          <w:lang w:val="en-GB" w:bidi="fa-IR"/>
        </w:rPr>
      </w:pPr>
    </w:p>
    <w:p w14:paraId="05840FB5" w14:textId="365B3C1E" w:rsidR="00A16572" w:rsidRDefault="00A16572" w:rsidP="00EB004F">
      <w:pPr>
        <w:ind w:left="1080"/>
        <w:rPr>
          <w:rFonts w:asciiTheme="majorBidi" w:hAnsiTheme="majorBidi" w:cstheme="majorBidi"/>
          <w:b/>
          <w:bCs/>
          <w:sz w:val="24"/>
          <w:szCs w:val="24"/>
          <w:lang w:val="en-GB" w:bidi="fa-IR"/>
        </w:rPr>
      </w:pPr>
    </w:p>
    <w:p w14:paraId="651E0890" w14:textId="4C3B68F5" w:rsidR="00A16572" w:rsidRDefault="00A16572" w:rsidP="00EB004F">
      <w:pPr>
        <w:ind w:left="1080"/>
        <w:rPr>
          <w:rFonts w:asciiTheme="majorBidi" w:hAnsiTheme="majorBidi" w:cstheme="majorBidi"/>
          <w:b/>
          <w:bCs/>
          <w:sz w:val="24"/>
          <w:szCs w:val="24"/>
          <w:lang w:val="en-GB" w:bidi="fa-IR"/>
        </w:rPr>
      </w:pPr>
    </w:p>
    <w:p w14:paraId="1E366762" w14:textId="2828CF0E" w:rsidR="00A16572" w:rsidRDefault="00A16572" w:rsidP="00EB004F">
      <w:pPr>
        <w:ind w:left="1080"/>
        <w:rPr>
          <w:rFonts w:asciiTheme="majorBidi" w:hAnsiTheme="majorBidi" w:cstheme="majorBidi"/>
          <w:b/>
          <w:bCs/>
          <w:sz w:val="24"/>
          <w:szCs w:val="24"/>
          <w:lang w:val="en-GB" w:bidi="fa-IR"/>
        </w:rPr>
      </w:pPr>
    </w:p>
    <w:p w14:paraId="409C0542" w14:textId="3C827F28" w:rsidR="00A16572" w:rsidRDefault="00A16572" w:rsidP="00EB004F">
      <w:pPr>
        <w:ind w:left="1080"/>
        <w:rPr>
          <w:rFonts w:asciiTheme="majorBidi" w:hAnsiTheme="majorBidi" w:cstheme="majorBidi"/>
          <w:b/>
          <w:bCs/>
          <w:sz w:val="24"/>
          <w:szCs w:val="24"/>
          <w:lang w:val="en-GB" w:bidi="fa-IR"/>
        </w:rPr>
      </w:pPr>
    </w:p>
    <w:p w14:paraId="46713553" w14:textId="305BB8D1" w:rsidR="00144BF2" w:rsidRPr="008F0C5E" w:rsidRDefault="003046A5" w:rsidP="00EB004F">
      <w:pPr>
        <w:ind w:left="1080"/>
        <w:rPr>
          <w:rFonts w:asciiTheme="majorBidi" w:hAnsiTheme="majorBidi" w:cstheme="majorBidi"/>
          <w:b/>
          <w:bCs/>
        </w:rPr>
      </w:pPr>
      <w:r w:rsidRPr="008F0C5E">
        <w:rPr>
          <w:rFonts w:asciiTheme="majorBidi" w:hAnsiTheme="majorBidi" w:cstheme="majorBidi"/>
          <w:b/>
          <w:bCs/>
          <w:lang w:val="en-GB"/>
        </w:rPr>
        <w:t xml:space="preserve">Figure </w:t>
      </w:r>
      <w:r w:rsidR="00EE3D19" w:rsidRPr="008F0C5E">
        <w:rPr>
          <w:rFonts w:asciiTheme="majorBidi" w:hAnsiTheme="majorBidi" w:cstheme="majorBidi"/>
          <w:b/>
          <w:bCs/>
        </w:rPr>
        <w:t>8</w:t>
      </w:r>
      <w:r w:rsidRPr="008F0C5E">
        <w:rPr>
          <w:rFonts w:asciiTheme="majorBidi" w:hAnsiTheme="majorBidi" w:cstheme="majorBidi"/>
          <w:b/>
          <w:bCs/>
        </w:rPr>
        <w:t>.</w:t>
      </w:r>
      <w:r w:rsidR="00144BF2" w:rsidRPr="008F0C5E">
        <w:rPr>
          <w:rFonts w:asciiTheme="majorBidi" w:hAnsiTheme="majorBidi" w:cstheme="majorBidi"/>
          <w:b/>
          <w:bCs/>
        </w:rPr>
        <w:t xml:space="preserve"> Trial schematic for the mouse TUNL task. </w:t>
      </w:r>
    </w:p>
    <w:p w14:paraId="7554F4A0" w14:textId="6346B80A" w:rsidR="00A16572" w:rsidRPr="008F0C5E" w:rsidRDefault="003A6EF8" w:rsidP="0092552C">
      <w:pPr>
        <w:ind w:left="1080"/>
        <w:jc w:val="both"/>
        <w:rPr>
          <w:rFonts w:asciiTheme="majorBidi" w:hAnsiTheme="majorBidi" w:cstheme="majorBidi"/>
          <w:b/>
          <w:bCs/>
          <w:lang w:val="en-GB" w:bidi="fa-IR"/>
        </w:rPr>
      </w:pPr>
      <w:r w:rsidRPr="008F0C5E">
        <w:rPr>
          <w:rFonts w:asciiTheme="majorBidi" w:hAnsiTheme="majorBidi" w:cstheme="majorBidi"/>
        </w:rPr>
        <w:t>A</w:t>
      </w:r>
      <w:r w:rsidR="00144BF2" w:rsidRPr="008F0C5E">
        <w:rPr>
          <w:rFonts w:asciiTheme="majorBidi" w:hAnsiTheme="majorBidi" w:cstheme="majorBidi"/>
        </w:rPr>
        <w:t xml:space="preserve"> Sequence of events in each trial. The animal initiates the delay period by touching the sample location (white square). After the retention interval, the animal is shown two lit squares; to receive a reward, it must touch the square that is a nonmatch for the trial’s sample location (green tick represents correct location; red cross represents incorrect location; ticks and crosses are for illustration purposes only and are not visible to mice). B, Overview of each of the 20 possible configurations of sample and nonmatch location. Separation conditions are defined in terms of the number of unlit squares that separate the sample location and the nonmatching location (e.g., in a Separation 3 trial, the sample location and the nonmatch location are separated by three unlit squares) </w:t>
      </w:r>
      <w:r w:rsidR="00144BF2" w:rsidRPr="008F0C5E">
        <w:rPr>
          <w:rFonts w:asciiTheme="majorBidi" w:hAnsiTheme="majorBidi" w:cstheme="majorBidi"/>
        </w:rPr>
        <w:fldChar w:fldCharType="begin">
          <w:fldData xml:space="preserve">PEVuZE5vdGU+PENpdGU+PEF1dGhvcj5CZW5uZXR0PC9BdXRob3I+PFllYXI+MjAyMzwvWWVhcj48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==
</w:fldData>
        </w:fldChar>
      </w:r>
      <w:r w:rsidR="00144BF2" w:rsidRPr="008F0C5E">
        <w:rPr>
          <w:rFonts w:asciiTheme="majorBidi" w:hAnsiTheme="majorBidi" w:cstheme="majorBidi"/>
        </w:rPr>
        <w:instrText xml:space="preserve"> ADDIN EN.CITE </w:instrText>
      </w:r>
      <w:r w:rsidR="00144BF2" w:rsidRPr="008F0C5E">
        <w:rPr>
          <w:rFonts w:asciiTheme="majorBidi" w:hAnsiTheme="majorBidi" w:cstheme="majorBidi"/>
        </w:rPr>
        <w:fldChar w:fldCharType="begin">
          <w:fldData xml:space="preserve">PEVuZE5vdGU+PENpdGU+PEF1dGhvcj5CZW5uZXR0PC9BdXRob3I+PFllYXI+MjAyMzwvWWVhcj48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==
</w:fldData>
        </w:fldChar>
      </w:r>
      <w:r w:rsidR="00144BF2" w:rsidRPr="008F0C5E">
        <w:rPr>
          <w:rFonts w:asciiTheme="majorBidi" w:hAnsiTheme="majorBidi" w:cstheme="majorBidi"/>
        </w:rPr>
        <w:instrText xml:space="preserve"> ADDIN EN.CITE.DATA </w:instrText>
      </w:r>
      <w:r w:rsidR="00144BF2" w:rsidRPr="008F0C5E">
        <w:rPr>
          <w:rFonts w:asciiTheme="majorBidi" w:hAnsiTheme="majorBidi" w:cstheme="majorBidi"/>
        </w:rPr>
      </w:r>
      <w:r w:rsidR="00144BF2" w:rsidRPr="008F0C5E">
        <w:rPr>
          <w:rFonts w:asciiTheme="majorBidi" w:hAnsiTheme="majorBidi" w:cstheme="majorBidi"/>
        </w:rPr>
        <w:fldChar w:fldCharType="end"/>
      </w:r>
      <w:r w:rsidR="00144BF2" w:rsidRPr="008F0C5E">
        <w:rPr>
          <w:rFonts w:asciiTheme="majorBidi" w:hAnsiTheme="majorBidi" w:cstheme="majorBidi"/>
        </w:rPr>
      </w:r>
      <w:r w:rsidR="00144BF2" w:rsidRPr="008F0C5E">
        <w:rPr>
          <w:rFonts w:asciiTheme="majorBidi" w:hAnsiTheme="majorBidi" w:cstheme="majorBidi"/>
        </w:rPr>
        <w:fldChar w:fldCharType="separate"/>
      </w:r>
      <w:r w:rsidR="00144BF2" w:rsidRPr="008F0C5E">
        <w:rPr>
          <w:rFonts w:asciiTheme="majorBidi" w:hAnsiTheme="majorBidi" w:cstheme="majorBidi"/>
          <w:noProof/>
        </w:rPr>
        <w:t>(</w:t>
      </w:r>
      <w:hyperlink w:anchor="_ENREF_18" w:tooltip="Bennett, 2023 #381" w:history="1">
        <w:r w:rsidR="00DE113E" w:rsidRPr="008F0C5E">
          <w:rPr>
            <w:rFonts w:asciiTheme="majorBidi" w:hAnsiTheme="majorBidi" w:cstheme="majorBidi"/>
            <w:noProof/>
          </w:rPr>
          <w:t>Bennett et al., 2023</w:t>
        </w:r>
      </w:hyperlink>
      <w:r w:rsidR="00144BF2" w:rsidRPr="008F0C5E">
        <w:rPr>
          <w:rFonts w:asciiTheme="majorBidi" w:hAnsiTheme="majorBidi" w:cstheme="majorBidi"/>
          <w:noProof/>
        </w:rPr>
        <w:t>)</w:t>
      </w:r>
      <w:r w:rsidR="00144BF2" w:rsidRPr="008F0C5E">
        <w:rPr>
          <w:rFonts w:asciiTheme="majorBidi" w:hAnsiTheme="majorBidi" w:cstheme="majorBidi"/>
        </w:rPr>
        <w:fldChar w:fldCharType="end"/>
      </w:r>
      <w:r w:rsidR="00144BF2" w:rsidRPr="008F0C5E">
        <w:rPr>
          <w:rFonts w:asciiTheme="majorBidi" w:hAnsiTheme="majorBidi" w:cstheme="majorBidi"/>
        </w:rPr>
        <w:t>.</w:t>
      </w:r>
    </w:p>
    <w:p w14:paraId="0E583792" w14:textId="77777777" w:rsidR="00A16572" w:rsidRPr="00F71F57" w:rsidRDefault="00A16572" w:rsidP="000F7645">
      <w:pPr>
        <w:rPr>
          <w:rFonts w:asciiTheme="majorBidi" w:hAnsiTheme="majorBidi" w:cstheme="majorBidi"/>
          <w:sz w:val="24"/>
          <w:szCs w:val="24"/>
          <w:lang w:val="en-GB" w:bidi="fa-IR"/>
        </w:rPr>
      </w:pPr>
    </w:p>
    <w:p w14:paraId="29A8F9F1" w14:textId="77777777" w:rsidR="00A7124B" w:rsidRDefault="0030694E" w:rsidP="00D623DE">
      <w:pPr>
        <w:pStyle w:val="Heading2"/>
        <w:ind w:left="1080"/>
        <w:rPr>
          <w:lang w:val="en-GB"/>
        </w:rPr>
      </w:pPr>
      <w:bookmarkStart w:id="58" w:name="_Toc214875864"/>
      <w:r w:rsidRPr="00F71F57">
        <w:rPr>
          <w:lang w:val="en-GB"/>
        </w:rPr>
        <w:t>2</w:t>
      </w:r>
      <w:r w:rsidR="00DF68EE" w:rsidRPr="00F71F57">
        <w:rPr>
          <w:lang w:val="en-GB"/>
        </w:rPr>
        <w:t>.5 Data Collection and Statistical Analysis</w:t>
      </w:r>
      <w:bookmarkEnd w:id="58"/>
      <w:r w:rsidR="00DF68EE" w:rsidRPr="00F71F57">
        <w:rPr>
          <w:lang w:val="en-GB"/>
        </w:rPr>
        <w:t xml:space="preserve"> </w:t>
      </w:r>
      <w:r w:rsidR="006A5E0C">
        <w:rPr>
          <w:lang w:val="en-GB"/>
        </w:rPr>
        <w:t xml:space="preserve"> </w:t>
      </w:r>
    </w:p>
    <w:p w14:paraId="4C726D9B" w14:textId="7D64E2DF" w:rsidR="008F0C5E" w:rsidRPr="008F0C5E" w:rsidRDefault="008F0C5E" w:rsidP="008F0C5E">
      <w:pPr>
        <w:spacing w:line="360" w:lineRule="auto"/>
        <w:ind w:left="1080"/>
        <w:jc w:val="both"/>
        <w:rPr>
          <w:rFonts w:asciiTheme="majorBidi" w:hAnsiTheme="majorBidi" w:cstheme="majorBidi"/>
          <w:sz w:val="24"/>
          <w:szCs w:val="24"/>
        </w:rPr>
      </w:pPr>
      <w:r w:rsidRPr="008F0C5E">
        <w:rPr>
          <w:rFonts w:asciiTheme="majorBidi" w:hAnsiTheme="majorBidi" w:cstheme="majorBidi"/>
          <w:sz w:val="24"/>
          <w:szCs w:val="24"/>
        </w:rPr>
        <w:t xml:space="preserve">Behavioral data were collected using ABET Cognition software, an automated system designed for high-throughput and standardized behavioral testing. This software enabled precise tracking and quantification of cognitive performance metrics across experimental sessions. All statistical analyses were conducted using GraphPad Prism 8, which was used for data visualization and hypothesis testing. Prior to experimentation, G*Power software was employed to perform power analysis and determine the appropriate sample size needed to achieve sufficient statistical power based on expected effect sizes and significance thresholds. Data were assessed for normality, and appropriate parametric or non-parametric tests were applied </w:t>
      </w:r>
      <w:r w:rsidRPr="008F0C5E">
        <w:rPr>
          <w:rFonts w:asciiTheme="majorBidi" w:hAnsiTheme="majorBidi" w:cstheme="majorBidi"/>
          <w:sz w:val="24"/>
          <w:szCs w:val="24"/>
        </w:rPr>
        <w:lastRenderedPageBreak/>
        <w:t xml:space="preserve">accordingly. Comparisons among multiple experimental conditions were analyzed using </w:t>
      </w:r>
      <w:r w:rsidR="008C3930">
        <w:rPr>
          <w:rFonts w:asciiTheme="majorBidi" w:hAnsiTheme="majorBidi" w:cstheme="majorBidi"/>
          <w:sz w:val="24"/>
          <w:szCs w:val="24"/>
        </w:rPr>
        <w:t xml:space="preserve">t test. </w:t>
      </w:r>
      <w:r w:rsidRPr="008F0C5E">
        <w:rPr>
          <w:rFonts w:asciiTheme="majorBidi" w:hAnsiTheme="majorBidi" w:cstheme="majorBidi"/>
          <w:sz w:val="24"/>
          <w:szCs w:val="24"/>
        </w:rPr>
        <w:t>Results are reported as mean ± standard error of the mean (SEM), with statistical significance set at p &lt; 0.05.</w:t>
      </w:r>
    </w:p>
    <w:p w14:paraId="17280A65" w14:textId="161C082D" w:rsidR="00EB004F" w:rsidRPr="008F0C5E" w:rsidRDefault="00EB004F" w:rsidP="00A7124B">
      <w:pPr>
        <w:spacing w:line="360" w:lineRule="auto"/>
        <w:ind w:left="1080"/>
        <w:jc w:val="both"/>
        <w:rPr>
          <w:rFonts w:asciiTheme="majorBidi" w:hAnsiTheme="majorBidi" w:cstheme="majorBidi"/>
          <w:sz w:val="24"/>
          <w:szCs w:val="24"/>
          <w:rtl/>
        </w:rPr>
      </w:pPr>
    </w:p>
    <w:p w14:paraId="132217B9" w14:textId="5F2213D3" w:rsidR="00261EAC" w:rsidRDefault="00E25042" w:rsidP="009A7241">
      <w:pPr>
        <w:rPr>
          <w:rFonts w:asciiTheme="majorBidi" w:hAnsiTheme="majorBidi" w:cstheme="majorBidi"/>
          <w:sz w:val="24"/>
          <w:szCs w:val="24"/>
          <w:lang w:val="en-GB"/>
        </w:rPr>
      </w:pPr>
      <w:r>
        <w:rPr>
          <w:rFonts w:asciiTheme="majorBidi" w:hAnsiTheme="majorBidi" w:cstheme="majorBidi"/>
          <w:sz w:val="24"/>
          <w:szCs w:val="24"/>
          <w:rtl/>
          <w:lang w:val="en-GB"/>
        </w:rPr>
        <w:br w:type="page"/>
      </w:r>
    </w:p>
    <w:p w14:paraId="158EEFAA" w14:textId="680567EA" w:rsidR="003F117C" w:rsidRPr="003F117C" w:rsidRDefault="00261EAC" w:rsidP="001D2DEC">
      <w:pPr>
        <w:pStyle w:val="Heading1"/>
      </w:pPr>
      <w:r>
        <w:rPr>
          <w:lang w:val="en-GB"/>
        </w:rPr>
        <w:lastRenderedPageBreak/>
        <w:t xml:space="preserve">                  </w:t>
      </w:r>
      <w:bookmarkStart w:id="59" w:name="_Toc214875865"/>
      <w:r w:rsidR="00DF68EE" w:rsidRPr="00D17C79">
        <w:t xml:space="preserve">Chapter </w:t>
      </w:r>
      <w:r w:rsidR="008E2A33" w:rsidRPr="00D17C79">
        <w:t>3</w:t>
      </w:r>
      <w:r w:rsidR="00DF68EE" w:rsidRPr="00D17C79">
        <w:t>: Results</w:t>
      </w:r>
      <w:bookmarkEnd w:id="59"/>
      <w:r w:rsidR="000C58D4" w:rsidRPr="00D17C79">
        <w:t xml:space="preserve"> </w:t>
      </w:r>
    </w:p>
    <w:p w14:paraId="18E7DC3E" w14:textId="46C0A84D" w:rsidR="003F117C" w:rsidRPr="003F117C" w:rsidRDefault="008E2A33" w:rsidP="001D2DEC">
      <w:pPr>
        <w:pStyle w:val="Heading2"/>
        <w:ind w:left="1080"/>
      </w:pPr>
      <w:bookmarkStart w:id="60" w:name="_Toc214875866"/>
      <w:r w:rsidRPr="00D17C79">
        <w:t>3</w:t>
      </w:r>
      <w:r w:rsidR="00DF68EE" w:rsidRPr="00D17C79">
        <w:t>.1 Cognitive Performance Outcomes</w:t>
      </w:r>
      <w:bookmarkEnd w:id="60"/>
      <w:r w:rsidR="00DF68EE" w:rsidRPr="00D17C79">
        <w:t xml:space="preserve"> </w:t>
      </w:r>
    </w:p>
    <w:p w14:paraId="1AC57FC4" w14:textId="185D1A24" w:rsidR="003F117C" w:rsidRPr="003F117C" w:rsidRDefault="008E2A33" w:rsidP="001D2DEC">
      <w:pPr>
        <w:pStyle w:val="Heading3"/>
        <w:ind w:left="1080"/>
      </w:pPr>
      <w:bookmarkStart w:id="61" w:name="_Toc214875867"/>
      <w:r w:rsidRPr="00D17C79">
        <w:t>3</w:t>
      </w:r>
      <w:r w:rsidR="001060E8" w:rsidRPr="00D17C79">
        <w:t xml:space="preserve">.1.1 </w:t>
      </w:r>
      <w:r w:rsidR="00DF68EE" w:rsidRPr="00D17C79">
        <w:t>Learning and memory performance across tasks</w:t>
      </w:r>
      <w:r w:rsidR="00897585" w:rsidRPr="00D17C79">
        <w:t xml:space="preserve"> during control phase</w:t>
      </w:r>
      <w:bookmarkEnd w:id="61"/>
    </w:p>
    <w:p w14:paraId="68F5FA8A" w14:textId="5D015D17" w:rsidR="00897585" w:rsidRPr="006838B7" w:rsidRDefault="008E2A33" w:rsidP="00D17C79">
      <w:pPr>
        <w:pStyle w:val="Heading4"/>
        <w:rPr>
          <w:rtl/>
          <w:lang w:val="it-IT" w:bidi="fa-IR"/>
        </w:rPr>
      </w:pPr>
      <w:bookmarkStart w:id="62" w:name="_Toc214875868"/>
      <w:r w:rsidRPr="00D17C79">
        <w:t>3</w:t>
      </w:r>
      <w:r w:rsidR="001060E8" w:rsidRPr="00D17C79">
        <w:t>.</w:t>
      </w:r>
      <w:r w:rsidR="00897585" w:rsidRPr="00D17C79">
        <w:t>1</w:t>
      </w:r>
      <w:r w:rsidR="001060E8" w:rsidRPr="00D17C79">
        <w:t>.</w:t>
      </w:r>
      <w:r w:rsidR="00FF6FDB" w:rsidRPr="00D17C79">
        <w:t>1.</w:t>
      </w:r>
      <w:r w:rsidR="001D2DEC">
        <w:t>1 PVD</w:t>
      </w:r>
      <w:bookmarkEnd w:id="62"/>
    </w:p>
    <w:p w14:paraId="4F6D2075" w14:textId="4E7EF8B0" w:rsidR="005453F2" w:rsidRDefault="0091514B" w:rsidP="006A7A91">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Mice gradually improved their performance on the pairwise visual discrimination task across sessions, reaching criterion (~80% correct) after approximately 20 sessions (Figure </w:t>
      </w:r>
      <w:r w:rsidR="00FC728F">
        <w:rPr>
          <w:rFonts w:asciiTheme="majorBidi" w:hAnsiTheme="majorBidi" w:cstheme="majorBidi"/>
          <w:sz w:val="24"/>
          <w:szCs w:val="24"/>
          <w:lang w:val="en-GB"/>
        </w:rPr>
        <w:t>9</w:t>
      </w:r>
      <w:r w:rsidR="00334F0A" w:rsidRPr="00F71F57">
        <w:rPr>
          <w:rFonts w:asciiTheme="majorBidi" w:hAnsiTheme="majorBidi" w:cstheme="majorBidi"/>
          <w:sz w:val="24"/>
          <w:szCs w:val="24"/>
          <w:lang w:val="en-GB"/>
        </w:rPr>
        <w:t xml:space="preserve"> A</w:t>
      </w:r>
      <w:r w:rsidRPr="00F71F57">
        <w:rPr>
          <w:rFonts w:asciiTheme="majorBidi" w:hAnsiTheme="majorBidi" w:cstheme="majorBidi"/>
          <w:sz w:val="24"/>
          <w:szCs w:val="24"/>
          <w:lang w:val="en-GB"/>
        </w:rPr>
        <w:t xml:space="preserve">). A comparison of acquisition versus reversal performance showed no significant difference in the number of sessions required to reach criterion (p &gt; 0.05; Figure </w:t>
      </w:r>
      <w:r w:rsidR="005B4E03">
        <w:rPr>
          <w:rFonts w:asciiTheme="majorBidi" w:hAnsiTheme="majorBidi" w:cstheme="majorBidi"/>
          <w:sz w:val="24"/>
          <w:szCs w:val="24"/>
          <w:lang w:val="en-GB"/>
        </w:rPr>
        <w:t>9</w:t>
      </w:r>
      <w:r w:rsidR="00334F0A" w:rsidRPr="00F71F57">
        <w:rPr>
          <w:rFonts w:asciiTheme="majorBidi" w:hAnsiTheme="majorBidi" w:cstheme="majorBidi"/>
          <w:sz w:val="24"/>
          <w:szCs w:val="24"/>
          <w:lang w:val="en-GB"/>
        </w:rPr>
        <w:t xml:space="preserve"> A</w:t>
      </w:r>
      <w:r w:rsidRPr="00F71F57">
        <w:rPr>
          <w:rFonts w:asciiTheme="majorBidi" w:hAnsiTheme="majorBidi" w:cstheme="majorBidi"/>
          <w:sz w:val="24"/>
          <w:szCs w:val="24"/>
          <w:lang w:val="en-GB"/>
        </w:rPr>
        <w:t>). These findings suggest that, although animals were able to learn the initial discrimination and subsequently adapt to the reversed contingencies, the overall learning efficiency was not significantly altered between acquisition and reversal phases.</w:t>
      </w:r>
      <w:r w:rsidR="007A2682"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 xml:space="preserve">When considering the effect of stimulus assignment, a total of 14 animals were tested (n = 7 per group). During acquisition, mice trained with Spider+ as the rewarded stimulus required significantly fewer sessions to reach criterion compared to those trained with Plane+ (p &lt; 0.05; Figure </w:t>
      </w:r>
      <w:r w:rsidR="00B0412C">
        <w:rPr>
          <w:rFonts w:asciiTheme="majorBidi" w:hAnsiTheme="majorBidi" w:cstheme="majorBidi"/>
          <w:sz w:val="24"/>
          <w:szCs w:val="24"/>
          <w:lang w:val="en-GB"/>
        </w:rPr>
        <w:t>9</w:t>
      </w:r>
      <w:r w:rsidR="00334F0A" w:rsidRPr="00F71F57">
        <w:rPr>
          <w:rFonts w:asciiTheme="majorBidi" w:hAnsiTheme="majorBidi" w:cstheme="majorBidi"/>
          <w:sz w:val="24"/>
          <w:szCs w:val="24"/>
          <w:lang w:val="en-GB"/>
        </w:rPr>
        <w:t xml:space="preserve"> B</w:t>
      </w:r>
      <w:r w:rsidRPr="00F71F57">
        <w:rPr>
          <w:rFonts w:asciiTheme="majorBidi" w:hAnsiTheme="majorBidi" w:cstheme="majorBidi"/>
          <w:sz w:val="24"/>
          <w:szCs w:val="24"/>
          <w:lang w:val="en-GB"/>
        </w:rPr>
        <w:t xml:space="preserve">). In contrast, no significant differences were observed between groups in the reversal phase (p &gt; 0.05; Figure </w:t>
      </w:r>
      <w:r w:rsidR="005B4E03">
        <w:rPr>
          <w:rFonts w:asciiTheme="majorBidi" w:hAnsiTheme="majorBidi" w:cstheme="majorBidi"/>
          <w:sz w:val="24"/>
          <w:szCs w:val="24"/>
          <w:lang w:val="en-GB"/>
        </w:rPr>
        <w:t>9</w:t>
      </w:r>
      <w:r w:rsidR="00334F0A" w:rsidRPr="00F71F57">
        <w:rPr>
          <w:rFonts w:asciiTheme="majorBidi" w:hAnsiTheme="majorBidi" w:cstheme="majorBidi"/>
          <w:sz w:val="24"/>
          <w:szCs w:val="24"/>
          <w:lang w:val="en-GB"/>
        </w:rPr>
        <w:t xml:space="preserve"> B</w:t>
      </w:r>
      <w:r w:rsidRPr="00F71F57">
        <w:rPr>
          <w:rFonts w:asciiTheme="majorBidi" w:hAnsiTheme="majorBidi" w:cstheme="majorBidi"/>
          <w:sz w:val="24"/>
          <w:szCs w:val="24"/>
          <w:lang w:val="en-GB"/>
        </w:rPr>
        <w:t>). These results indicate that the type of stimulus influenced initial learning but did not affect reversal learning performance.</w:t>
      </w:r>
    </w:p>
    <w:p w14:paraId="5F9AE98B" w14:textId="0BEF8EE0" w:rsidR="007A2682" w:rsidRPr="00F71F57" w:rsidRDefault="00734545" w:rsidP="00DB1225">
      <w:pPr>
        <w:ind w:left="1080"/>
        <w:jc w:val="center"/>
        <w:rPr>
          <w:rFonts w:asciiTheme="majorBidi" w:hAnsiTheme="majorBidi" w:cstheme="majorBidi"/>
          <w:b/>
          <w:bCs/>
          <w:sz w:val="24"/>
          <w:szCs w:val="24"/>
          <w:lang w:val="en-GB"/>
        </w:rPr>
      </w:pPr>
      <w:r w:rsidRPr="00F71427">
        <w:rPr>
          <w:noProof/>
          <w:lang w:val="en-GB"/>
        </w:rPr>
        <w:object w:dxaOrig="11263" w:dyaOrig="9730" w14:anchorId="1372D4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61.6pt;height:180.6pt;mso-width-percent:0;mso-height-percent:0;mso-width-percent:0;mso-height-percent:0" o:ole="">
            <v:imagedata r:id="rId27" o:title=""/>
          </v:shape>
          <o:OLEObject Type="Embed" ProgID="Prism8.Document" ShapeID="_x0000_i1025" DrawAspect="Content" ObjectID="_1838987184" r:id="rId28"/>
        </w:object>
      </w:r>
    </w:p>
    <w:p w14:paraId="2C6430FA" w14:textId="5D2EF85C" w:rsidR="0040047F" w:rsidRPr="00DB1225" w:rsidRDefault="00734545" w:rsidP="00DB1225">
      <w:pPr>
        <w:ind w:left="1440"/>
        <w:jc w:val="center"/>
        <w:rPr>
          <w:lang w:val="en-GB"/>
        </w:rPr>
      </w:pPr>
      <w:r w:rsidRPr="00F71427">
        <w:rPr>
          <w:noProof/>
          <w:lang w:val="en-GB"/>
        </w:rPr>
        <w:object w:dxaOrig="11102" w:dyaOrig="9420" w14:anchorId="2DECFC67">
          <v:shape id="_x0000_i1026" type="#_x0000_t75" alt="" style="width:254.4pt;height:186pt;mso-width-percent:0;mso-height-percent:0;mso-width-percent:0;mso-height-percent:0" o:ole="">
            <v:imagedata r:id="rId29" o:title="" cropleft="1356f" cropright="3503f"/>
          </v:shape>
          <o:OLEObject Type="Embed" ProgID="Prism8.Document" ShapeID="_x0000_i1026" DrawAspect="Content" ObjectID="_1838987185" r:id="rId30"/>
        </w:object>
      </w:r>
    </w:p>
    <w:p w14:paraId="5BB9A6DB" w14:textId="4DB8F671" w:rsidR="005613A3" w:rsidRDefault="005613A3" w:rsidP="005613A3">
      <w:pPr>
        <w:ind w:left="1440"/>
        <w:rPr>
          <w:noProof/>
          <w:lang w:val="en-GB"/>
        </w:rPr>
      </w:pPr>
    </w:p>
    <w:p w14:paraId="279F10AB" w14:textId="0CE78FFD" w:rsidR="000E0E40" w:rsidRDefault="000E0E40" w:rsidP="00DB1225">
      <w:pPr>
        <w:ind w:left="1440"/>
        <w:jc w:val="center"/>
        <w:rPr>
          <w:noProof/>
          <w:lang w:val="en-GB"/>
        </w:rPr>
      </w:pPr>
    </w:p>
    <w:p w14:paraId="02D26621" w14:textId="0793D2EC" w:rsidR="000E0E40" w:rsidRDefault="00734545" w:rsidP="00DB1225">
      <w:pPr>
        <w:ind w:left="1440"/>
        <w:jc w:val="center"/>
        <w:rPr>
          <w:noProof/>
          <w:lang w:val="en-GB"/>
        </w:rPr>
      </w:pPr>
      <w:r>
        <w:rPr>
          <w:noProof/>
        </w:rPr>
        <w:object w:dxaOrig="10257" w:dyaOrig="14630" w14:anchorId="2F5F097B">
          <v:shape id="_x0000_i1027" type="#_x0000_t75" alt="" style="width:253.2pt;height:346.2pt;mso-width-percent:0;mso-height-percent:0;mso-width-percent:0;mso-height-percent:0" o:ole="">
            <v:imagedata r:id="rId31" o:title=""/>
          </v:shape>
          <o:OLEObject Type="Embed" ProgID="Prism8.Document" ShapeID="_x0000_i1027" DrawAspect="Content" ObjectID="_1838987186" r:id="rId32"/>
        </w:object>
      </w:r>
    </w:p>
    <w:p w14:paraId="6387ED71" w14:textId="77777777" w:rsidR="005613A3" w:rsidRPr="00F71F57" w:rsidRDefault="005613A3" w:rsidP="000E0E40">
      <w:pPr>
        <w:rPr>
          <w:lang w:val="en-GB"/>
        </w:rPr>
      </w:pPr>
    </w:p>
    <w:p w14:paraId="376B1A01" w14:textId="5FDA9279" w:rsidR="007A2682" w:rsidRPr="00806264" w:rsidRDefault="007A2682" w:rsidP="0096306E">
      <w:pPr>
        <w:ind w:left="1080"/>
        <w:rPr>
          <w:rFonts w:asciiTheme="majorBidi" w:hAnsiTheme="majorBidi" w:cstheme="majorBidi"/>
          <w:b/>
          <w:bCs/>
          <w:lang w:val="en-GB" w:bidi="fa-IR"/>
        </w:rPr>
      </w:pPr>
      <w:r w:rsidRPr="00F71F57">
        <w:rPr>
          <w:rFonts w:asciiTheme="majorBidi" w:hAnsiTheme="majorBidi" w:cstheme="majorBidi"/>
          <w:b/>
          <w:bCs/>
          <w:lang w:val="en-GB" w:bidi="fa-IR"/>
        </w:rPr>
        <w:t xml:space="preserve">Figure </w:t>
      </w:r>
      <w:r w:rsidR="00EE3D19">
        <w:rPr>
          <w:rFonts w:asciiTheme="majorBidi" w:hAnsiTheme="majorBidi" w:cstheme="majorBidi"/>
          <w:b/>
          <w:bCs/>
          <w:lang w:val="en-GB" w:bidi="fa-IR"/>
        </w:rPr>
        <w:t>9</w:t>
      </w:r>
      <w:r w:rsidRPr="00F71F57">
        <w:rPr>
          <w:rFonts w:asciiTheme="majorBidi" w:hAnsiTheme="majorBidi" w:cstheme="majorBidi"/>
          <w:b/>
          <w:bCs/>
          <w:lang w:val="en-GB" w:bidi="fa-IR"/>
        </w:rPr>
        <w:t>. Pairwise visual discrimination (PVD) acquisition and reversal learning in C57BL/6 mice (n = 14).</w:t>
      </w:r>
      <w:r w:rsidR="00806264">
        <w:rPr>
          <w:rFonts w:asciiTheme="majorBidi" w:hAnsiTheme="majorBidi" w:cstheme="majorBidi"/>
          <w:b/>
          <w:bCs/>
          <w:lang w:val="en-GB" w:bidi="fa-IR"/>
        </w:rPr>
        <w:t xml:space="preserve"> </w:t>
      </w:r>
      <w:r w:rsidRPr="00F71F57">
        <w:rPr>
          <w:rFonts w:asciiTheme="majorBidi" w:hAnsiTheme="majorBidi" w:cstheme="majorBidi"/>
          <w:lang w:val="en-GB" w:bidi="fa-IR"/>
        </w:rPr>
        <w:br/>
      </w:r>
      <w:r w:rsidRPr="00F71F57">
        <w:rPr>
          <w:rFonts w:asciiTheme="majorBidi" w:hAnsiTheme="majorBidi" w:cstheme="majorBidi"/>
          <w:b/>
          <w:bCs/>
          <w:lang w:val="en-GB" w:bidi="fa-IR"/>
        </w:rPr>
        <w:t>(A</w:t>
      </w:r>
      <w:r w:rsidRPr="00F71F57">
        <w:rPr>
          <w:rFonts w:asciiTheme="majorBidi" w:hAnsiTheme="majorBidi" w:cstheme="majorBidi"/>
          <w:lang w:val="en-GB" w:bidi="fa-IR"/>
        </w:rPr>
        <w:t>)(</w:t>
      </w:r>
      <w:r w:rsidR="00DB1225">
        <w:rPr>
          <w:rFonts w:asciiTheme="majorBidi" w:hAnsiTheme="majorBidi" w:cstheme="majorBidi"/>
          <w:lang w:val="en-GB" w:bidi="fa-IR"/>
        </w:rPr>
        <w:t>Top</w:t>
      </w:r>
      <w:r w:rsidRPr="00F71F57">
        <w:rPr>
          <w:rFonts w:asciiTheme="majorBidi" w:hAnsiTheme="majorBidi" w:cstheme="majorBidi"/>
          <w:lang w:val="en-GB" w:bidi="fa-IR"/>
        </w:rPr>
        <w:t xml:space="preserve">) Mean percentage of correct responses across sessions. Animals progressively improved performance and reached criterion (~80% correct) by </w:t>
      </w:r>
      <w:r w:rsidRPr="00F71F57">
        <w:rPr>
          <w:rFonts w:asciiTheme="majorBidi" w:hAnsiTheme="majorBidi" w:cstheme="majorBidi"/>
          <w:lang w:val="en-GB" w:bidi="fa-IR"/>
        </w:rPr>
        <w:lastRenderedPageBreak/>
        <w:t>session 20. (</w:t>
      </w:r>
      <w:r w:rsidR="00DB1225">
        <w:rPr>
          <w:rFonts w:asciiTheme="majorBidi" w:hAnsiTheme="majorBidi" w:cstheme="majorBidi"/>
          <w:lang w:val="en-GB" w:bidi="fa-IR"/>
        </w:rPr>
        <w:t>Bottom</w:t>
      </w:r>
      <w:r w:rsidRPr="00F71F57">
        <w:rPr>
          <w:rFonts w:asciiTheme="majorBidi" w:hAnsiTheme="majorBidi" w:cstheme="majorBidi"/>
          <w:lang w:val="en-GB" w:bidi="fa-IR"/>
        </w:rPr>
        <w:t>) Number of sessions required to reach criterion during acquisition and reversal phases. No significant difference was detected between phases (ns, p &gt; 0.05). Data are shown as mean ± SEM.</w:t>
      </w:r>
      <w:r w:rsidR="00C369EC" w:rsidRPr="00F71F57">
        <w:rPr>
          <w:rFonts w:asciiTheme="majorBidi" w:hAnsiTheme="majorBidi" w:cstheme="majorBidi"/>
          <w:lang w:val="en-GB" w:bidi="fa-IR"/>
        </w:rPr>
        <w:t xml:space="preserve"> </w:t>
      </w:r>
      <w:r w:rsidR="00C369EC" w:rsidRPr="00F71F57">
        <w:rPr>
          <w:rFonts w:asciiTheme="majorBidi" w:hAnsiTheme="majorBidi" w:cstheme="majorBidi"/>
          <w:b/>
          <w:bCs/>
          <w:lang w:val="en-GB" w:bidi="fa-IR"/>
        </w:rPr>
        <w:t xml:space="preserve">(B) </w:t>
      </w:r>
      <w:r w:rsidR="00C369EC" w:rsidRPr="00F71F57">
        <w:rPr>
          <w:rFonts w:asciiTheme="majorBidi" w:hAnsiTheme="majorBidi" w:cstheme="majorBidi"/>
          <w:lang w:val="en-GB" w:bidi="fa-IR"/>
        </w:rPr>
        <w:t>Effect of stimulus assignment on PVD acquisition and reversal learning. Sessions to criterion in Plane+ (n = 7) versus Spider+ (n = 7) groups. (</w:t>
      </w:r>
      <w:r w:rsidR="00A801B6">
        <w:rPr>
          <w:rFonts w:asciiTheme="majorBidi" w:hAnsiTheme="majorBidi" w:cstheme="majorBidi"/>
          <w:lang w:val="en-GB" w:bidi="fa-IR"/>
        </w:rPr>
        <w:t>Top</w:t>
      </w:r>
      <w:r w:rsidR="00C369EC" w:rsidRPr="00F71F57">
        <w:rPr>
          <w:rFonts w:asciiTheme="majorBidi" w:hAnsiTheme="majorBidi" w:cstheme="majorBidi"/>
          <w:lang w:val="en-GB" w:bidi="fa-IR"/>
        </w:rPr>
        <w:t>) Mice assigned to Spider+ reached criterion faster than those assigned to Plane+ (*p &lt; 0.05). (</w:t>
      </w:r>
      <w:r w:rsidR="00A801B6">
        <w:rPr>
          <w:rFonts w:asciiTheme="majorBidi" w:hAnsiTheme="majorBidi" w:cstheme="majorBidi"/>
          <w:lang w:val="en-GB" w:bidi="fa-IR"/>
        </w:rPr>
        <w:t>Bottom</w:t>
      </w:r>
      <w:r w:rsidR="00C369EC" w:rsidRPr="00F71F57">
        <w:rPr>
          <w:rFonts w:asciiTheme="majorBidi" w:hAnsiTheme="majorBidi" w:cstheme="majorBidi"/>
          <w:lang w:val="en-GB" w:bidi="fa-IR"/>
        </w:rPr>
        <w:t xml:space="preserve">) No significant difference between groups during reversal learning (ns, p &gt; 0.05). </w:t>
      </w:r>
      <w:r w:rsidR="0096306E" w:rsidRPr="0096306E">
        <w:rPr>
          <w:rFonts w:asciiTheme="majorBidi" w:hAnsiTheme="majorBidi" w:cstheme="majorBidi"/>
          <w:lang w:val="en-GB" w:bidi="fa-IR"/>
        </w:rPr>
        <w:t>Unpaired t test, p &lt; 0.05</w:t>
      </w:r>
      <w:r w:rsidR="0096306E">
        <w:rPr>
          <w:rFonts w:asciiTheme="majorBidi" w:hAnsiTheme="majorBidi" w:cstheme="majorBidi"/>
          <w:lang w:val="en-GB" w:bidi="fa-IR"/>
        </w:rPr>
        <w:t>, d</w:t>
      </w:r>
      <w:r w:rsidR="00C369EC" w:rsidRPr="00F71F57">
        <w:rPr>
          <w:rFonts w:asciiTheme="majorBidi" w:hAnsiTheme="majorBidi" w:cstheme="majorBidi"/>
          <w:lang w:val="en-GB" w:bidi="fa-IR"/>
        </w:rPr>
        <w:t>ata are shown as mean ± SEM.</w:t>
      </w:r>
    </w:p>
    <w:p w14:paraId="49D2AB60" w14:textId="77777777" w:rsidR="005453F2" w:rsidRPr="00F71F57" w:rsidRDefault="005453F2" w:rsidP="005453F2">
      <w:pPr>
        <w:ind w:left="1440"/>
        <w:jc w:val="both"/>
        <w:rPr>
          <w:rFonts w:asciiTheme="majorBidi" w:hAnsiTheme="majorBidi" w:cstheme="majorBidi"/>
          <w:lang w:val="en-GB" w:bidi="fa-IR"/>
        </w:rPr>
      </w:pPr>
    </w:p>
    <w:p w14:paraId="0AE1C1D3" w14:textId="02D49F45" w:rsidR="001435A6" w:rsidRPr="00984E32" w:rsidRDefault="001435A6" w:rsidP="00D17C79">
      <w:pPr>
        <w:pStyle w:val="Heading4"/>
        <w:rPr>
          <w:rtl/>
        </w:rPr>
      </w:pPr>
      <w:bookmarkStart w:id="63" w:name="_Toc214875869"/>
      <w:r w:rsidRPr="00984E32">
        <w:t>3.1</w:t>
      </w:r>
      <w:r w:rsidR="00984E32">
        <w:t>.1.2</w:t>
      </w:r>
      <w:r w:rsidRPr="00984E32">
        <w:t xml:space="preserve"> </w:t>
      </w:r>
      <w:r w:rsidR="003F117C">
        <w:t>-</w:t>
      </w:r>
      <w:r w:rsidRPr="00984E32">
        <w:t>Paired associate learning (PAL)</w:t>
      </w:r>
      <w:bookmarkEnd w:id="63"/>
    </w:p>
    <w:p w14:paraId="2B1CD8C9" w14:textId="0566E53F" w:rsidR="00B56DAC" w:rsidRPr="00F71F57" w:rsidRDefault="00B56DAC" w:rsidP="005453F2">
      <w:pPr>
        <w:spacing w:line="360" w:lineRule="auto"/>
        <w:ind w:left="1080"/>
        <w:jc w:val="both"/>
        <w:rPr>
          <w:rFonts w:asciiTheme="majorBidi" w:hAnsiTheme="majorBidi" w:cstheme="majorBidi"/>
          <w:sz w:val="24"/>
          <w:szCs w:val="24"/>
          <w:rtl/>
          <w:lang w:val="en-GB"/>
        </w:rPr>
      </w:pPr>
      <w:r w:rsidRPr="00F71F57">
        <w:rPr>
          <w:rFonts w:asciiTheme="majorBidi" w:hAnsiTheme="majorBidi" w:cstheme="majorBidi"/>
          <w:sz w:val="24"/>
          <w:szCs w:val="24"/>
          <w:lang w:val="en-GB"/>
        </w:rPr>
        <w:t>As part of the control phase, we performed the</w:t>
      </w:r>
      <w:r w:rsidR="005B4E03">
        <w:rPr>
          <w:rFonts w:asciiTheme="majorBidi" w:hAnsiTheme="majorBidi" w:cstheme="majorBidi"/>
          <w:sz w:val="24"/>
          <w:szCs w:val="24"/>
          <w:lang w:val="en-GB"/>
        </w:rPr>
        <w:t xml:space="preserve"> different</w:t>
      </w:r>
      <w:r w:rsidRPr="00F71F57">
        <w:rPr>
          <w:rFonts w:asciiTheme="majorBidi" w:hAnsiTheme="majorBidi" w:cstheme="majorBidi"/>
          <w:sz w:val="24"/>
          <w:szCs w:val="24"/>
          <w:lang w:val="en-GB"/>
        </w:rPr>
        <w:t xml:space="preserve"> paired associates learning (</w:t>
      </w:r>
      <w:r w:rsidR="00E94F5E">
        <w:rPr>
          <w:rFonts w:asciiTheme="majorBidi" w:hAnsiTheme="majorBidi" w:cstheme="majorBidi"/>
          <w:sz w:val="24"/>
          <w:szCs w:val="24"/>
          <w:lang w:val="en-GB"/>
        </w:rPr>
        <w:t>d</w:t>
      </w:r>
      <w:r w:rsidRPr="00F71F57">
        <w:rPr>
          <w:rFonts w:asciiTheme="majorBidi" w:hAnsiTheme="majorBidi" w:cstheme="majorBidi"/>
          <w:sz w:val="24"/>
          <w:szCs w:val="24"/>
          <w:lang w:val="en-GB"/>
        </w:rPr>
        <w:t xml:space="preserve">PAL) task to validate the touchscreen-based paradigm in our laboratory. Mice showed a gradual improvement in correct responses across sessions (Figure </w:t>
      </w:r>
      <w:r w:rsidR="005B4E03">
        <w:rPr>
          <w:rFonts w:asciiTheme="majorBidi" w:hAnsiTheme="majorBidi" w:cstheme="majorBidi"/>
          <w:sz w:val="24"/>
          <w:szCs w:val="24"/>
          <w:lang w:val="en-GB"/>
        </w:rPr>
        <w:t>10</w:t>
      </w:r>
      <w:r w:rsidRPr="00F71F57">
        <w:rPr>
          <w:rFonts w:asciiTheme="majorBidi" w:hAnsiTheme="majorBidi" w:cstheme="majorBidi"/>
          <w:sz w:val="24"/>
          <w:szCs w:val="24"/>
          <w:lang w:val="en-GB"/>
        </w:rPr>
        <w:t xml:space="preserve">). Initial performance was close to chance level (~50% correct), but accuracy steadily increased with continued training. By the later sessions, animals reached an average of approximately 70–80% correct responses, demonstrating successful acquisition of object–location associations. These results confirm that the </w:t>
      </w:r>
      <w:r w:rsidR="00E94F5E">
        <w:rPr>
          <w:rFonts w:asciiTheme="majorBidi" w:hAnsiTheme="majorBidi" w:cstheme="majorBidi"/>
          <w:sz w:val="24"/>
          <w:szCs w:val="24"/>
          <w:lang w:val="en-GB"/>
        </w:rPr>
        <w:t>d</w:t>
      </w:r>
      <w:r w:rsidRPr="00F71F57">
        <w:rPr>
          <w:rFonts w:asciiTheme="majorBidi" w:hAnsiTheme="majorBidi" w:cstheme="majorBidi"/>
          <w:sz w:val="24"/>
          <w:szCs w:val="24"/>
          <w:lang w:val="en-GB"/>
        </w:rPr>
        <w:t>PAL task can be reliably implemented under our laboratory conditions.</w:t>
      </w:r>
    </w:p>
    <w:p w14:paraId="235F0BA5" w14:textId="77777777" w:rsidR="00B56DAC" w:rsidRPr="00F71F57" w:rsidRDefault="00B56DAC" w:rsidP="00410287">
      <w:pPr>
        <w:ind w:left="1440"/>
        <w:rPr>
          <w:lang w:val="en-GB"/>
        </w:rPr>
      </w:pPr>
    </w:p>
    <w:p w14:paraId="3074953E" w14:textId="69173B1B" w:rsidR="00E20E96" w:rsidRPr="00F71F57" w:rsidRDefault="00734545" w:rsidP="002D5968">
      <w:pPr>
        <w:jc w:val="center"/>
        <w:rPr>
          <w:rtl/>
          <w:lang w:val="en-GB" w:bidi="fa-IR"/>
        </w:rPr>
      </w:pPr>
      <w:r>
        <w:rPr>
          <w:noProof/>
        </w:rPr>
        <w:object w:dxaOrig="14263" w:dyaOrig="7565" w14:anchorId="1E428E5D">
          <v:shape id="_x0000_i1028" type="#_x0000_t75" alt="" style="width:313.8pt;height:211.2pt;mso-width-percent:0;mso-height-percent:0;mso-width-percent:0;mso-height-percent:0" o:ole="">
            <v:imagedata r:id="rId33" o:title=""/>
          </v:shape>
          <o:OLEObject Type="Embed" ProgID="Prism8.Document" ShapeID="_x0000_i1028" DrawAspect="Content" ObjectID="_1838987187" r:id="rId34"/>
        </w:object>
      </w:r>
    </w:p>
    <w:p w14:paraId="1B056E83" w14:textId="196F24D3" w:rsidR="001D764A" w:rsidRPr="00F71F57" w:rsidRDefault="00B56DAC" w:rsidP="00806264">
      <w:pPr>
        <w:ind w:left="1080"/>
        <w:rPr>
          <w:rFonts w:asciiTheme="majorBidi" w:hAnsiTheme="majorBidi" w:cstheme="majorBidi"/>
          <w:lang w:val="en-GB"/>
        </w:rPr>
      </w:pPr>
      <w:r w:rsidRPr="00F71F57">
        <w:rPr>
          <w:rFonts w:asciiTheme="majorBidi" w:hAnsiTheme="majorBidi" w:cstheme="majorBidi"/>
          <w:b/>
          <w:bCs/>
          <w:lang w:val="en-GB"/>
        </w:rPr>
        <w:t xml:space="preserve">Figure </w:t>
      </w:r>
      <w:r w:rsidR="00EE3D19">
        <w:rPr>
          <w:rFonts w:asciiTheme="majorBidi" w:hAnsiTheme="majorBidi" w:cstheme="majorBidi"/>
          <w:b/>
          <w:bCs/>
          <w:lang w:val="en-GB"/>
        </w:rPr>
        <w:t>10</w:t>
      </w:r>
      <w:r w:rsidRPr="00F71F57">
        <w:rPr>
          <w:rFonts w:asciiTheme="majorBidi" w:hAnsiTheme="majorBidi" w:cstheme="majorBidi"/>
          <w:b/>
          <w:bCs/>
          <w:lang w:val="en-GB"/>
        </w:rPr>
        <w:t>. Validation of</w:t>
      </w:r>
      <w:r w:rsidR="005B4E03">
        <w:rPr>
          <w:rFonts w:asciiTheme="majorBidi" w:hAnsiTheme="majorBidi" w:cstheme="majorBidi"/>
          <w:b/>
          <w:bCs/>
          <w:lang w:val="en-GB"/>
        </w:rPr>
        <w:t xml:space="preserve"> different </w:t>
      </w:r>
      <w:r w:rsidR="005B4E03" w:rsidRPr="00F71F57">
        <w:rPr>
          <w:rFonts w:asciiTheme="majorBidi" w:hAnsiTheme="majorBidi" w:cstheme="majorBidi"/>
          <w:b/>
          <w:bCs/>
          <w:lang w:val="en-GB"/>
        </w:rPr>
        <w:t>paired</w:t>
      </w:r>
      <w:r w:rsidRPr="00F71F57">
        <w:rPr>
          <w:rFonts w:asciiTheme="majorBidi" w:hAnsiTheme="majorBidi" w:cstheme="majorBidi"/>
          <w:b/>
          <w:bCs/>
          <w:lang w:val="en-GB"/>
        </w:rPr>
        <w:t xml:space="preserve"> associates learning (</w:t>
      </w:r>
      <w:r w:rsidR="005B4E03">
        <w:rPr>
          <w:rFonts w:asciiTheme="majorBidi" w:hAnsiTheme="majorBidi" w:cstheme="majorBidi"/>
          <w:b/>
          <w:bCs/>
          <w:lang w:val="en-GB"/>
        </w:rPr>
        <w:t>d</w:t>
      </w:r>
      <w:r w:rsidRPr="00F71F57">
        <w:rPr>
          <w:rFonts w:asciiTheme="majorBidi" w:hAnsiTheme="majorBidi" w:cstheme="majorBidi"/>
          <w:b/>
          <w:bCs/>
          <w:lang w:val="en-GB"/>
        </w:rPr>
        <w:t>PAL) performance in C57BL/6</w:t>
      </w:r>
      <w:r w:rsidR="00806264">
        <w:rPr>
          <w:rFonts w:asciiTheme="majorBidi" w:hAnsiTheme="majorBidi" w:cstheme="majorBidi"/>
          <w:b/>
          <w:bCs/>
          <w:lang w:val="en-GB"/>
        </w:rPr>
        <w:t xml:space="preserve"> </w:t>
      </w:r>
      <w:r w:rsidRPr="00F71F57">
        <w:rPr>
          <w:rFonts w:asciiTheme="majorBidi" w:hAnsiTheme="majorBidi" w:cstheme="majorBidi"/>
          <w:b/>
          <w:bCs/>
          <w:lang w:val="en-GB"/>
        </w:rPr>
        <w:t>mice.</w:t>
      </w:r>
      <w:r w:rsidRPr="00F71F57">
        <w:rPr>
          <w:rFonts w:asciiTheme="majorBidi" w:hAnsiTheme="majorBidi" w:cstheme="majorBidi"/>
          <w:lang w:val="en-GB"/>
        </w:rPr>
        <w:br/>
        <w:t>Percentage of correct responses across 5</w:t>
      </w:r>
      <w:r w:rsidR="00876EB0">
        <w:rPr>
          <w:rFonts w:asciiTheme="majorBidi" w:hAnsiTheme="majorBidi" w:cstheme="majorBidi"/>
          <w:lang w:val="en-GB"/>
        </w:rPr>
        <w:t>0</w:t>
      </w:r>
      <w:r w:rsidRPr="00F71F57">
        <w:rPr>
          <w:rFonts w:asciiTheme="majorBidi" w:hAnsiTheme="majorBidi" w:cstheme="majorBidi"/>
          <w:lang w:val="en-GB"/>
        </w:rPr>
        <w:t xml:space="preserve"> training sessions. As part of the </w:t>
      </w:r>
      <w:r w:rsidRPr="00F71F57">
        <w:rPr>
          <w:rFonts w:asciiTheme="majorBidi" w:hAnsiTheme="majorBidi" w:cstheme="majorBidi"/>
          <w:lang w:val="en-GB"/>
        </w:rPr>
        <w:lastRenderedPageBreak/>
        <w:t xml:space="preserve">control phase, the </w:t>
      </w:r>
      <w:r w:rsidR="005B4E03">
        <w:rPr>
          <w:rFonts w:asciiTheme="majorBidi" w:hAnsiTheme="majorBidi" w:cstheme="majorBidi"/>
          <w:lang w:val="en-GB"/>
        </w:rPr>
        <w:t>d</w:t>
      </w:r>
      <w:r w:rsidRPr="00F71F57">
        <w:rPr>
          <w:rFonts w:asciiTheme="majorBidi" w:hAnsiTheme="majorBidi" w:cstheme="majorBidi"/>
          <w:lang w:val="en-GB"/>
        </w:rPr>
        <w:t xml:space="preserve">PAL task was conducted to validate the touchscreen procedure in our laboratory. Mice gradually improved from near-chance performance (~50%) at the beginning of training to ~70–80% correct by the final sessions, confirming successful acquisition of paired associates learning. </w:t>
      </w:r>
      <w:r w:rsidR="00BA1BF6">
        <w:rPr>
          <w:rFonts w:asciiTheme="majorBidi" w:hAnsiTheme="majorBidi" w:cstheme="majorBidi"/>
          <w:lang w:val="en-GB"/>
        </w:rPr>
        <w:t>(</w:t>
      </w:r>
      <w:r w:rsidRPr="00F71F57">
        <w:rPr>
          <w:rFonts w:asciiTheme="majorBidi" w:hAnsiTheme="majorBidi" w:cstheme="majorBidi"/>
          <w:lang w:val="en-GB"/>
        </w:rPr>
        <w:t>Data are presented as mean ± SEM</w:t>
      </w:r>
      <w:r w:rsidR="00BA1BF6">
        <w:rPr>
          <w:rFonts w:asciiTheme="majorBidi" w:hAnsiTheme="majorBidi" w:cstheme="majorBidi"/>
          <w:lang w:val="en-GB"/>
        </w:rPr>
        <w:t>)</w:t>
      </w:r>
    </w:p>
    <w:p w14:paraId="1B97F2CF" w14:textId="77777777" w:rsidR="00FF2A4B" w:rsidRPr="00F71F57" w:rsidRDefault="00FF2A4B" w:rsidP="00F117B5">
      <w:pPr>
        <w:rPr>
          <w:rFonts w:asciiTheme="majorBidi" w:hAnsiTheme="majorBidi" w:cstheme="majorBidi"/>
          <w:b/>
          <w:bCs/>
          <w:sz w:val="24"/>
          <w:szCs w:val="24"/>
          <w:lang w:val="en-GB"/>
        </w:rPr>
      </w:pPr>
    </w:p>
    <w:p w14:paraId="2770BB30" w14:textId="3A6D5C00" w:rsidR="00E15CE6" w:rsidRPr="00F71F57" w:rsidRDefault="002D5968" w:rsidP="00D17C79">
      <w:pPr>
        <w:pStyle w:val="Heading4"/>
        <w:rPr>
          <w:rtl/>
        </w:rPr>
      </w:pPr>
      <w:bookmarkStart w:id="64" w:name="_Toc214875870"/>
      <w:r w:rsidRPr="00F71F57">
        <w:t>3.1.</w:t>
      </w:r>
      <w:r w:rsidR="001D764A" w:rsidRPr="00F71F57">
        <w:t>1.3</w:t>
      </w:r>
      <w:r w:rsidRPr="00F71F57">
        <w:t xml:space="preserve"> </w:t>
      </w:r>
      <w:r w:rsidR="00E15CE6" w:rsidRPr="00F71F57">
        <w:t>5-Choice Serial Reaction Time Task (5-CSRTT)</w:t>
      </w:r>
      <w:bookmarkEnd w:id="64"/>
    </w:p>
    <w:p w14:paraId="6A739397" w14:textId="62521F87" w:rsidR="00014391" w:rsidRPr="00F71F57" w:rsidRDefault="001D764A" w:rsidP="005453F2">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To evaluate sustained attention and response control, 14 C57BL/6 mice were trained on the 5-choice serial reaction time task (5-CSRTT). Baseline performance was established at a stimulus duration of 2 s, after which animals were challenged with progressively shorter durations (1.5, 1, 0.8, 0.6 s). As expected, accuracy decreased with shorter stimulus durations, while omissions increased correspondingly (Figure </w:t>
      </w:r>
      <w:r w:rsidR="005B4E03">
        <w:rPr>
          <w:rFonts w:asciiTheme="majorBidi" w:hAnsiTheme="majorBidi" w:cstheme="majorBidi"/>
          <w:sz w:val="24"/>
          <w:szCs w:val="24"/>
          <w:lang w:val="en-GB"/>
        </w:rPr>
        <w:t>11</w:t>
      </w:r>
      <w:r w:rsidRPr="00F71F57">
        <w:rPr>
          <w:rFonts w:asciiTheme="majorBidi" w:hAnsiTheme="majorBidi" w:cstheme="majorBidi"/>
          <w:sz w:val="24"/>
          <w:szCs w:val="24"/>
          <w:lang w:val="en-GB"/>
        </w:rPr>
        <w:t>). These findings indicate that animals were able to maintain stable performance under low attentional demand (2 s</w:t>
      </w:r>
      <w:r w:rsidR="00496BDB" w:rsidRPr="00F71F57">
        <w:rPr>
          <w:rFonts w:asciiTheme="majorBidi" w:hAnsiTheme="majorBidi" w:cstheme="majorBidi"/>
          <w:sz w:val="24"/>
          <w:szCs w:val="24"/>
          <w:lang w:val="en-GB"/>
        </w:rPr>
        <w:t>) but</w:t>
      </w:r>
      <w:r w:rsidRPr="00F71F57">
        <w:rPr>
          <w:rFonts w:asciiTheme="majorBidi" w:hAnsiTheme="majorBidi" w:cstheme="majorBidi"/>
          <w:sz w:val="24"/>
          <w:szCs w:val="24"/>
          <w:lang w:val="en-GB"/>
        </w:rPr>
        <w:t xml:space="preserve"> showed reduced accuracy and increased omission rates as attentional demands increased at shorter durations.</w:t>
      </w:r>
    </w:p>
    <w:p w14:paraId="199BDA4C" w14:textId="3336CF23" w:rsidR="002D5968" w:rsidRPr="00F71F57" w:rsidRDefault="00734545" w:rsidP="00DB1225">
      <w:pPr>
        <w:ind w:left="1080"/>
        <w:jc w:val="center"/>
        <w:rPr>
          <w:rFonts w:asciiTheme="majorBidi" w:hAnsiTheme="majorBidi" w:cstheme="majorBidi"/>
          <w:b/>
          <w:bCs/>
          <w:sz w:val="24"/>
          <w:szCs w:val="24"/>
          <w:lang w:val="en-GB"/>
        </w:rPr>
      </w:pPr>
      <w:r w:rsidRPr="00F71427">
        <w:rPr>
          <w:noProof/>
          <w:lang w:val="en-GB"/>
        </w:rPr>
        <w:object w:dxaOrig="11714" w:dyaOrig="8198" w14:anchorId="3E2433D2">
          <v:shape id="_x0000_i1029" type="#_x0000_t75" alt="" style="width:225pt;height:135.6pt;mso-width-percent:0;mso-height-percent:0;mso-width-percent:0;mso-height-percent:0" o:ole="">
            <v:imagedata r:id="rId35" o:title=""/>
          </v:shape>
          <o:OLEObject Type="Embed" ProgID="Prism8.Document" ShapeID="_x0000_i1029" DrawAspect="Content" ObjectID="_1838987188" r:id="rId36"/>
        </w:object>
      </w:r>
      <w:r w:rsidRPr="00F71427">
        <w:rPr>
          <w:noProof/>
          <w:lang w:val="en-GB"/>
        </w:rPr>
        <w:object w:dxaOrig="11731" w:dyaOrig="8198" w14:anchorId="43D977CA">
          <v:shape id="_x0000_i1030" type="#_x0000_t75" alt="" style="width:220.2pt;height:148.8pt;mso-width-percent:0;mso-height-percent:0;mso-width-percent:0;mso-height-percent:0" o:ole="">
            <v:imagedata r:id="rId37" o:title=""/>
          </v:shape>
          <o:OLEObject Type="Embed" ProgID="Prism8.Document" ShapeID="_x0000_i1030" DrawAspect="Content" ObjectID="_1838987189" r:id="rId38"/>
        </w:object>
      </w:r>
    </w:p>
    <w:p w14:paraId="7963E111" w14:textId="5DC029B3" w:rsidR="00496BDB" w:rsidRPr="00F71F57" w:rsidRDefault="00496BDB" w:rsidP="00806264">
      <w:pPr>
        <w:ind w:left="1080"/>
        <w:jc w:val="both"/>
        <w:rPr>
          <w:rFonts w:asciiTheme="majorBidi" w:hAnsiTheme="majorBidi" w:cstheme="majorBidi"/>
          <w:lang w:val="en-GB"/>
        </w:rPr>
      </w:pPr>
      <w:r w:rsidRPr="00F71F57">
        <w:rPr>
          <w:rFonts w:asciiTheme="majorBidi" w:hAnsiTheme="majorBidi" w:cstheme="majorBidi"/>
          <w:b/>
          <w:bCs/>
          <w:lang w:val="en-GB"/>
        </w:rPr>
        <w:t xml:space="preserve">Figure </w:t>
      </w:r>
      <w:r w:rsidR="00EE3D19">
        <w:rPr>
          <w:rFonts w:asciiTheme="majorBidi" w:hAnsiTheme="majorBidi" w:cstheme="majorBidi"/>
          <w:b/>
          <w:bCs/>
          <w:lang w:val="en-GB"/>
        </w:rPr>
        <w:t>11</w:t>
      </w:r>
      <w:r w:rsidRPr="00F71F57">
        <w:rPr>
          <w:rFonts w:asciiTheme="majorBidi" w:hAnsiTheme="majorBidi" w:cstheme="majorBidi"/>
          <w:b/>
          <w:bCs/>
          <w:lang w:val="en-GB"/>
        </w:rPr>
        <w:t>. Performance of C57BL/6 mice (n = 14) in the 5-choice serial reaction time task (5-CSRTT).</w:t>
      </w:r>
      <w:r w:rsidRPr="00F71F57">
        <w:rPr>
          <w:rFonts w:asciiTheme="majorBidi" w:hAnsiTheme="majorBidi" w:cstheme="majorBidi"/>
          <w:lang w:val="en-GB"/>
        </w:rPr>
        <w:br/>
        <w:t xml:space="preserve">(Left) Accuracy (%) across different stimulus durations. Accuracy remained </w:t>
      </w:r>
      <w:r w:rsidRPr="00F71F57">
        <w:rPr>
          <w:rFonts w:asciiTheme="majorBidi" w:hAnsiTheme="majorBidi" w:cstheme="majorBidi"/>
          <w:lang w:val="en-GB"/>
        </w:rPr>
        <w:lastRenderedPageBreak/>
        <w:t>high at 2 s and 1.5 s but progressively decreased as stimulus duration shortened to 0.6 s. (Right) Omission rate (%) across stimulus durations. Omissions increased as stimulus duration decreased, reflecting greater attentional demand. Data are presented as mean ± SEM.</w:t>
      </w:r>
    </w:p>
    <w:p w14:paraId="3FF9ECB8" w14:textId="5A4162F3" w:rsidR="00E52DBB" w:rsidRPr="00F71F57" w:rsidRDefault="00E52DBB" w:rsidP="00E52DBB">
      <w:pPr>
        <w:ind w:left="1080"/>
        <w:rPr>
          <w:rFonts w:asciiTheme="majorBidi" w:hAnsiTheme="majorBidi" w:cstheme="majorBidi"/>
          <w:b/>
          <w:bCs/>
          <w:sz w:val="24"/>
          <w:szCs w:val="24"/>
          <w:rtl/>
          <w:lang w:val="en-GB"/>
        </w:rPr>
      </w:pPr>
    </w:p>
    <w:p w14:paraId="633BD363" w14:textId="18F11F1F" w:rsidR="00E52DBB" w:rsidRPr="00F71F57" w:rsidRDefault="00E52DBB" w:rsidP="00984E32">
      <w:pPr>
        <w:pStyle w:val="Heading4"/>
        <w:rPr>
          <w:rtl/>
        </w:rPr>
      </w:pPr>
      <w:bookmarkStart w:id="65" w:name="_Toc214875871"/>
      <w:r w:rsidRPr="00F71F57">
        <w:t>3.1.</w:t>
      </w:r>
      <w:r w:rsidR="0091324B" w:rsidRPr="00F71F57">
        <w:t>1.4</w:t>
      </w:r>
      <w:r w:rsidRPr="00F71F57">
        <w:t xml:space="preserve"> Trial Unique Non-Matching-to-Location (TUNL)</w:t>
      </w:r>
      <w:bookmarkEnd w:id="65"/>
    </w:p>
    <w:p w14:paraId="59A6460D" w14:textId="7E60A589" w:rsidR="004E22A4" w:rsidRDefault="00FB3D0C" w:rsidP="004E22A4">
      <w:pPr>
        <w:spacing w:line="360" w:lineRule="auto"/>
        <w:ind w:left="1080"/>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To assess visuospatial working memory and pattern separation, 14 C57BL/6 mice were trained on the TUNL task. Performance was evaluated across different separations (S3, S2, S1). As expected, the number of sessions required to reach criterion decreased as separation increased (S3 &gt; S2 &gt; S1; Figure </w:t>
      </w:r>
      <w:r w:rsidR="005B4E03">
        <w:rPr>
          <w:rFonts w:asciiTheme="majorBidi" w:hAnsiTheme="majorBidi" w:cstheme="majorBidi"/>
          <w:sz w:val="24"/>
          <w:szCs w:val="24"/>
          <w:lang w:val="en-GB"/>
        </w:rPr>
        <w:t>12</w:t>
      </w:r>
      <w:r w:rsidRPr="00F71F57">
        <w:rPr>
          <w:rFonts w:asciiTheme="majorBidi" w:hAnsiTheme="majorBidi" w:cstheme="majorBidi"/>
          <w:sz w:val="24"/>
          <w:szCs w:val="24"/>
          <w:lang w:val="en-GB"/>
        </w:rPr>
        <w:t>), indicating that animals learned the task more quickly when stimuli were further apart.</w:t>
      </w:r>
      <w:r w:rsidR="00594DC1">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 xml:space="preserve">Accuracy analysis revealed that performance at separation 1 (S1) was significantly higher compared to separation 0 (S0), where stimuli were presented in adjacent locations (p &lt; 0.0001; Figure </w:t>
      </w:r>
      <w:r w:rsidR="005B4E03">
        <w:rPr>
          <w:rFonts w:asciiTheme="majorBidi" w:hAnsiTheme="majorBidi" w:cstheme="majorBidi"/>
          <w:sz w:val="24"/>
          <w:szCs w:val="24"/>
          <w:lang w:val="en-GB"/>
        </w:rPr>
        <w:t>12</w:t>
      </w:r>
      <w:r w:rsidRPr="00F71F57">
        <w:rPr>
          <w:rFonts w:asciiTheme="majorBidi" w:hAnsiTheme="majorBidi" w:cstheme="majorBidi"/>
          <w:sz w:val="24"/>
          <w:szCs w:val="24"/>
          <w:lang w:val="en-GB"/>
        </w:rPr>
        <w:t xml:space="preserve">). </w:t>
      </w:r>
    </w:p>
    <w:p w14:paraId="75439DFB" w14:textId="09A5F168" w:rsidR="0091324B" w:rsidRPr="00F71F57" w:rsidRDefault="00734545" w:rsidP="004E22A4">
      <w:pPr>
        <w:spacing w:line="360" w:lineRule="auto"/>
        <w:ind w:left="1080"/>
        <w:jc w:val="center"/>
        <w:rPr>
          <w:rFonts w:asciiTheme="majorBidi" w:hAnsiTheme="majorBidi" w:cstheme="majorBidi"/>
          <w:sz w:val="24"/>
          <w:szCs w:val="24"/>
          <w:lang w:val="en-GB"/>
        </w:rPr>
      </w:pPr>
      <w:r w:rsidRPr="00F71427">
        <w:rPr>
          <w:noProof/>
          <w:lang w:val="en-GB"/>
        </w:rPr>
        <w:object w:dxaOrig="11635" w:dyaOrig="8508" w14:anchorId="0E085978">
          <v:shape id="_x0000_i1031" type="#_x0000_t75" alt="" style="width:3in;height:141pt;mso-width-percent:0;mso-height-percent:0;mso-width-percent:0;mso-height-percent:0" o:ole="">
            <v:imagedata r:id="rId39" o:title=""/>
          </v:shape>
          <o:OLEObject Type="Embed" ProgID="Prism8.Document" ShapeID="_x0000_i1031" DrawAspect="Content" ObjectID="_1838987190" r:id="rId40"/>
        </w:object>
      </w:r>
      <w:r w:rsidRPr="00F71427">
        <w:rPr>
          <w:noProof/>
          <w:lang w:val="en-GB"/>
        </w:rPr>
        <w:object w:dxaOrig="11657" w:dyaOrig="7865" w14:anchorId="0E42C94A">
          <v:shape id="_x0000_i1032" type="#_x0000_t75" alt="" style="width:219pt;height:144.6pt;mso-width-percent:0;mso-height-percent:0;mso-width-percent:0;mso-height-percent:0" o:ole="">
            <v:imagedata r:id="rId41" o:title=""/>
          </v:shape>
          <o:OLEObject Type="Embed" ProgID="Prism8.Document" ShapeID="_x0000_i1032" DrawAspect="Content" ObjectID="_1838987191" r:id="rId42"/>
        </w:object>
      </w:r>
    </w:p>
    <w:p w14:paraId="5AA934BB" w14:textId="6CC8DF45" w:rsidR="00E52DBB" w:rsidRPr="00F71F57" w:rsidRDefault="00E52DBB" w:rsidP="00F117B5">
      <w:pPr>
        <w:ind w:left="1080"/>
        <w:jc w:val="center"/>
        <w:rPr>
          <w:rFonts w:asciiTheme="majorBidi" w:hAnsiTheme="majorBidi" w:cstheme="majorBidi"/>
          <w:b/>
          <w:bCs/>
          <w:sz w:val="24"/>
          <w:szCs w:val="24"/>
          <w:lang w:val="en-GB"/>
        </w:rPr>
      </w:pPr>
    </w:p>
    <w:p w14:paraId="3AB2CC38" w14:textId="77777777" w:rsidR="009C79E0" w:rsidRDefault="009C79E0" w:rsidP="00806264">
      <w:pPr>
        <w:ind w:left="1080"/>
        <w:jc w:val="both"/>
        <w:rPr>
          <w:rFonts w:asciiTheme="majorBidi" w:hAnsiTheme="majorBidi" w:cstheme="majorBidi"/>
          <w:b/>
          <w:bCs/>
          <w:lang w:val="en-GB"/>
        </w:rPr>
      </w:pPr>
    </w:p>
    <w:p w14:paraId="48DBE5B8" w14:textId="68D7D27C" w:rsidR="00686D00" w:rsidRPr="00F71F57" w:rsidRDefault="00AD6794" w:rsidP="00806264">
      <w:pPr>
        <w:ind w:left="1080"/>
        <w:jc w:val="both"/>
        <w:rPr>
          <w:rFonts w:asciiTheme="majorBidi" w:hAnsiTheme="majorBidi" w:cstheme="majorBidi"/>
          <w:b/>
          <w:bCs/>
          <w:lang w:val="en-GB"/>
        </w:rPr>
      </w:pPr>
      <w:r w:rsidRPr="00F71F57">
        <w:rPr>
          <w:rFonts w:asciiTheme="majorBidi" w:hAnsiTheme="majorBidi" w:cstheme="majorBidi"/>
          <w:b/>
          <w:bCs/>
          <w:lang w:val="en-GB"/>
        </w:rPr>
        <w:lastRenderedPageBreak/>
        <w:t xml:space="preserve">Figure </w:t>
      </w:r>
      <w:r w:rsidR="00EE3D19">
        <w:rPr>
          <w:rFonts w:asciiTheme="majorBidi" w:hAnsiTheme="majorBidi" w:cstheme="majorBidi"/>
          <w:b/>
          <w:bCs/>
          <w:lang w:val="en-GB"/>
        </w:rPr>
        <w:t>12</w:t>
      </w:r>
      <w:r w:rsidRPr="00F71F57">
        <w:rPr>
          <w:rFonts w:asciiTheme="majorBidi" w:hAnsiTheme="majorBidi" w:cstheme="majorBidi"/>
          <w:b/>
          <w:bCs/>
          <w:lang w:val="en-GB"/>
        </w:rPr>
        <w:t>. Trial Unique Non-Matching-to-Location (TUNL) performance in C57BL/6 mice (n = 14).</w:t>
      </w:r>
    </w:p>
    <w:p w14:paraId="5A34A8C0" w14:textId="62D6FD4F" w:rsidR="00BE1B6E" w:rsidRPr="00F71F57" w:rsidRDefault="00BE1B6E" w:rsidP="0096306E">
      <w:pPr>
        <w:ind w:left="1080"/>
        <w:jc w:val="both"/>
        <w:rPr>
          <w:rFonts w:asciiTheme="majorBidi" w:hAnsiTheme="majorBidi" w:cstheme="majorBidi"/>
          <w:lang w:val="en-GB"/>
        </w:rPr>
      </w:pPr>
      <w:r w:rsidRPr="00F71F57">
        <w:rPr>
          <w:rFonts w:asciiTheme="majorBidi" w:hAnsiTheme="majorBidi" w:cstheme="majorBidi"/>
          <w:lang w:val="en-GB"/>
        </w:rPr>
        <w:t>(</w:t>
      </w:r>
      <w:r w:rsidR="00F117B5">
        <w:rPr>
          <w:rFonts w:asciiTheme="majorBidi" w:hAnsiTheme="majorBidi" w:cstheme="majorBidi"/>
          <w:lang w:val="en-GB"/>
        </w:rPr>
        <w:t>Top</w:t>
      </w:r>
      <w:r w:rsidRPr="00F71F57">
        <w:rPr>
          <w:rFonts w:asciiTheme="majorBidi" w:hAnsiTheme="majorBidi" w:cstheme="majorBidi"/>
          <w:lang w:val="en-GB"/>
        </w:rPr>
        <w:t>) Sessions to criterion at different sep</w:t>
      </w:r>
      <w:r w:rsidR="00676DF9">
        <w:rPr>
          <w:rFonts w:asciiTheme="majorBidi" w:hAnsiTheme="majorBidi" w:cstheme="majorBidi"/>
          <w:lang w:val="en-GB"/>
        </w:rPr>
        <w:t>a</w:t>
      </w:r>
      <w:r w:rsidRPr="00F71F57">
        <w:rPr>
          <w:rFonts w:asciiTheme="majorBidi" w:hAnsiTheme="majorBidi" w:cstheme="majorBidi"/>
          <w:lang w:val="en-GB"/>
        </w:rPr>
        <w:t>rations</w:t>
      </w:r>
      <w:r w:rsidR="00594DC1">
        <w:rPr>
          <w:rFonts w:asciiTheme="majorBidi" w:hAnsiTheme="majorBidi" w:cstheme="majorBidi"/>
          <w:lang w:val="en-GB"/>
        </w:rPr>
        <w:t xml:space="preserve"> in stage 1 </w:t>
      </w:r>
      <w:r w:rsidRPr="00F71F57">
        <w:rPr>
          <w:rFonts w:asciiTheme="majorBidi" w:hAnsiTheme="majorBidi" w:cstheme="majorBidi"/>
          <w:lang w:val="en-GB"/>
        </w:rPr>
        <w:t>(S3, S2, S1). Fewer sessions were required as spatial sep</w:t>
      </w:r>
      <w:r w:rsidR="00676DF9">
        <w:rPr>
          <w:rFonts w:asciiTheme="majorBidi" w:hAnsiTheme="majorBidi" w:cstheme="majorBidi"/>
          <w:lang w:val="en-GB"/>
        </w:rPr>
        <w:t>a</w:t>
      </w:r>
      <w:r w:rsidRPr="00F71F57">
        <w:rPr>
          <w:rFonts w:asciiTheme="majorBidi" w:hAnsiTheme="majorBidi" w:cstheme="majorBidi"/>
          <w:lang w:val="en-GB"/>
        </w:rPr>
        <w:t>ration increased. (</w:t>
      </w:r>
      <w:r w:rsidR="00F117B5">
        <w:rPr>
          <w:rFonts w:asciiTheme="majorBidi" w:hAnsiTheme="majorBidi" w:cstheme="majorBidi"/>
          <w:lang w:val="en-GB"/>
        </w:rPr>
        <w:t>Bottom</w:t>
      </w:r>
      <w:r w:rsidRPr="00F71F57">
        <w:rPr>
          <w:rFonts w:asciiTheme="majorBidi" w:hAnsiTheme="majorBidi" w:cstheme="majorBidi"/>
          <w:lang w:val="en-GB"/>
        </w:rPr>
        <w:t>) Percent correct responses at</w:t>
      </w:r>
      <w:r w:rsidR="00594DC1">
        <w:rPr>
          <w:rFonts w:asciiTheme="majorBidi" w:hAnsiTheme="majorBidi" w:cstheme="majorBidi"/>
          <w:lang w:val="en-GB"/>
        </w:rPr>
        <w:t xml:space="preserve"> stage 2</w:t>
      </w:r>
      <w:r w:rsidRPr="00F71F57">
        <w:rPr>
          <w:rFonts w:asciiTheme="majorBidi" w:hAnsiTheme="majorBidi" w:cstheme="majorBidi"/>
          <w:lang w:val="en-GB"/>
        </w:rPr>
        <w:t xml:space="preserve"> separation (S1)</w:t>
      </w:r>
      <w:r w:rsidR="00594DC1">
        <w:rPr>
          <w:rFonts w:asciiTheme="majorBidi" w:hAnsiTheme="majorBidi" w:cstheme="majorBidi"/>
          <w:lang w:val="en-GB"/>
        </w:rPr>
        <w:t xml:space="preserve"> </w:t>
      </w:r>
      <w:r w:rsidRPr="00F71F57">
        <w:rPr>
          <w:rFonts w:asciiTheme="majorBidi" w:hAnsiTheme="majorBidi" w:cstheme="majorBidi"/>
          <w:lang w:val="en-GB"/>
        </w:rPr>
        <w:t>versus separation</w:t>
      </w:r>
      <w:r w:rsidR="00594DC1">
        <w:rPr>
          <w:rFonts w:asciiTheme="majorBidi" w:hAnsiTheme="majorBidi" w:cstheme="majorBidi"/>
          <w:lang w:val="en-GB"/>
        </w:rPr>
        <w:t xml:space="preserve"> 0</w:t>
      </w:r>
      <w:r w:rsidR="00594DC1" w:rsidRPr="00F71F57">
        <w:rPr>
          <w:rFonts w:asciiTheme="majorBidi" w:hAnsiTheme="majorBidi" w:cstheme="majorBidi"/>
          <w:lang w:val="en-GB"/>
        </w:rPr>
        <w:t xml:space="preserve"> (</w:t>
      </w:r>
      <w:r w:rsidRPr="00F71F57">
        <w:rPr>
          <w:rFonts w:asciiTheme="majorBidi" w:hAnsiTheme="majorBidi" w:cstheme="majorBidi"/>
          <w:lang w:val="en-GB"/>
        </w:rPr>
        <w:t xml:space="preserve">S0). Accuracy was significantly reduced at S0 compared to S1. </w:t>
      </w:r>
      <w:r w:rsidR="00594DC1">
        <w:rPr>
          <w:rFonts w:asciiTheme="majorBidi" w:hAnsiTheme="majorBidi" w:cstheme="majorBidi"/>
          <w:lang w:val="en-GB"/>
        </w:rPr>
        <w:t>(</w:t>
      </w:r>
      <w:r w:rsidR="0096306E">
        <w:rPr>
          <w:rFonts w:asciiTheme="majorBidi" w:hAnsiTheme="majorBidi" w:cstheme="majorBidi"/>
          <w:lang w:val="en-GB"/>
        </w:rPr>
        <w:t>P</w:t>
      </w:r>
      <w:r w:rsidR="0096306E" w:rsidRPr="0096306E">
        <w:rPr>
          <w:rFonts w:asciiTheme="majorBidi" w:hAnsiTheme="majorBidi" w:cstheme="majorBidi"/>
          <w:lang w:val="en-GB"/>
        </w:rPr>
        <w:t>aired t-test</w:t>
      </w:r>
      <w:r w:rsidR="0096306E">
        <w:rPr>
          <w:rFonts w:asciiTheme="majorBidi" w:hAnsiTheme="majorBidi" w:cstheme="majorBidi"/>
          <w:lang w:val="en-GB"/>
        </w:rPr>
        <w:t xml:space="preserve">, </w:t>
      </w:r>
      <w:r w:rsidR="0096306E" w:rsidRPr="0096306E">
        <w:rPr>
          <w:rFonts w:asciiTheme="majorBidi" w:hAnsiTheme="majorBidi" w:cstheme="majorBidi"/>
          <w:lang w:val="en-GB"/>
        </w:rPr>
        <w:t xml:space="preserve">****p &lt; 0.0001, </w:t>
      </w:r>
      <w:r w:rsidR="0096306E">
        <w:rPr>
          <w:rFonts w:asciiTheme="majorBidi" w:hAnsiTheme="majorBidi" w:cstheme="majorBidi"/>
          <w:lang w:val="en-GB"/>
        </w:rPr>
        <w:t>d</w:t>
      </w:r>
      <w:r w:rsidRPr="00F71F57">
        <w:rPr>
          <w:rFonts w:asciiTheme="majorBidi" w:hAnsiTheme="majorBidi" w:cstheme="majorBidi"/>
          <w:lang w:val="en-GB"/>
        </w:rPr>
        <w:t>ata are presented as mean ± SEM.</w:t>
      </w:r>
      <w:r w:rsidR="00594DC1">
        <w:rPr>
          <w:rFonts w:asciiTheme="majorBidi" w:hAnsiTheme="majorBidi" w:cstheme="majorBidi"/>
          <w:lang w:val="en-GB"/>
        </w:rPr>
        <w:t>)</w:t>
      </w:r>
    </w:p>
    <w:p w14:paraId="5EF8DF7C" w14:textId="77777777" w:rsidR="00AD6794" w:rsidRPr="00F71F57" w:rsidRDefault="00AD6794" w:rsidP="00AD6794">
      <w:pPr>
        <w:ind w:left="1080"/>
        <w:rPr>
          <w:rFonts w:asciiTheme="majorBidi" w:hAnsiTheme="majorBidi" w:cstheme="majorBidi"/>
          <w:lang w:val="en-GB"/>
        </w:rPr>
      </w:pPr>
    </w:p>
    <w:p w14:paraId="557FCB69" w14:textId="0DDB4E5E" w:rsidR="00686D00" w:rsidRPr="00F71F57" w:rsidRDefault="00686D00" w:rsidP="00984E32">
      <w:pPr>
        <w:pStyle w:val="Heading4"/>
      </w:pPr>
      <w:bookmarkStart w:id="66" w:name="_Toc214875872"/>
      <w:r w:rsidRPr="00F71F57">
        <w:t>3.1.</w:t>
      </w:r>
      <w:r w:rsidR="00CF2D92" w:rsidRPr="00F71F57">
        <w:t>1.5</w:t>
      </w:r>
      <w:r w:rsidRPr="00F71F57">
        <w:t xml:space="preserve"> Rodent Continuous Performance task (rCPT)</w:t>
      </w:r>
      <w:bookmarkEnd w:id="66"/>
    </w:p>
    <w:p w14:paraId="042DB6DC" w14:textId="0CF74D97" w:rsidR="00225047" w:rsidRPr="00F71F57" w:rsidRDefault="00225047" w:rsidP="005453F2">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To further assess sustained attention and inhibitory control, 14 C57BL/6 mice were trained on the rodent Continuous Performance Task (rCPT). Animals progressed through successive training stages (S1–S4), each requiring discrimination between target (S+) and non-target (S–) stimuli. The number of sessions required to reach criterion increased progressively with task complexity (S1 &lt; S2 &lt; S3 &lt; S4; Figure </w:t>
      </w:r>
      <w:r w:rsidR="005B4E03">
        <w:rPr>
          <w:rFonts w:asciiTheme="majorBidi" w:hAnsiTheme="majorBidi" w:cstheme="majorBidi"/>
          <w:sz w:val="24"/>
          <w:szCs w:val="24"/>
          <w:lang w:val="en-GB"/>
        </w:rPr>
        <w:t>13</w:t>
      </w:r>
      <w:r w:rsidRPr="00F71F57">
        <w:rPr>
          <w:rFonts w:asciiTheme="majorBidi" w:hAnsiTheme="majorBidi" w:cstheme="majorBidi"/>
          <w:sz w:val="24"/>
          <w:szCs w:val="24"/>
          <w:lang w:val="en-GB"/>
        </w:rPr>
        <w:t>). These results indicate that mice were able to acquire the discrimination rules, but higher cognitive demand in later stages required more training. This pattern is consistent with previous reports demonstrating the sensitivity of rCPT to attentional load and task difficulty</w:t>
      </w:r>
      <w:r w:rsidR="005453F2">
        <w:rPr>
          <w:rFonts w:asciiTheme="majorBidi" w:hAnsiTheme="majorBidi" w:cstheme="majorBidi"/>
          <w:sz w:val="24"/>
          <w:szCs w:val="24"/>
          <w:lang w:val="en-GB"/>
        </w:rPr>
        <w:t>.</w:t>
      </w:r>
    </w:p>
    <w:p w14:paraId="315A1C07" w14:textId="77777777" w:rsidR="00225047" w:rsidRPr="00F71F57" w:rsidRDefault="00225047" w:rsidP="00CF2D92">
      <w:pPr>
        <w:ind w:left="1080"/>
        <w:rPr>
          <w:rFonts w:asciiTheme="majorBidi" w:hAnsiTheme="majorBidi" w:cstheme="majorBidi"/>
          <w:b/>
          <w:bCs/>
          <w:sz w:val="24"/>
          <w:szCs w:val="24"/>
          <w:lang w:val="en-GB"/>
        </w:rPr>
      </w:pPr>
    </w:p>
    <w:p w14:paraId="535C0C47" w14:textId="5EF171BE" w:rsidR="00686D00" w:rsidRPr="00F71F57" w:rsidRDefault="00734545" w:rsidP="00225047">
      <w:pPr>
        <w:ind w:left="1080"/>
        <w:jc w:val="center"/>
        <w:rPr>
          <w:rtl/>
          <w:lang w:val="en-GB"/>
        </w:rPr>
      </w:pPr>
      <w:r w:rsidRPr="00F71427">
        <w:rPr>
          <w:noProof/>
          <w:lang w:val="en-GB"/>
        </w:rPr>
        <w:object w:dxaOrig="11637" w:dyaOrig="8066" w14:anchorId="5A69D89E">
          <v:shape id="_x0000_i1033" type="#_x0000_t75" alt="" style="width:257.4pt;height:177pt;mso-width-percent:0;mso-height-percent:0;mso-width-percent:0;mso-height-percent:0" o:ole="">
            <v:imagedata r:id="rId43" o:title=""/>
          </v:shape>
          <o:OLEObject Type="Embed" ProgID="Prism8.Document" ShapeID="_x0000_i1033" DrawAspect="Content" ObjectID="_1838987192" r:id="rId44"/>
        </w:object>
      </w:r>
    </w:p>
    <w:p w14:paraId="4C1BAD6C" w14:textId="0B69AD60" w:rsidR="00225047" w:rsidRPr="0047611D" w:rsidRDefault="00225047" w:rsidP="00806264">
      <w:pPr>
        <w:ind w:left="1080"/>
        <w:jc w:val="both"/>
        <w:rPr>
          <w:rFonts w:asciiTheme="majorBidi" w:hAnsiTheme="majorBidi" w:cstheme="majorBidi"/>
          <w:lang w:val="en-GB"/>
        </w:rPr>
      </w:pPr>
      <w:r w:rsidRPr="00F71F57">
        <w:rPr>
          <w:rFonts w:asciiTheme="majorBidi" w:hAnsiTheme="majorBidi" w:cstheme="majorBidi"/>
          <w:b/>
          <w:bCs/>
          <w:lang w:val="en-GB"/>
        </w:rPr>
        <w:t xml:space="preserve">Figure </w:t>
      </w:r>
      <w:r w:rsidR="00EE3D19">
        <w:rPr>
          <w:rFonts w:asciiTheme="majorBidi" w:hAnsiTheme="majorBidi" w:cstheme="majorBidi"/>
          <w:b/>
          <w:bCs/>
          <w:lang w:val="en-GB"/>
        </w:rPr>
        <w:t>13</w:t>
      </w:r>
      <w:r w:rsidRPr="00F71F57">
        <w:rPr>
          <w:rFonts w:asciiTheme="majorBidi" w:hAnsiTheme="majorBidi" w:cstheme="majorBidi"/>
          <w:b/>
          <w:bCs/>
          <w:lang w:val="en-GB"/>
        </w:rPr>
        <w:t>. Training performance in the rodent Continuous Performance Task (rCPT) in C57BL/6 mice (n = 14).</w:t>
      </w:r>
      <w:r w:rsidRPr="00F71F57">
        <w:rPr>
          <w:rFonts w:asciiTheme="majorBidi" w:hAnsiTheme="majorBidi" w:cstheme="majorBidi"/>
          <w:lang w:val="en-GB"/>
        </w:rPr>
        <w:br/>
        <w:t>Number of sessions required to reach criterion across successive training stages (S1–S4). Animals reached criterion more rapidly at early stages (S1, S2), while more sessions were required as task complexity increased (S3, S4). Data are presented as mean ± SEM.</w:t>
      </w:r>
    </w:p>
    <w:p w14:paraId="76A28328" w14:textId="6BF0294B" w:rsidR="00A56F79" w:rsidRPr="00F71F57" w:rsidRDefault="00F117B5" w:rsidP="00F117B5">
      <w:pPr>
        <w:rPr>
          <w:rFonts w:asciiTheme="majorBidi" w:hAnsiTheme="majorBidi" w:cstheme="majorBidi"/>
          <w:b/>
          <w:bCs/>
          <w:sz w:val="24"/>
          <w:szCs w:val="24"/>
          <w:lang w:val="en-GB"/>
        </w:rPr>
      </w:pPr>
      <w:r>
        <w:rPr>
          <w:lang w:val="en-GB"/>
        </w:rPr>
        <w:lastRenderedPageBreak/>
        <w:t xml:space="preserve">                      </w:t>
      </w:r>
      <w:r w:rsidR="0001437D" w:rsidRPr="00F71F57">
        <w:rPr>
          <w:rFonts w:asciiTheme="majorBidi" w:hAnsiTheme="majorBidi" w:cstheme="majorBidi"/>
          <w:b/>
          <w:bCs/>
          <w:sz w:val="24"/>
          <w:szCs w:val="24"/>
          <w:lang w:val="en-GB"/>
        </w:rPr>
        <w:t>Stage 3</w:t>
      </w:r>
      <w:r w:rsidR="00D37025" w:rsidRPr="00F71F57">
        <w:rPr>
          <w:rFonts w:asciiTheme="majorBidi" w:hAnsiTheme="majorBidi" w:cstheme="majorBidi"/>
          <w:b/>
          <w:bCs/>
          <w:sz w:val="24"/>
          <w:szCs w:val="24"/>
          <w:lang w:val="en-GB"/>
        </w:rPr>
        <w:t xml:space="preserve"> </w:t>
      </w:r>
      <w:bookmarkStart w:id="67" w:name="OLE_LINK1"/>
      <w:r w:rsidR="00D37025" w:rsidRPr="00F71F57">
        <w:rPr>
          <w:rFonts w:asciiTheme="majorBidi" w:hAnsiTheme="majorBidi" w:cstheme="majorBidi"/>
          <w:b/>
          <w:bCs/>
          <w:sz w:val="24"/>
          <w:szCs w:val="24"/>
          <w:lang w:val="en-GB"/>
        </w:rPr>
        <w:t>(</w:t>
      </w:r>
      <w:r w:rsidR="0001437D" w:rsidRPr="00F71F57">
        <w:rPr>
          <w:rFonts w:asciiTheme="majorBidi" w:hAnsiTheme="majorBidi" w:cstheme="majorBidi"/>
          <w:b/>
          <w:bCs/>
          <w:sz w:val="24"/>
          <w:szCs w:val="24"/>
          <w:lang w:val="en-GB"/>
        </w:rPr>
        <w:t>CPT 1 Target and 1 Non-Target</w:t>
      </w:r>
      <w:r w:rsidR="00D37025" w:rsidRPr="00F71F57">
        <w:rPr>
          <w:rFonts w:asciiTheme="majorBidi" w:hAnsiTheme="majorBidi" w:cstheme="majorBidi"/>
          <w:b/>
          <w:bCs/>
          <w:sz w:val="24"/>
          <w:szCs w:val="24"/>
          <w:lang w:val="en-GB"/>
        </w:rPr>
        <w:t>)</w:t>
      </w:r>
      <w:bookmarkEnd w:id="67"/>
    </w:p>
    <w:p w14:paraId="143FD1AB" w14:textId="42540A4C" w:rsidR="004E689E" w:rsidRPr="00F71F57" w:rsidRDefault="004E689E" w:rsidP="006616E3">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In Stage 3 of the rodent continuous performance task (rCPT), animals were required to discriminate between target (S+) and non-target (S–) stimuli. Across training sessions, mice showed a significant increase in hit rate and a concomitant decrease in false alarm rate (Figure </w:t>
      </w:r>
      <w:r w:rsidR="005B4E03">
        <w:rPr>
          <w:rFonts w:asciiTheme="majorBidi" w:hAnsiTheme="majorBidi" w:cstheme="majorBidi"/>
          <w:sz w:val="24"/>
          <w:szCs w:val="24"/>
          <w:lang w:val="en-GB"/>
        </w:rPr>
        <w:t>14</w:t>
      </w:r>
      <w:r w:rsidRPr="00F71F57">
        <w:rPr>
          <w:rFonts w:asciiTheme="majorBidi" w:hAnsiTheme="majorBidi" w:cstheme="majorBidi"/>
          <w:sz w:val="24"/>
          <w:szCs w:val="24"/>
          <w:lang w:val="en-GB"/>
        </w:rPr>
        <w:t>). As a result, both sensitivity index (SI) and d′ values improved steadily over sessions, indicating enhanced discrimination ability.</w:t>
      </w:r>
      <w:r w:rsidR="00D37025" w:rsidRPr="00F71F57">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Response bias (c) shifted toward a more conservative strategy across sessions, while responsivity index increased from strongly negative values toward zero, suggesting more balanced responding. The number of blank touches decreased slightly across training, reflecting reduced impulsive responding. Collectively, these findings confirm that mice successfully acquired the discrimination rule in Stage 3, achieving stable baseline performance.</w:t>
      </w:r>
    </w:p>
    <w:p w14:paraId="26CAA5C9" w14:textId="5F25595E" w:rsidR="00C42048" w:rsidRPr="00F71F57" w:rsidRDefault="00734545" w:rsidP="009323CC">
      <w:pPr>
        <w:ind w:left="1080"/>
        <w:jc w:val="center"/>
        <w:rPr>
          <w:rFonts w:asciiTheme="majorBidi" w:hAnsiTheme="majorBidi" w:cstheme="majorBidi"/>
          <w:b/>
          <w:bCs/>
          <w:sz w:val="24"/>
          <w:szCs w:val="24"/>
          <w:lang w:val="en-GB"/>
        </w:rPr>
      </w:pPr>
      <w:r w:rsidRPr="00F71427">
        <w:rPr>
          <w:noProof/>
          <w:lang w:val="en-GB"/>
        </w:rPr>
        <w:object w:dxaOrig="13594" w:dyaOrig="7596" w14:anchorId="016B9B44">
          <v:shape id="_x0000_i1034" type="#_x0000_t75" alt="" style="width:345pt;height:115.2pt;mso-width-percent:0;mso-height-percent:0;mso-width-percent:0;mso-height-percent:0" o:ole="">
            <v:imagedata r:id="rId45" o:title=""/>
          </v:shape>
          <o:OLEObject Type="Embed" ProgID="Prism8.Document" ShapeID="_x0000_i1034" DrawAspect="Content" ObjectID="_1838987193" r:id="rId46"/>
        </w:object>
      </w:r>
      <w:r w:rsidR="00C42048" w:rsidRPr="00F71F57">
        <w:rPr>
          <w:lang w:val="en-GB"/>
        </w:rPr>
        <w:t xml:space="preserve"> </w:t>
      </w:r>
      <w:r w:rsidRPr="00F71427">
        <w:rPr>
          <w:noProof/>
          <w:lang w:val="en-GB"/>
        </w:rPr>
        <w:object w:dxaOrig="13594" w:dyaOrig="7579" w14:anchorId="3AC83CC4">
          <v:shape id="_x0000_i1035" type="#_x0000_t75" alt="" style="width:337.8pt;height:124.8pt;mso-width-percent:0;mso-height-percent:0;mso-width-percent:0;mso-height-percent:0" o:ole="">
            <v:imagedata r:id="rId47" o:title=""/>
          </v:shape>
          <o:OLEObject Type="Embed" ProgID="Prism8.Document" ShapeID="_x0000_i1035" DrawAspect="Content" ObjectID="_1838987194" r:id="rId48"/>
        </w:object>
      </w:r>
      <w:r w:rsidRPr="00F71427">
        <w:rPr>
          <w:noProof/>
          <w:lang w:val="en-GB" w:bidi="fa-IR"/>
        </w:rPr>
        <w:object w:dxaOrig="13594" w:dyaOrig="7593" w14:anchorId="02014BEE">
          <v:shape id="_x0000_i1036" type="#_x0000_t75" alt="" style="width:328.2pt;height:120.6pt;mso-width-percent:0;mso-height-percent:0;mso-width-percent:0;mso-height-percent:0" o:ole="" filled="t">
            <v:imagedata r:id="rId49" o:title=""/>
          </v:shape>
          <o:OLEObject Type="Embed" ProgID="Prism8.Document" ShapeID="_x0000_i1036" DrawAspect="Content" ObjectID="_1838987195" r:id="rId50"/>
        </w:object>
      </w:r>
      <w:r w:rsidRPr="00F71427">
        <w:rPr>
          <w:noProof/>
          <w:lang w:val="en-GB" w:bidi="fa-IR"/>
        </w:rPr>
        <w:object w:dxaOrig="13594" w:dyaOrig="8169" w14:anchorId="601650AF">
          <v:shape id="_x0000_i1037" type="#_x0000_t75" alt="" style="width:321pt;height:134.4pt;mso-width-percent:0;mso-height-percent:0;mso-width-percent:0;mso-height-percent:0" o:ole="" filled="t">
            <v:imagedata r:id="rId51" o:title=""/>
          </v:shape>
          <o:OLEObject Type="Embed" ProgID="Prism8.Document" ShapeID="_x0000_i1037" DrawAspect="Content" ObjectID="_1838987196" r:id="rId52"/>
        </w:object>
      </w:r>
    </w:p>
    <w:p w14:paraId="132D5B35" w14:textId="0E6F6DE4" w:rsidR="00357BD8" w:rsidRPr="00F71F57" w:rsidRDefault="00734545" w:rsidP="006616E3">
      <w:pPr>
        <w:ind w:left="1080"/>
        <w:jc w:val="center"/>
        <w:rPr>
          <w:lang w:val="en-GB" w:bidi="fa-IR"/>
        </w:rPr>
      </w:pPr>
      <w:r w:rsidRPr="00F71427">
        <w:rPr>
          <w:noProof/>
          <w:lang w:val="en-GB" w:bidi="fa-IR"/>
        </w:rPr>
        <w:object w:dxaOrig="13594" w:dyaOrig="7239" w14:anchorId="62BAF1BF">
          <v:shape id="_x0000_i1038" type="#_x0000_t75" alt="" style="width:311.4pt;height:125.4pt;mso-width-percent:0;mso-height-percent:0;mso-width-percent:0;mso-height-percent:0" o:ole="" filled="t">
            <v:imagedata r:id="rId53" o:title=""/>
          </v:shape>
          <o:OLEObject Type="Embed" ProgID="Prism8.Document" ShapeID="_x0000_i1038" DrawAspect="Content" ObjectID="_1838987197" r:id="rId54"/>
        </w:object>
      </w:r>
      <w:r w:rsidRPr="00F71427">
        <w:rPr>
          <w:noProof/>
          <w:lang w:val="en-GB" w:bidi="fa-IR"/>
        </w:rPr>
        <w:object w:dxaOrig="13594" w:dyaOrig="8198" w14:anchorId="18AAD3A4">
          <v:shape id="_x0000_i1039" type="#_x0000_t75" alt="" style="width:309pt;height:130.8pt;mso-width-percent:0;mso-height-percent:0;mso-width-percent:0;mso-height-percent:0" o:ole="" filled="t">
            <v:imagedata r:id="rId55" o:title=""/>
          </v:shape>
          <o:OLEObject Type="Embed" ProgID="Prism8.Document" ShapeID="_x0000_i1039" DrawAspect="Content" ObjectID="_1838987198" r:id="rId56"/>
        </w:object>
      </w:r>
    </w:p>
    <w:p w14:paraId="716D02DF" w14:textId="2CB6700A" w:rsidR="00357BD8" w:rsidRPr="00F71F57" w:rsidRDefault="00734545" w:rsidP="006616E3">
      <w:pPr>
        <w:ind w:left="1080"/>
        <w:jc w:val="center"/>
        <w:rPr>
          <w:lang w:val="en-GB" w:bidi="fa-IR"/>
        </w:rPr>
      </w:pPr>
      <w:r w:rsidRPr="00F71427">
        <w:rPr>
          <w:noProof/>
          <w:lang w:val="en-GB"/>
        </w:rPr>
        <w:object w:dxaOrig="13594" w:dyaOrig="7579" w14:anchorId="7DA80339">
          <v:shape id="_x0000_i1040" type="#_x0000_t75" alt="" style="width:307.2pt;height:127.2pt;mso-width-percent:0;mso-height-percent:0;mso-width-percent:0;mso-height-percent:0" o:ole="">
            <v:imagedata r:id="rId57" o:title=""/>
          </v:shape>
          <o:OLEObject Type="Embed" ProgID="Prism8.Document" ShapeID="_x0000_i1040" DrawAspect="Content" ObjectID="_1838987199" r:id="rId58"/>
        </w:object>
      </w:r>
    </w:p>
    <w:p w14:paraId="63357F8F" w14:textId="166B8444" w:rsidR="00357BD8" w:rsidRPr="00F71F57" w:rsidRDefault="00357BD8" w:rsidP="00686D00">
      <w:pPr>
        <w:ind w:left="1080"/>
        <w:rPr>
          <w:lang w:val="en-GB" w:bidi="fa-IR"/>
        </w:rPr>
      </w:pPr>
    </w:p>
    <w:p w14:paraId="67F5015E" w14:textId="7DEFBCEF" w:rsidR="004E689E" w:rsidRPr="00F71F57" w:rsidRDefault="004E689E" w:rsidP="00806264">
      <w:pPr>
        <w:ind w:left="1080"/>
        <w:jc w:val="both"/>
        <w:rPr>
          <w:rFonts w:asciiTheme="majorBidi" w:hAnsiTheme="majorBidi" w:cstheme="majorBidi"/>
          <w:lang w:val="en-GB" w:bidi="fa-IR"/>
        </w:rPr>
      </w:pPr>
      <w:r w:rsidRPr="00F71F57">
        <w:rPr>
          <w:rFonts w:asciiTheme="majorBidi" w:hAnsiTheme="majorBidi" w:cstheme="majorBidi"/>
          <w:b/>
          <w:bCs/>
          <w:lang w:val="en-GB" w:bidi="fa-IR"/>
        </w:rPr>
        <w:t xml:space="preserve">Figure </w:t>
      </w:r>
      <w:r w:rsidR="00EE3D19">
        <w:rPr>
          <w:rFonts w:asciiTheme="majorBidi" w:hAnsiTheme="majorBidi" w:cstheme="majorBidi"/>
          <w:b/>
          <w:bCs/>
          <w:lang w:val="en-GB" w:bidi="fa-IR"/>
        </w:rPr>
        <w:t>14</w:t>
      </w:r>
      <w:r w:rsidRPr="00F71F57">
        <w:rPr>
          <w:rFonts w:asciiTheme="majorBidi" w:hAnsiTheme="majorBidi" w:cstheme="majorBidi"/>
          <w:b/>
          <w:bCs/>
          <w:lang w:val="en-GB" w:bidi="fa-IR"/>
        </w:rPr>
        <w:t>. Performance metrics during Stage 3 of the rodent continuous performance task (rCPT) in C57BL/6 mice (n = 14).</w:t>
      </w:r>
      <w:r w:rsidRPr="00F71F57">
        <w:rPr>
          <w:rFonts w:asciiTheme="majorBidi" w:hAnsiTheme="majorBidi" w:cstheme="majorBidi"/>
          <w:lang w:val="en-GB" w:bidi="fa-IR"/>
        </w:rPr>
        <w:br/>
        <w:t xml:space="preserve">Training curves </w:t>
      </w:r>
      <w:r w:rsidR="00B7437C" w:rsidRPr="00F71F57">
        <w:rPr>
          <w:rFonts w:asciiTheme="majorBidi" w:hAnsiTheme="majorBidi" w:cstheme="majorBidi"/>
          <w:lang w:val="en-GB" w:bidi="fa-IR"/>
        </w:rPr>
        <w:t>for hit</w:t>
      </w:r>
      <w:r w:rsidRPr="00F71F57">
        <w:rPr>
          <w:rFonts w:asciiTheme="majorBidi" w:hAnsiTheme="majorBidi" w:cstheme="majorBidi"/>
          <w:lang w:val="en-GB" w:bidi="fa-IR"/>
        </w:rPr>
        <w:t xml:space="preserve"> rate, false alarm rate, sensitivity index</w:t>
      </w:r>
      <w:r w:rsidR="006616E3">
        <w:rPr>
          <w:rFonts w:asciiTheme="majorBidi" w:hAnsiTheme="majorBidi" w:cstheme="majorBidi"/>
          <w:lang w:val="en-GB" w:bidi="fa-IR"/>
        </w:rPr>
        <w:t>,</w:t>
      </w:r>
      <w:r w:rsidRPr="00F71F57">
        <w:rPr>
          <w:rFonts w:asciiTheme="majorBidi" w:hAnsiTheme="majorBidi" w:cstheme="majorBidi"/>
          <w:lang w:val="en-GB" w:bidi="fa-IR"/>
        </w:rPr>
        <w:t xml:space="preserve"> response criterion (c), responsivity index, blank touches; and d′. Hit rate increased while false alarms decreased across sessions, leading to improvements in sensitivity (SI) and d′. Response bias (c) became more conservative, responsivity index approached zero, and blank touches decreased with training. Data are shown as mean ± SEM.</w:t>
      </w:r>
    </w:p>
    <w:p w14:paraId="4305DE34" w14:textId="1B82981E" w:rsidR="00357BD8" w:rsidRPr="00F71F57" w:rsidRDefault="00357BD8" w:rsidP="00357BD8">
      <w:pPr>
        <w:rPr>
          <w:rFonts w:asciiTheme="majorBidi" w:hAnsiTheme="majorBidi" w:cstheme="majorBidi"/>
          <w:b/>
          <w:bCs/>
          <w:sz w:val="24"/>
          <w:szCs w:val="24"/>
          <w:lang w:val="en-GB"/>
        </w:rPr>
      </w:pPr>
    </w:p>
    <w:p w14:paraId="09D18B59" w14:textId="0C04BB72" w:rsidR="00E20E96" w:rsidRPr="00F71F57" w:rsidRDefault="00E43D2B" w:rsidP="00D37025">
      <w:pPr>
        <w:ind w:left="1080"/>
        <w:rPr>
          <w:rFonts w:asciiTheme="majorBidi" w:hAnsiTheme="majorBidi" w:cstheme="majorBidi"/>
          <w:b/>
          <w:bCs/>
          <w:sz w:val="24"/>
          <w:szCs w:val="24"/>
          <w:lang w:val="en-GB"/>
        </w:rPr>
      </w:pPr>
      <w:bookmarkStart w:id="68" w:name="OLE_LINK2"/>
      <w:r w:rsidRPr="00F71F57">
        <w:rPr>
          <w:rFonts w:asciiTheme="majorBidi" w:hAnsiTheme="majorBidi" w:cstheme="majorBidi"/>
          <w:b/>
          <w:bCs/>
          <w:sz w:val="24"/>
          <w:szCs w:val="24"/>
          <w:lang w:val="en-GB"/>
        </w:rPr>
        <w:t xml:space="preserve">Stage </w:t>
      </w:r>
      <w:r w:rsidR="00D37025" w:rsidRPr="00F71F57">
        <w:rPr>
          <w:rFonts w:asciiTheme="majorBidi" w:hAnsiTheme="majorBidi" w:cstheme="majorBidi"/>
          <w:b/>
          <w:bCs/>
          <w:sz w:val="24"/>
          <w:szCs w:val="24"/>
          <w:lang w:val="en-GB"/>
        </w:rPr>
        <w:t>4 (CPT 1 Target and 4 Non-Targets)</w:t>
      </w:r>
    </w:p>
    <w:bookmarkEnd w:id="68"/>
    <w:p w14:paraId="25781D71" w14:textId="249A2438" w:rsidR="00E43D2B" w:rsidRPr="00F71F57" w:rsidRDefault="00E43D2B" w:rsidP="00CE622E">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In Stage 4, mice were challenged to discriminate one target stimulus (S+) from four non-target stimuli (S–). Across training sessions, animals exhibited a progressive increase in hit rate alongside a clear reduction in false alarm rate (Figure </w:t>
      </w:r>
      <w:r w:rsidR="00241658">
        <w:rPr>
          <w:rFonts w:asciiTheme="majorBidi" w:hAnsiTheme="majorBidi" w:cstheme="majorBidi"/>
          <w:sz w:val="24"/>
          <w:szCs w:val="24"/>
          <w:lang w:val="en-GB"/>
        </w:rPr>
        <w:t>15</w:t>
      </w:r>
      <w:r w:rsidRPr="00F71F57">
        <w:rPr>
          <w:rFonts w:asciiTheme="majorBidi" w:hAnsiTheme="majorBidi" w:cstheme="majorBidi"/>
          <w:sz w:val="24"/>
          <w:szCs w:val="24"/>
          <w:lang w:val="en-GB"/>
        </w:rPr>
        <w:t>). These changes produced a steady improvement in sensitivity measures (sensitivity index and d′), confirming enhanced discrimination ability under increased cognitive load. Response bias (c) stabilized at slightly conservative values across sessions, while responsivity index improved toward zero, suggesting more balanced responding. Blank touches remained relatively stable throughout training, with a slight downward trend, indicating that animals-maintained task engagement. Overall, these results demonstrate that C57BL/6 mice can acquire the complex discrimination rules of the rCPT, with performance patterns aligning with previous studies validating the translational utility of this task.</w:t>
      </w:r>
    </w:p>
    <w:p w14:paraId="2C97CB39" w14:textId="46785740" w:rsidR="00E43D2B" w:rsidRPr="00F71F57" w:rsidRDefault="00734545" w:rsidP="006616E3">
      <w:pPr>
        <w:ind w:left="1080"/>
        <w:jc w:val="center"/>
        <w:rPr>
          <w:rFonts w:asciiTheme="majorBidi" w:hAnsiTheme="majorBidi" w:cstheme="majorBidi"/>
          <w:b/>
          <w:bCs/>
          <w:sz w:val="24"/>
          <w:szCs w:val="24"/>
          <w:lang w:val="en-GB"/>
        </w:rPr>
      </w:pPr>
      <w:r w:rsidRPr="00F71427">
        <w:rPr>
          <w:noProof/>
          <w:lang w:val="en-GB"/>
        </w:rPr>
        <w:object w:dxaOrig="14323" w:dyaOrig="7596" w14:anchorId="43B4E3EC">
          <v:shape id="_x0000_i1041" type="#_x0000_t75" alt="" style="width:295.2pt;height:141pt;mso-width-percent:0;mso-height-percent:0;mso-width-percent:0;mso-height-percent:0" o:ole="" filled="t">
            <v:imagedata r:id="rId59" o:title=""/>
          </v:shape>
          <o:OLEObject Type="Embed" ProgID="Prism8.Document" ShapeID="_x0000_i1041" DrawAspect="Content" ObjectID="_1838987200" r:id="rId60"/>
        </w:object>
      </w:r>
    </w:p>
    <w:p w14:paraId="7DB48EE9" w14:textId="4CA8A633" w:rsidR="00A56F79" w:rsidRPr="00F71F57" w:rsidRDefault="00734545" w:rsidP="006616E3">
      <w:pPr>
        <w:ind w:left="1080"/>
        <w:jc w:val="center"/>
        <w:rPr>
          <w:lang w:val="en-GB"/>
        </w:rPr>
      </w:pPr>
      <w:r w:rsidRPr="00F71427">
        <w:rPr>
          <w:noProof/>
          <w:lang w:val="en-GB"/>
        </w:rPr>
        <w:object w:dxaOrig="13594" w:dyaOrig="7555" w14:anchorId="528AE736">
          <v:shape id="_x0000_i1042" type="#_x0000_t75" alt="" style="width:4in;height:154.2pt;mso-width-percent:0;mso-height-percent:0;mso-width-percent:0;mso-height-percent:0" o:ole="" filled="t">
            <v:imagedata r:id="rId61" o:title=""/>
          </v:shape>
          <o:OLEObject Type="Embed" ProgID="Prism8.Document" ShapeID="_x0000_i1042" DrawAspect="Content" ObjectID="_1838987201" r:id="rId62"/>
        </w:object>
      </w:r>
    </w:p>
    <w:p w14:paraId="422B7A44" w14:textId="10C36AFC" w:rsidR="00A56F79" w:rsidRPr="00F71F57" w:rsidRDefault="00734545" w:rsidP="00A927D5">
      <w:pPr>
        <w:ind w:left="1080"/>
        <w:jc w:val="center"/>
        <w:rPr>
          <w:lang w:val="en-GB"/>
        </w:rPr>
      </w:pPr>
      <w:r w:rsidRPr="00F71427">
        <w:rPr>
          <w:noProof/>
          <w:lang w:val="en-GB"/>
        </w:rPr>
        <w:object w:dxaOrig="13594" w:dyaOrig="7881" w14:anchorId="44C2CC6D">
          <v:shape id="_x0000_i1043" type="#_x0000_t75" alt="" style="width:286.2pt;height:146.4pt;mso-width-percent:0;mso-height-percent:0;mso-width-percent:0;mso-height-percent:0" o:ole="" filled="t">
            <v:imagedata r:id="rId63" o:title=""/>
          </v:shape>
          <o:OLEObject Type="Embed" ProgID="Prism8.Document" ShapeID="_x0000_i1043" DrawAspect="Content" ObjectID="_1838987202" r:id="rId64"/>
        </w:object>
      </w:r>
    </w:p>
    <w:p w14:paraId="6740FEF6" w14:textId="27C13376" w:rsidR="00A56F79" w:rsidRPr="00F71F57" w:rsidRDefault="00734545" w:rsidP="006616E3">
      <w:pPr>
        <w:ind w:left="1080"/>
        <w:jc w:val="center"/>
        <w:rPr>
          <w:lang w:val="en-GB"/>
        </w:rPr>
      </w:pPr>
      <w:r w:rsidRPr="00F71427">
        <w:rPr>
          <w:noProof/>
          <w:lang w:val="en-GB"/>
        </w:rPr>
        <w:object w:dxaOrig="13594" w:dyaOrig="7231" w14:anchorId="2B345378">
          <v:shape id="_x0000_i1044" type="#_x0000_t75" alt="" style="width:4in;height:147pt;mso-width-percent:0;mso-height-percent:0;mso-width-percent:0;mso-height-percent:0" o:ole="" filled="t">
            <v:imagedata r:id="rId65" o:title=""/>
          </v:shape>
          <o:OLEObject Type="Embed" ProgID="Prism8.Document" ShapeID="_x0000_i1044" DrawAspect="Content" ObjectID="_1838987203" r:id="rId66"/>
        </w:object>
      </w:r>
    </w:p>
    <w:p w14:paraId="1621ECB2" w14:textId="6C20D61A" w:rsidR="00A56F79" w:rsidRPr="00F71F57" w:rsidRDefault="00734545" w:rsidP="00A927D5">
      <w:pPr>
        <w:ind w:left="1080"/>
        <w:jc w:val="center"/>
        <w:rPr>
          <w:lang w:val="en-GB"/>
        </w:rPr>
      </w:pPr>
      <w:r w:rsidRPr="00F71427">
        <w:rPr>
          <w:noProof/>
          <w:lang w:val="en-GB"/>
        </w:rPr>
        <w:object w:dxaOrig="13594" w:dyaOrig="8167" w14:anchorId="5FDD122D">
          <v:shape id="_x0000_i1045" type="#_x0000_t75" alt="" style="width:292.2pt;height:130.8pt;mso-width-percent:0;mso-height-percent:0;mso-width-percent:0;mso-height-percent:0" o:ole="" filled="t">
            <v:imagedata r:id="rId67" o:title=""/>
          </v:shape>
          <o:OLEObject Type="Embed" ProgID="Prism8.Document" ShapeID="_x0000_i1045" DrawAspect="Content" ObjectID="_1838987204" r:id="rId68"/>
        </w:object>
      </w:r>
    </w:p>
    <w:p w14:paraId="5A5F4517" w14:textId="61BF5940" w:rsidR="00A56F79" w:rsidRPr="00F71F57" w:rsidRDefault="00734545" w:rsidP="00A927D5">
      <w:pPr>
        <w:ind w:left="1080"/>
        <w:jc w:val="center"/>
        <w:rPr>
          <w:lang w:val="en-GB"/>
        </w:rPr>
      </w:pPr>
      <w:r w:rsidRPr="00F71427">
        <w:rPr>
          <w:noProof/>
          <w:lang w:val="en-GB"/>
        </w:rPr>
        <w:object w:dxaOrig="13594" w:dyaOrig="8194" w14:anchorId="5B6791D0">
          <v:shape id="_x0000_i1046" type="#_x0000_t75" alt="" style="width:301.8pt;height:153pt;mso-width-percent:0;mso-height-percent:0;mso-width-percent:0;mso-height-percent:0" o:ole="" filled="t">
            <v:imagedata r:id="rId69" o:title=""/>
          </v:shape>
          <o:OLEObject Type="Embed" ProgID="Prism8.Document" ShapeID="_x0000_i1046" DrawAspect="Content" ObjectID="_1838987205" r:id="rId70"/>
        </w:object>
      </w:r>
    </w:p>
    <w:p w14:paraId="7D31DC5C" w14:textId="782D7091" w:rsidR="00A56F79" w:rsidRPr="00F71F57" w:rsidRDefault="00734545" w:rsidP="00A927D5">
      <w:pPr>
        <w:ind w:left="1080"/>
        <w:jc w:val="center"/>
        <w:rPr>
          <w:lang w:val="en-GB"/>
        </w:rPr>
      </w:pPr>
      <w:r w:rsidRPr="006616E3">
        <w:rPr>
          <w:noProof/>
          <w:lang w:val="en-GB"/>
        </w:rPr>
        <w:object w:dxaOrig="13594" w:dyaOrig="7593" w14:anchorId="1229DEBA">
          <v:shape id="_x0000_i1047" type="#_x0000_t75" alt="" style="width:300pt;height:125.4pt;mso-width-percent:0;mso-height-percent:0;mso-width-percent:0;mso-height-percent:0" o:ole="" filled="t">
            <v:imagedata r:id="rId71" o:title=""/>
          </v:shape>
          <o:OLEObject Type="Embed" ProgID="Prism8.Document" ShapeID="_x0000_i1047" DrawAspect="Content" ObjectID="_1838987206" r:id="rId72"/>
        </w:object>
      </w:r>
    </w:p>
    <w:p w14:paraId="129EF0B3" w14:textId="36E5769A" w:rsidR="00E02FA9" w:rsidRPr="00F71F57" w:rsidRDefault="00E43D2B" w:rsidP="00806264">
      <w:pPr>
        <w:ind w:left="1080"/>
        <w:jc w:val="both"/>
        <w:rPr>
          <w:rFonts w:asciiTheme="majorBidi" w:hAnsiTheme="majorBidi" w:cstheme="majorBidi"/>
          <w:lang w:val="en-GB"/>
        </w:rPr>
      </w:pPr>
      <w:r w:rsidRPr="00F71F57">
        <w:rPr>
          <w:rFonts w:asciiTheme="majorBidi" w:hAnsiTheme="majorBidi" w:cstheme="majorBidi"/>
          <w:b/>
          <w:bCs/>
          <w:lang w:val="en-GB"/>
        </w:rPr>
        <w:t xml:space="preserve">Figure </w:t>
      </w:r>
      <w:r w:rsidR="00EE3D19">
        <w:rPr>
          <w:rFonts w:asciiTheme="majorBidi" w:hAnsiTheme="majorBidi" w:cstheme="majorBidi"/>
          <w:b/>
          <w:bCs/>
          <w:lang w:val="en-GB"/>
        </w:rPr>
        <w:t>15</w:t>
      </w:r>
      <w:r w:rsidRPr="00F71F57">
        <w:rPr>
          <w:rFonts w:asciiTheme="majorBidi" w:hAnsiTheme="majorBidi" w:cstheme="majorBidi"/>
          <w:b/>
          <w:bCs/>
          <w:lang w:val="en-GB"/>
        </w:rPr>
        <w:t>. Performance metrics during Stage 4 of the rodent Continuous Performance Task (rCPT) in C57BL/6 mice (n = 14).</w:t>
      </w:r>
    </w:p>
    <w:p w14:paraId="19824FED" w14:textId="098B0321" w:rsidR="00685857" w:rsidRDefault="00685857" w:rsidP="00806264">
      <w:pPr>
        <w:ind w:left="1080"/>
        <w:jc w:val="both"/>
        <w:rPr>
          <w:rFonts w:asciiTheme="majorBidi" w:hAnsiTheme="majorBidi" w:cstheme="majorBidi"/>
          <w:lang w:val="en-GB"/>
        </w:rPr>
      </w:pPr>
      <w:r w:rsidRPr="00F71F57">
        <w:rPr>
          <w:rFonts w:asciiTheme="majorBidi" w:hAnsiTheme="majorBidi" w:cstheme="majorBidi"/>
          <w:lang w:val="en-GB"/>
        </w:rPr>
        <w:t>Training curves for hit rate and false alarm rate</w:t>
      </w:r>
      <w:r w:rsidR="00A927D5">
        <w:rPr>
          <w:rFonts w:asciiTheme="majorBidi" w:hAnsiTheme="majorBidi" w:cstheme="majorBidi"/>
          <w:lang w:val="en-GB"/>
        </w:rPr>
        <w:t xml:space="preserve">, </w:t>
      </w:r>
      <w:r w:rsidRPr="00F71F57">
        <w:rPr>
          <w:rFonts w:asciiTheme="majorBidi" w:hAnsiTheme="majorBidi" w:cstheme="majorBidi"/>
          <w:lang w:val="en-GB"/>
        </w:rPr>
        <w:t>sensitivity index (d′), response bias (c), responsivity index</w:t>
      </w:r>
      <w:r w:rsidR="00A927D5">
        <w:rPr>
          <w:rFonts w:asciiTheme="majorBidi" w:hAnsiTheme="majorBidi" w:cstheme="majorBidi"/>
          <w:lang w:val="en-GB"/>
        </w:rPr>
        <w:t xml:space="preserve">, </w:t>
      </w:r>
      <w:r w:rsidRPr="00F71F57">
        <w:rPr>
          <w:rFonts w:asciiTheme="majorBidi" w:hAnsiTheme="majorBidi" w:cstheme="majorBidi"/>
          <w:lang w:val="en-GB"/>
        </w:rPr>
        <w:t>sensitivity index (SI)</w:t>
      </w:r>
      <w:r w:rsidR="00B94BA5">
        <w:rPr>
          <w:rFonts w:asciiTheme="majorBidi" w:hAnsiTheme="majorBidi" w:cstheme="majorBidi"/>
          <w:lang w:val="en-GB"/>
        </w:rPr>
        <w:t>,</w:t>
      </w:r>
      <w:r w:rsidRPr="00F71F57">
        <w:rPr>
          <w:rFonts w:asciiTheme="majorBidi" w:hAnsiTheme="majorBidi" w:cstheme="majorBidi"/>
          <w:lang w:val="en-GB"/>
        </w:rPr>
        <w:t xml:space="preserve"> and blank touches. Performance improved across sessions, with higher hit rates, reduced false alarms, and increased sensitivity (d′ and SI). Response bias (c) stabilized at conservative levels, responsivity index approached zero, and blank touches remained relatively stable. Data are shown as mean ± SEM.</w:t>
      </w:r>
    </w:p>
    <w:p w14:paraId="3503B832" w14:textId="7894065D" w:rsidR="00467D00" w:rsidRDefault="00467D00" w:rsidP="00685857">
      <w:pPr>
        <w:ind w:left="1080"/>
        <w:rPr>
          <w:rFonts w:asciiTheme="majorBidi" w:hAnsiTheme="majorBidi" w:cstheme="majorBidi"/>
          <w:lang w:val="en-GB"/>
        </w:rPr>
      </w:pPr>
    </w:p>
    <w:p w14:paraId="61C518D1" w14:textId="6F236786" w:rsidR="00467D00" w:rsidRDefault="00467D00" w:rsidP="00685857">
      <w:pPr>
        <w:ind w:left="1080"/>
        <w:rPr>
          <w:rFonts w:asciiTheme="majorBidi" w:hAnsiTheme="majorBidi" w:cstheme="majorBidi"/>
          <w:b/>
          <w:bCs/>
          <w:sz w:val="24"/>
          <w:szCs w:val="24"/>
          <w:lang w:val="en-GB"/>
        </w:rPr>
      </w:pPr>
      <w:r>
        <w:rPr>
          <w:rFonts w:asciiTheme="majorBidi" w:hAnsiTheme="majorBidi" w:cstheme="majorBidi"/>
          <w:b/>
          <w:bCs/>
          <w:sz w:val="24"/>
          <w:szCs w:val="24"/>
          <w:lang w:val="en-GB"/>
        </w:rPr>
        <w:t>rCPT Probe 2 (Variable Stimulus Duration)</w:t>
      </w:r>
    </w:p>
    <w:p w14:paraId="3EAFDB76" w14:textId="63CFBC48" w:rsidR="00A920B5" w:rsidRDefault="00A920B5" w:rsidP="00A920B5">
      <w:pPr>
        <w:spacing w:line="360" w:lineRule="auto"/>
        <w:ind w:left="1080"/>
        <w:jc w:val="both"/>
        <w:rPr>
          <w:rFonts w:asciiTheme="majorBidi" w:hAnsiTheme="majorBidi" w:cstheme="majorBidi"/>
          <w:sz w:val="24"/>
          <w:szCs w:val="24"/>
        </w:rPr>
      </w:pPr>
      <w:r w:rsidRPr="00A920B5">
        <w:rPr>
          <w:rFonts w:asciiTheme="majorBidi" w:hAnsiTheme="majorBidi" w:cstheme="majorBidi"/>
          <w:sz w:val="24"/>
          <w:szCs w:val="24"/>
        </w:rPr>
        <w:t>In the SD Probe 2 (Variable Stimulus Durations), performance declined as stimulus duration decreased from 1 s to 0.25 s. Hit rate showed a significant reduction across shorter durations, indicating that mice were less able to detect the target stimulus under increased temporal constraints. Correspondingly, the sensitivity index (d′) decreased with shorter durations, reflecting reduced perceptual discrimination. False alarm rate remained relatively stable, while response criterion (c) increased slightly at the shortest duration, suggesting that animals adopted a more conservative response strategy as task difficulty increased</w:t>
      </w:r>
      <w:r>
        <w:rPr>
          <w:rFonts w:asciiTheme="majorBidi" w:hAnsiTheme="majorBidi" w:cstheme="majorBidi"/>
          <w:sz w:val="24"/>
          <w:szCs w:val="24"/>
        </w:rPr>
        <w:t xml:space="preserve"> (Figure </w:t>
      </w:r>
      <w:r w:rsidR="00241658">
        <w:rPr>
          <w:rFonts w:asciiTheme="majorBidi" w:hAnsiTheme="majorBidi" w:cstheme="majorBidi"/>
          <w:sz w:val="24"/>
          <w:szCs w:val="24"/>
        </w:rPr>
        <w:t>16</w:t>
      </w:r>
      <w:r>
        <w:rPr>
          <w:rFonts w:asciiTheme="majorBidi" w:hAnsiTheme="majorBidi" w:cstheme="majorBidi"/>
          <w:sz w:val="24"/>
          <w:szCs w:val="24"/>
        </w:rPr>
        <w:t>).</w:t>
      </w:r>
    </w:p>
    <w:p w14:paraId="7652A619" w14:textId="3273E7CB" w:rsidR="00A920B5" w:rsidRDefault="00734545" w:rsidP="00A920B5">
      <w:pPr>
        <w:spacing w:line="360" w:lineRule="auto"/>
        <w:ind w:left="1080"/>
        <w:jc w:val="center"/>
        <w:rPr>
          <w:rFonts w:asciiTheme="majorBidi" w:hAnsiTheme="majorBidi" w:cstheme="majorBidi"/>
          <w:sz w:val="24"/>
          <w:szCs w:val="24"/>
        </w:rPr>
      </w:pPr>
      <w:r>
        <w:rPr>
          <w:noProof/>
        </w:rPr>
        <w:object w:dxaOrig="11203" w:dyaOrig="12135" w14:anchorId="6186A314">
          <v:shape id="_x0000_i1048" type="#_x0000_t75" alt="" style="width:324pt;height:336pt;mso-width-percent:0;mso-height-percent:0;mso-width-percent:0;mso-height-percent:0" o:ole="">
            <v:imagedata r:id="rId73" o:title=""/>
          </v:shape>
          <o:OLEObject Type="Embed" ProgID="Prism8.Document" ShapeID="_x0000_i1048" DrawAspect="Content" ObjectID="_1838987207" r:id="rId74"/>
        </w:object>
      </w:r>
    </w:p>
    <w:p w14:paraId="474B9730" w14:textId="7CCA69D2" w:rsidR="00A920B5" w:rsidRPr="00241658" w:rsidRDefault="00A920B5" w:rsidP="00241658">
      <w:pPr>
        <w:ind w:left="1080"/>
        <w:jc w:val="both"/>
        <w:rPr>
          <w:rFonts w:asciiTheme="majorBidi" w:hAnsiTheme="majorBidi" w:cstheme="majorBidi"/>
        </w:rPr>
      </w:pPr>
      <w:r w:rsidRPr="00241658">
        <w:rPr>
          <w:rFonts w:asciiTheme="majorBidi" w:hAnsiTheme="majorBidi" w:cstheme="majorBidi"/>
          <w:b/>
          <w:bCs/>
        </w:rPr>
        <w:t xml:space="preserve">Figure </w:t>
      </w:r>
      <w:r w:rsidR="00EE3D19" w:rsidRPr="00241658">
        <w:rPr>
          <w:rFonts w:asciiTheme="majorBidi" w:hAnsiTheme="majorBidi" w:cstheme="majorBidi"/>
          <w:b/>
          <w:bCs/>
        </w:rPr>
        <w:t>16</w:t>
      </w:r>
      <w:r w:rsidRPr="00241658">
        <w:rPr>
          <w:rFonts w:asciiTheme="majorBidi" w:hAnsiTheme="majorBidi" w:cstheme="majorBidi"/>
          <w:b/>
          <w:bCs/>
        </w:rPr>
        <w:t>. Performance in the SD Probe 2 task across variable stimulus durations (1 s, 0.75 s, 0.5 s, 0.25 s).</w:t>
      </w:r>
      <w:r w:rsidR="00241658">
        <w:rPr>
          <w:rFonts w:asciiTheme="majorBidi" w:hAnsiTheme="majorBidi" w:cstheme="majorBidi"/>
        </w:rPr>
        <w:t xml:space="preserve"> </w:t>
      </w:r>
      <w:r w:rsidRPr="00241658">
        <w:rPr>
          <w:rFonts w:asciiTheme="majorBidi" w:hAnsiTheme="majorBidi" w:cstheme="majorBidi"/>
        </w:rPr>
        <w:t>Decreasing stimulus duration led to reduced hit rate and sensitivity index (d′), while the false alarm rate remained relatively stable and response criterion (c) increased, indicating a more conservative response strategy under shorter presentation times.</w:t>
      </w:r>
    </w:p>
    <w:p w14:paraId="466FA752" w14:textId="4472DFB6" w:rsidR="00A920B5" w:rsidRDefault="00A920B5" w:rsidP="00A920B5">
      <w:pPr>
        <w:ind w:left="1080"/>
        <w:rPr>
          <w:rFonts w:asciiTheme="majorBidi" w:hAnsiTheme="majorBidi" w:cstheme="majorBidi"/>
          <w:b/>
          <w:bCs/>
          <w:sz w:val="24"/>
          <w:szCs w:val="24"/>
        </w:rPr>
      </w:pPr>
    </w:p>
    <w:p w14:paraId="05FD2AAD" w14:textId="63BE5038" w:rsidR="00A920B5" w:rsidRDefault="00A920B5" w:rsidP="00A920B5">
      <w:pPr>
        <w:ind w:left="1080"/>
        <w:rPr>
          <w:rFonts w:asciiTheme="majorBidi" w:hAnsiTheme="majorBidi" w:cstheme="majorBidi"/>
          <w:b/>
          <w:bCs/>
          <w:sz w:val="24"/>
          <w:szCs w:val="24"/>
        </w:rPr>
      </w:pPr>
      <w:r>
        <w:rPr>
          <w:rFonts w:asciiTheme="majorBidi" w:hAnsiTheme="majorBidi" w:cstheme="majorBidi"/>
          <w:b/>
          <w:bCs/>
          <w:sz w:val="24"/>
          <w:szCs w:val="24"/>
        </w:rPr>
        <w:t>rCPT Probe (Stimulus Contrast)</w:t>
      </w:r>
    </w:p>
    <w:p w14:paraId="1939C2B7" w14:textId="677FD4EA" w:rsidR="00E46479" w:rsidRPr="00806264" w:rsidRDefault="00806264" w:rsidP="00806264">
      <w:pPr>
        <w:spacing w:line="360" w:lineRule="auto"/>
        <w:ind w:left="1080"/>
        <w:jc w:val="both"/>
        <w:rPr>
          <w:rFonts w:asciiTheme="majorBidi" w:hAnsiTheme="majorBidi" w:cstheme="majorBidi"/>
          <w:sz w:val="24"/>
          <w:szCs w:val="24"/>
        </w:rPr>
      </w:pPr>
      <w:r w:rsidRPr="00806264">
        <w:rPr>
          <w:rFonts w:asciiTheme="majorBidi" w:hAnsiTheme="majorBidi" w:cstheme="majorBidi"/>
          <w:sz w:val="24"/>
          <w:szCs w:val="24"/>
        </w:rPr>
        <w:t xml:space="preserve">In the Stimulus Contrast Probe, a clear decline in performance was observed as contrast levels decreased from 100% to 12.5%. The hit rate showed a steady reduction, indicating that mice were less able to correctly detect target stimuli at lower contrast levels. The false alarm rate increased slightly as contrast decreased, suggesting a modest rise in incorrect responses to non-target stimuli. The sensitivity index (d′) also decreased markedly with lower contrast, reflecting reduced perceptual discrimination. In contrast, the response criterion (c) gradually increased, indicating that mice adopted a more conservative response </w:t>
      </w:r>
      <w:r w:rsidRPr="00806264">
        <w:rPr>
          <w:rFonts w:asciiTheme="majorBidi" w:hAnsiTheme="majorBidi" w:cstheme="majorBidi"/>
          <w:sz w:val="24"/>
          <w:szCs w:val="24"/>
        </w:rPr>
        <w:lastRenderedPageBreak/>
        <w:t>bias, responding only when more confident under low-contrast conditions</w:t>
      </w:r>
      <w:r>
        <w:rPr>
          <w:rFonts w:asciiTheme="majorBidi" w:hAnsiTheme="majorBidi" w:cstheme="majorBidi"/>
          <w:sz w:val="24"/>
          <w:szCs w:val="24"/>
        </w:rPr>
        <w:t xml:space="preserve"> (Figure</w:t>
      </w:r>
      <w:r w:rsidR="00241658">
        <w:rPr>
          <w:rFonts w:asciiTheme="majorBidi" w:hAnsiTheme="majorBidi" w:cstheme="majorBidi"/>
          <w:sz w:val="24"/>
          <w:szCs w:val="24"/>
        </w:rPr>
        <w:t xml:space="preserve"> 17</w:t>
      </w:r>
      <w:r>
        <w:rPr>
          <w:rFonts w:asciiTheme="majorBidi" w:hAnsiTheme="majorBidi" w:cstheme="majorBidi"/>
          <w:sz w:val="24"/>
          <w:szCs w:val="24"/>
        </w:rPr>
        <w:t>)</w:t>
      </w:r>
      <w:r w:rsidRPr="00806264">
        <w:rPr>
          <w:rFonts w:asciiTheme="majorBidi" w:hAnsiTheme="majorBidi" w:cstheme="majorBidi"/>
          <w:sz w:val="24"/>
          <w:szCs w:val="24"/>
        </w:rPr>
        <w:t>.</w:t>
      </w:r>
    </w:p>
    <w:p w14:paraId="1FF78666" w14:textId="4AC0C74B" w:rsidR="00E46479" w:rsidRDefault="00734545" w:rsidP="00A920B5">
      <w:pPr>
        <w:ind w:left="1080"/>
        <w:rPr>
          <w:rFonts w:asciiTheme="majorBidi" w:hAnsiTheme="majorBidi" w:cstheme="majorBidi"/>
          <w:b/>
          <w:bCs/>
          <w:sz w:val="24"/>
          <w:szCs w:val="24"/>
        </w:rPr>
      </w:pPr>
      <w:r>
        <w:rPr>
          <w:noProof/>
        </w:rPr>
        <w:object w:dxaOrig="11244" w:dyaOrig="11923" w14:anchorId="7C163F3F">
          <v:shape id="_x0000_i1049" type="#_x0000_t75" alt="" style="width:337.8pt;height:379.8pt;mso-width-percent:0;mso-height-percent:0;mso-width-percent:0;mso-height-percent:0" o:ole="">
            <v:imagedata r:id="rId75" o:title=""/>
          </v:shape>
          <o:OLEObject Type="Embed" ProgID="Prism8.Document" ShapeID="_x0000_i1049" DrawAspect="Content" ObjectID="_1838987208" r:id="rId76"/>
        </w:object>
      </w:r>
    </w:p>
    <w:p w14:paraId="5FB864EE" w14:textId="350A0346" w:rsidR="00806264" w:rsidRPr="00241658" w:rsidRDefault="00806264" w:rsidP="00806264">
      <w:pPr>
        <w:ind w:left="1080"/>
        <w:jc w:val="both"/>
        <w:rPr>
          <w:rFonts w:asciiTheme="majorBidi" w:hAnsiTheme="majorBidi" w:cstheme="majorBidi"/>
        </w:rPr>
      </w:pPr>
      <w:r w:rsidRPr="00241658">
        <w:rPr>
          <w:rFonts w:asciiTheme="majorBidi" w:hAnsiTheme="majorBidi" w:cstheme="majorBidi"/>
          <w:b/>
          <w:bCs/>
        </w:rPr>
        <w:t xml:space="preserve">Figure </w:t>
      </w:r>
      <w:r w:rsidR="00EE3D19" w:rsidRPr="00241658">
        <w:rPr>
          <w:rFonts w:asciiTheme="majorBidi" w:hAnsiTheme="majorBidi" w:cstheme="majorBidi"/>
          <w:b/>
          <w:bCs/>
        </w:rPr>
        <w:t>17</w:t>
      </w:r>
      <w:r w:rsidRPr="00241658">
        <w:rPr>
          <w:rFonts w:asciiTheme="majorBidi" w:hAnsiTheme="majorBidi" w:cstheme="majorBidi"/>
          <w:b/>
          <w:bCs/>
        </w:rPr>
        <w:t>.</w:t>
      </w:r>
      <w:r w:rsidRPr="00241658">
        <w:rPr>
          <w:rFonts w:asciiTheme="majorBidi" w:hAnsiTheme="majorBidi" w:cstheme="majorBidi"/>
        </w:rPr>
        <w:t xml:space="preserve"> </w:t>
      </w:r>
      <w:r w:rsidRPr="00241658">
        <w:rPr>
          <w:rFonts w:asciiTheme="majorBidi" w:hAnsiTheme="majorBidi" w:cstheme="majorBidi"/>
          <w:b/>
          <w:bCs/>
        </w:rPr>
        <w:t>Performance in the Stimulus Contrast Probe.</w:t>
      </w:r>
      <w:r w:rsidRPr="00241658">
        <w:rPr>
          <w:rFonts w:asciiTheme="majorBidi" w:hAnsiTheme="majorBidi" w:cstheme="majorBidi"/>
        </w:rPr>
        <w:t xml:space="preserve"> As stimulus contrast decreased from 100% to 12.5%, hit rate and sensitivity index (d′) declined, indicating reduced detection accuracy and perceptual sensitivity. False alarm rate showed a slight increase, while response criterion (c) increased across lower contrast levels, reflecting a shift toward a more conservative response strategy under difficult visual conditions.</w:t>
      </w:r>
    </w:p>
    <w:p w14:paraId="41541237" w14:textId="40629D2E" w:rsidR="00A920B5" w:rsidRDefault="00A920B5" w:rsidP="00A920B5">
      <w:pPr>
        <w:ind w:left="1080"/>
        <w:rPr>
          <w:rFonts w:asciiTheme="majorBidi" w:hAnsiTheme="majorBidi" w:cstheme="majorBidi"/>
          <w:sz w:val="24"/>
          <w:szCs w:val="24"/>
        </w:rPr>
      </w:pPr>
    </w:p>
    <w:p w14:paraId="2234C382" w14:textId="00FCB706" w:rsidR="00806264" w:rsidRDefault="00806264" w:rsidP="00A920B5">
      <w:pPr>
        <w:ind w:left="1080"/>
        <w:rPr>
          <w:rFonts w:asciiTheme="majorBidi" w:hAnsiTheme="majorBidi" w:cstheme="majorBidi"/>
          <w:b/>
          <w:bCs/>
          <w:sz w:val="24"/>
          <w:szCs w:val="24"/>
        </w:rPr>
      </w:pPr>
      <w:r>
        <w:rPr>
          <w:rFonts w:asciiTheme="majorBidi" w:hAnsiTheme="majorBidi" w:cstheme="majorBidi"/>
          <w:b/>
          <w:bCs/>
          <w:sz w:val="24"/>
          <w:szCs w:val="24"/>
        </w:rPr>
        <w:t>rCPT Probe (Flanker Distractor)</w:t>
      </w:r>
    </w:p>
    <w:p w14:paraId="492BB1C3" w14:textId="7F4BA5E7" w:rsidR="00806264" w:rsidRDefault="00806264" w:rsidP="00806264">
      <w:pPr>
        <w:spacing w:line="360" w:lineRule="auto"/>
        <w:ind w:left="1080"/>
        <w:jc w:val="both"/>
        <w:rPr>
          <w:rFonts w:asciiTheme="majorBidi" w:hAnsiTheme="majorBidi" w:cstheme="majorBidi"/>
          <w:sz w:val="24"/>
          <w:szCs w:val="24"/>
        </w:rPr>
      </w:pPr>
      <w:r w:rsidRPr="00806264">
        <w:rPr>
          <w:rFonts w:asciiTheme="majorBidi" w:hAnsiTheme="majorBidi" w:cstheme="majorBidi"/>
          <w:sz w:val="24"/>
          <w:szCs w:val="24"/>
        </w:rPr>
        <w:t xml:space="preserve">In the Flanker Distractor Probe, the presence and type of distractor (congruent or incongruent) did not significantly affect task performance. The hit rate remained similar across non-distractor, congruent, and incongruent conditions, indicating that distractor stimuli had minimal impact on target detection accuracy. Likewise, the false alarm rate </w:t>
      </w:r>
      <w:r w:rsidRPr="00806264">
        <w:rPr>
          <w:rFonts w:asciiTheme="majorBidi" w:hAnsiTheme="majorBidi" w:cstheme="majorBidi"/>
          <w:sz w:val="24"/>
          <w:szCs w:val="24"/>
        </w:rPr>
        <w:lastRenderedPageBreak/>
        <w:t>showed no substantial differences between conditions, suggesting that distractors did not increase impulsive responding. Both sensitivity index (d′) and response criterion (c) remained stable, demonstrating that visual interference from distractors did not alter perceptual discrimination or response bias in the mice</w:t>
      </w:r>
      <w:r w:rsidR="00241658">
        <w:rPr>
          <w:rFonts w:asciiTheme="majorBidi" w:hAnsiTheme="majorBidi" w:cstheme="majorBidi"/>
          <w:sz w:val="24"/>
          <w:szCs w:val="24"/>
        </w:rPr>
        <w:t xml:space="preserve"> (Figure 18)</w:t>
      </w:r>
      <w:r w:rsidRPr="00806264">
        <w:rPr>
          <w:rFonts w:asciiTheme="majorBidi" w:hAnsiTheme="majorBidi" w:cstheme="majorBidi"/>
          <w:sz w:val="24"/>
          <w:szCs w:val="24"/>
        </w:rPr>
        <w:t>.</w:t>
      </w:r>
    </w:p>
    <w:p w14:paraId="16EF98CB" w14:textId="4BC13177" w:rsidR="00806264" w:rsidRPr="00806264" w:rsidRDefault="00734545" w:rsidP="00806264">
      <w:pPr>
        <w:spacing w:line="360" w:lineRule="auto"/>
        <w:ind w:left="1080"/>
        <w:jc w:val="both"/>
        <w:rPr>
          <w:rFonts w:asciiTheme="majorBidi" w:hAnsiTheme="majorBidi" w:cstheme="majorBidi"/>
          <w:sz w:val="24"/>
          <w:szCs w:val="24"/>
        </w:rPr>
      </w:pPr>
      <w:r>
        <w:rPr>
          <w:noProof/>
        </w:rPr>
        <w:object w:dxaOrig="11090" w:dyaOrig="14345" w14:anchorId="4A2CBB8E">
          <v:shape id="_x0000_i1050" type="#_x0000_t75" alt="" style="width:343.2pt;height:354.6pt;mso-width-percent:0;mso-height-percent:0;mso-width-percent:0;mso-height-percent:0" o:ole="">
            <v:imagedata r:id="rId77" o:title=""/>
          </v:shape>
          <o:OLEObject Type="Embed" ProgID="Prism8.Document" ShapeID="_x0000_i1050" DrawAspect="Content" ObjectID="_1838987209" r:id="rId78"/>
        </w:object>
      </w:r>
    </w:p>
    <w:p w14:paraId="4718989D" w14:textId="618E8414" w:rsidR="00806264" w:rsidRPr="005B4E03" w:rsidRDefault="00806264" w:rsidP="00806264">
      <w:pPr>
        <w:ind w:left="1080"/>
        <w:jc w:val="both"/>
        <w:rPr>
          <w:rFonts w:asciiTheme="majorBidi" w:hAnsiTheme="majorBidi" w:cstheme="majorBidi"/>
          <w:b/>
          <w:bCs/>
        </w:rPr>
      </w:pPr>
      <w:r w:rsidRPr="005B4E03">
        <w:rPr>
          <w:rFonts w:asciiTheme="majorBidi" w:hAnsiTheme="majorBidi" w:cstheme="majorBidi"/>
          <w:b/>
          <w:bCs/>
        </w:rPr>
        <w:t xml:space="preserve">Figure </w:t>
      </w:r>
      <w:r w:rsidR="00EE3D19" w:rsidRPr="005B4E03">
        <w:rPr>
          <w:rFonts w:asciiTheme="majorBidi" w:hAnsiTheme="majorBidi" w:cstheme="majorBidi"/>
          <w:b/>
          <w:bCs/>
        </w:rPr>
        <w:t>18</w:t>
      </w:r>
      <w:r w:rsidRPr="005B4E03">
        <w:rPr>
          <w:rFonts w:asciiTheme="majorBidi" w:hAnsiTheme="majorBidi" w:cstheme="majorBidi"/>
          <w:b/>
          <w:bCs/>
        </w:rPr>
        <w:t>. Performance in the Flanker Distractor Probe.</w:t>
      </w:r>
      <w:r w:rsidRPr="005B4E03">
        <w:rPr>
          <w:rFonts w:asciiTheme="majorBidi" w:hAnsiTheme="majorBidi" w:cstheme="majorBidi"/>
        </w:rPr>
        <w:t xml:space="preserve"> No significant differences were observed among non-distractor, congruent, and incongruent conditions for hit rate, false alarm rate, sensitivity index (d′), or response criterion (c), indicating that the presence of flanker distractors did not affect attentional performance.</w:t>
      </w:r>
    </w:p>
    <w:p w14:paraId="7A0623B6" w14:textId="77777777" w:rsidR="00806264" w:rsidRPr="00A920B5" w:rsidRDefault="00806264" w:rsidP="00A920B5">
      <w:pPr>
        <w:ind w:left="1080"/>
        <w:rPr>
          <w:rFonts w:asciiTheme="majorBidi" w:hAnsiTheme="majorBidi" w:cstheme="majorBidi"/>
          <w:b/>
          <w:bCs/>
          <w:sz w:val="24"/>
          <w:szCs w:val="24"/>
        </w:rPr>
      </w:pPr>
    </w:p>
    <w:p w14:paraId="3C476AC1" w14:textId="77777777" w:rsidR="00467D00" w:rsidRPr="00A920B5" w:rsidRDefault="00467D00" w:rsidP="00685857">
      <w:pPr>
        <w:ind w:left="1080"/>
        <w:rPr>
          <w:rFonts w:asciiTheme="majorBidi" w:hAnsiTheme="majorBidi" w:cstheme="majorBidi"/>
          <w:b/>
          <w:bCs/>
          <w:sz w:val="24"/>
          <w:szCs w:val="24"/>
        </w:rPr>
      </w:pPr>
    </w:p>
    <w:p w14:paraId="6D4A2EA0" w14:textId="7D281D84" w:rsidR="00A56F79" w:rsidRPr="00F71F57" w:rsidRDefault="00A56F79" w:rsidP="00C42048">
      <w:pPr>
        <w:ind w:left="1080"/>
        <w:rPr>
          <w:rFonts w:asciiTheme="majorBidi" w:hAnsiTheme="majorBidi" w:cstheme="majorBidi"/>
          <w:lang w:val="en-GB"/>
        </w:rPr>
      </w:pPr>
    </w:p>
    <w:p w14:paraId="711BEDD5" w14:textId="77777777" w:rsidR="00241658" w:rsidRDefault="00241658" w:rsidP="0026725C">
      <w:pPr>
        <w:ind w:left="1080"/>
        <w:rPr>
          <w:rFonts w:asciiTheme="majorBidi" w:hAnsiTheme="majorBidi" w:cstheme="majorBidi"/>
          <w:b/>
          <w:bCs/>
          <w:sz w:val="24"/>
          <w:szCs w:val="24"/>
          <w:lang w:val="en-GB"/>
        </w:rPr>
      </w:pPr>
    </w:p>
    <w:p w14:paraId="63F7C890" w14:textId="77777777" w:rsidR="00241658" w:rsidRDefault="00241658" w:rsidP="0026725C">
      <w:pPr>
        <w:ind w:left="1080"/>
        <w:rPr>
          <w:rFonts w:asciiTheme="majorBidi" w:hAnsiTheme="majorBidi" w:cstheme="majorBidi"/>
          <w:b/>
          <w:bCs/>
          <w:sz w:val="24"/>
          <w:szCs w:val="24"/>
          <w:lang w:val="en-GB"/>
        </w:rPr>
      </w:pPr>
    </w:p>
    <w:p w14:paraId="236C49CA" w14:textId="577FFC1D" w:rsidR="0026725C" w:rsidRPr="00F71F57" w:rsidRDefault="0026725C" w:rsidP="00984E32">
      <w:pPr>
        <w:pStyle w:val="Heading4"/>
      </w:pPr>
      <w:bookmarkStart w:id="69" w:name="_Toc214875873"/>
      <w:r w:rsidRPr="00F71F57">
        <w:lastRenderedPageBreak/>
        <w:t>3.1.1.6 4-Choice Gambling Task(4-CGT)</w:t>
      </w:r>
      <w:bookmarkEnd w:id="69"/>
    </w:p>
    <w:p w14:paraId="7998C48E" w14:textId="2C1A8A61" w:rsidR="00B53E86" w:rsidRPr="00F71F57" w:rsidRDefault="00B53E86" w:rsidP="0026725C">
      <w:pPr>
        <w:ind w:left="1080"/>
        <w:rPr>
          <w:rFonts w:asciiTheme="majorBidi" w:hAnsiTheme="majorBidi" w:cstheme="majorBidi"/>
          <w:b/>
          <w:bCs/>
          <w:sz w:val="24"/>
          <w:szCs w:val="24"/>
          <w:lang w:val="en-GB"/>
        </w:rPr>
      </w:pPr>
      <w:r w:rsidRPr="00F71F57">
        <w:rPr>
          <w:rFonts w:asciiTheme="majorBidi" w:hAnsiTheme="majorBidi" w:cstheme="majorBidi"/>
          <w:b/>
          <w:bCs/>
          <w:sz w:val="24"/>
          <w:szCs w:val="24"/>
          <w:lang w:val="en-GB"/>
        </w:rPr>
        <w:t>Training session</w:t>
      </w:r>
    </w:p>
    <w:p w14:paraId="56ABBD46" w14:textId="00698F0E" w:rsidR="00806264" w:rsidRPr="00806264" w:rsidRDefault="003D1357" w:rsidP="00806264">
      <w:pPr>
        <w:spacing w:line="360" w:lineRule="auto"/>
        <w:ind w:left="1080"/>
        <w:jc w:val="both"/>
        <w:rPr>
          <w:rFonts w:asciiTheme="majorBidi" w:hAnsiTheme="majorBidi" w:cstheme="majorBidi"/>
          <w:lang w:val="en-GB"/>
        </w:rPr>
      </w:pPr>
      <w:r w:rsidRPr="00F71F57">
        <w:rPr>
          <w:rFonts w:asciiTheme="majorBidi" w:hAnsiTheme="majorBidi" w:cstheme="majorBidi"/>
          <w:sz w:val="24"/>
          <w:szCs w:val="24"/>
          <w:lang w:val="en-GB"/>
        </w:rPr>
        <w:t xml:space="preserve">During the training phase of the 4-CGT, mice showed a progressive improvement in task performance (Figure </w:t>
      </w:r>
      <w:r w:rsidR="00241658">
        <w:rPr>
          <w:rFonts w:asciiTheme="majorBidi" w:hAnsiTheme="majorBidi" w:cstheme="majorBidi"/>
          <w:sz w:val="24"/>
          <w:szCs w:val="24"/>
          <w:lang w:val="en-GB"/>
        </w:rPr>
        <w:t>19</w:t>
      </w:r>
      <w:r w:rsidRPr="00F71F57">
        <w:rPr>
          <w:rFonts w:asciiTheme="majorBidi" w:hAnsiTheme="majorBidi" w:cstheme="majorBidi"/>
          <w:sz w:val="24"/>
          <w:szCs w:val="24"/>
          <w:lang w:val="en-GB"/>
        </w:rPr>
        <w:t>). Accuracy significantly increased across sessions 9–12, indicating that animals successfully acquired the discrimination required for the task. Correspondingly, omission rates rose across sessions, with significantly higher omissions observed in later sessions (p &lt; 0.0001), though they remained within acceptable limits for task performance.</w:t>
      </w:r>
      <w:r w:rsidRPr="00F71F57">
        <w:rPr>
          <w:rFonts w:ascii="Times New Roman" w:eastAsia="Times New Roman" w:hAnsi="Times New Roman" w:cs="Times New Roman"/>
          <w:sz w:val="24"/>
          <w:szCs w:val="24"/>
          <w:lang w:val="en-GB"/>
        </w:rPr>
        <w:t xml:space="preserve"> </w:t>
      </w:r>
      <w:r w:rsidRPr="00F71F57">
        <w:rPr>
          <w:rFonts w:asciiTheme="majorBidi" w:hAnsiTheme="majorBidi" w:cstheme="majorBidi"/>
          <w:lang w:val="en-GB"/>
        </w:rPr>
        <w:t>Together, these findings confirm that animals reached stable and reliable performance levels during training, providing a valid baseline for subsequent testing of decision-making under risk.</w:t>
      </w:r>
    </w:p>
    <w:p w14:paraId="4606EFC7" w14:textId="528AA994" w:rsidR="00806264" w:rsidRDefault="00734545" w:rsidP="00A927D5">
      <w:pPr>
        <w:ind w:left="1080"/>
        <w:jc w:val="center"/>
        <w:rPr>
          <w:noProof/>
          <w:lang w:val="en-GB"/>
        </w:rPr>
      </w:pPr>
      <w:r>
        <w:rPr>
          <w:noProof/>
        </w:rPr>
        <w:object w:dxaOrig="8916" w:dyaOrig="13637" w14:anchorId="140C09E9">
          <v:shape id="_x0000_i1051" type="#_x0000_t75" alt="" style="width:356.4pt;height:385.8pt;mso-width-percent:0;mso-height-percent:0;mso-width-percent:0;mso-height-percent:0" o:ole="">
            <v:imagedata r:id="rId79" o:title=""/>
          </v:shape>
          <o:OLEObject Type="Embed" ProgID="Prism8.Document" ShapeID="_x0000_i1051" DrawAspect="Content" ObjectID="_1838987210" r:id="rId80"/>
        </w:object>
      </w:r>
    </w:p>
    <w:p w14:paraId="54DB7CCC" w14:textId="36566B55" w:rsidR="00B53E86" w:rsidRPr="00F71F57" w:rsidRDefault="00B53E86" w:rsidP="00A927D5">
      <w:pPr>
        <w:ind w:left="1080"/>
        <w:jc w:val="center"/>
        <w:rPr>
          <w:rFonts w:asciiTheme="majorBidi" w:hAnsiTheme="majorBidi" w:cstheme="majorBidi"/>
          <w:b/>
          <w:bCs/>
          <w:sz w:val="24"/>
          <w:szCs w:val="24"/>
          <w:lang w:val="en-GB"/>
        </w:rPr>
      </w:pPr>
    </w:p>
    <w:p w14:paraId="1AADF778" w14:textId="1EFB7A1C" w:rsidR="00B53E86" w:rsidRPr="00F71F57" w:rsidRDefault="00B53E86" w:rsidP="0026725C">
      <w:pPr>
        <w:ind w:left="1080"/>
        <w:rPr>
          <w:rFonts w:asciiTheme="majorBidi" w:hAnsiTheme="majorBidi" w:cstheme="majorBidi"/>
          <w:b/>
          <w:bCs/>
          <w:sz w:val="24"/>
          <w:szCs w:val="24"/>
          <w:lang w:val="en-GB"/>
        </w:rPr>
      </w:pPr>
    </w:p>
    <w:p w14:paraId="02E81E11" w14:textId="1DD61D56" w:rsidR="00A05201" w:rsidRPr="00A05201" w:rsidRDefault="003D1357" w:rsidP="00A05201">
      <w:pPr>
        <w:ind w:left="1080"/>
        <w:rPr>
          <w:rFonts w:asciiTheme="majorBidi" w:hAnsiTheme="majorBidi" w:cstheme="majorBidi"/>
          <w:lang w:val="en-GB"/>
        </w:rPr>
      </w:pPr>
      <w:r w:rsidRPr="00F71F57">
        <w:rPr>
          <w:rFonts w:asciiTheme="majorBidi" w:hAnsiTheme="majorBidi" w:cstheme="majorBidi"/>
          <w:b/>
          <w:bCs/>
          <w:lang w:val="en-GB"/>
        </w:rPr>
        <w:t xml:space="preserve">Figure </w:t>
      </w:r>
      <w:r w:rsidR="00EE3D19">
        <w:rPr>
          <w:rFonts w:asciiTheme="majorBidi" w:hAnsiTheme="majorBidi" w:cstheme="majorBidi"/>
          <w:b/>
          <w:bCs/>
          <w:lang w:val="en-GB"/>
        </w:rPr>
        <w:t>19</w:t>
      </w:r>
      <w:r w:rsidRPr="00F71F57">
        <w:rPr>
          <w:rFonts w:asciiTheme="majorBidi" w:hAnsiTheme="majorBidi" w:cstheme="majorBidi"/>
          <w:b/>
          <w:bCs/>
          <w:lang w:val="en-GB"/>
        </w:rPr>
        <w:t>. Training performance of C57BL/6 mice (n = 14) in the 4-choice gambling task (4-CGT).</w:t>
      </w:r>
      <w:r w:rsidRPr="00F71F57">
        <w:rPr>
          <w:rFonts w:asciiTheme="majorBidi" w:hAnsiTheme="majorBidi" w:cstheme="majorBidi"/>
          <w:b/>
          <w:bCs/>
          <w:lang w:val="en-GB"/>
        </w:rPr>
        <w:br/>
      </w:r>
      <w:r w:rsidRPr="00F71F57">
        <w:rPr>
          <w:rFonts w:asciiTheme="majorBidi" w:hAnsiTheme="majorBidi" w:cstheme="majorBidi"/>
          <w:lang w:val="en-GB"/>
        </w:rPr>
        <w:t>(</w:t>
      </w:r>
      <w:r w:rsidR="00A927D5">
        <w:rPr>
          <w:rFonts w:asciiTheme="majorBidi" w:hAnsiTheme="majorBidi" w:cstheme="majorBidi"/>
          <w:lang w:val="en-GB"/>
        </w:rPr>
        <w:t>Top</w:t>
      </w:r>
      <w:r w:rsidRPr="00F71F57">
        <w:rPr>
          <w:rFonts w:asciiTheme="majorBidi" w:hAnsiTheme="majorBidi" w:cstheme="majorBidi"/>
          <w:lang w:val="en-GB"/>
        </w:rPr>
        <w:t>) Accuracy (%) significantly increased across training sessions 9–12, demonstrating successful acquisition of task performance (*p &lt; 0.05, **p &lt; 0.01, ***p &lt; 0.001). (</w:t>
      </w:r>
      <w:r w:rsidR="00A927D5">
        <w:rPr>
          <w:rFonts w:asciiTheme="majorBidi" w:hAnsiTheme="majorBidi" w:cstheme="majorBidi"/>
          <w:lang w:val="en-GB"/>
        </w:rPr>
        <w:t>Bottom</w:t>
      </w:r>
      <w:r w:rsidRPr="00F71F57">
        <w:rPr>
          <w:rFonts w:asciiTheme="majorBidi" w:hAnsiTheme="majorBidi" w:cstheme="majorBidi"/>
          <w:lang w:val="en-GB"/>
        </w:rPr>
        <w:t>) Omission rate (%) across sessions. Omissions increased significantly across sessions but remained within acceptable performance thresholds (****p &lt; 0.0001, ns = not significant). Data are presented as mean ± SEM.</w:t>
      </w:r>
    </w:p>
    <w:p w14:paraId="2DAC940B" w14:textId="007C807A" w:rsidR="00B53E86" w:rsidRPr="00F71F57" w:rsidRDefault="00BE33D4" w:rsidP="007323CF">
      <w:pPr>
        <w:ind w:left="1080"/>
        <w:rPr>
          <w:rFonts w:asciiTheme="majorBidi" w:hAnsiTheme="majorBidi" w:cstheme="majorBidi"/>
          <w:b/>
          <w:bCs/>
          <w:sz w:val="24"/>
          <w:szCs w:val="24"/>
          <w:rtl/>
          <w:lang w:val="en-GB"/>
        </w:rPr>
      </w:pPr>
      <w:r w:rsidRPr="00F71F57">
        <w:rPr>
          <w:rFonts w:asciiTheme="majorBidi" w:hAnsiTheme="majorBidi" w:cstheme="majorBidi"/>
          <w:b/>
          <w:bCs/>
          <w:sz w:val="24"/>
          <w:szCs w:val="24"/>
          <w:lang w:val="en-GB"/>
        </w:rPr>
        <w:t>Forced choice</w:t>
      </w:r>
    </w:p>
    <w:p w14:paraId="4595835C" w14:textId="6F47D7A9" w:rsidR="001E6718" w:rsidRDefault="00BE33D4" w:rsidP="00386D60">
      <w:pPr>
        <w:spacing w:line="360" w:lineRule="auto"/>
        <w:ind w:left="1080"/>
        <w:jc w:val="both"/>
      </w:pPr>
      <w:r w:rsidRPr="00F71F57">
        <w:rPr>
          <w:rFonts w:asciiTheme="majorBidi" w:hAnsiTheme="majorBidi" w:cstheme="majorBidi"/>
          <w:sz w:val="24"/>
          <w:szCs w:val="24"/>
          <w:lang w:val="en-GB"/>
        </w:rPr>
        <w:t>During the forced-choice phase, mice completed trials across the four option sets (A–D), each associated with distinct reward and punishment schedules. This stage ensured that animals experienced all contingencies while controlling for potential location bias.</w:t>
      </w:r>
      <w:r w:rsidRPr="00F71F57">
        <w:rPr>
          <w:rFonts w:asciiTheme="majorBidi" w:hAnsiTheme="majorBidi" w:cstheme="majorBidi"/>
          <w:sz w:val="24"/>
          <w:szCs w:val="24"/>
          <w:rtl/>
          <w:lang w:val="en-GB"/>
        </w:rPr>
        <w:t xml:space="preserve"> </w:t>
      </w:r>
      <w:r w:rsidRPr="00F71F57">
        <w:rPr>
          <w:rFonts w:asciiTheme="majorBidi" w:hAnsiTheme="majorBidi" w:cstheme="majorBidi"/>
          <w:sz w:val="24"/>
          <w:szCs w:val="24"/>
          <w:lang w:val="en-GB"/>
        </w:rPr>
        <w:t xml:space="preserve">Analysis of win counters showed no significant differences across sets (Figure </w:t>
      </w:r>
      <w:r w:rsidR="00241658">
        <w:rPr>
          <w:rFonts w:asciiTheme="majorBidi" w:hAnsiTheme="majorBidi" w:cstheme="majorBidi"/>
          <w:sz w:val="24"/>
          <w:szCs w:val="24"/>
          <w:lang w:val="en-GB"/>
        </w:rPr>
        <w:t>20</w:t>
      </w:r>
      <w:r w:rsidRPr="00F71F57">
        <w:rPr>
          <w:rFonts w:asciiTheme="majorBidi" w:hAnsiTheme="majorBidi" w:cstheme="majorBidi"/>
          <w:sz w:val="24"/>
          <w:szCs w:val="24"/>
          <w:lang w:val="en-GB"/>
        </w:rPr>
        <w:t xml:space="preserve">), indicating that animals collected comparable numbers of rewards during forced-choice training. Omission rates were low overall and did not differ significantly between sets (Figure </w:t>
      </w:r>
      <w:r w:rsidR="00241658">
        <w:rPr>
          <w:rFonts w:asciiTheme="majorBidi" w:hAnsiTheme="majorBidi" w:cstheme="majorBidi"/>
          <w:sz w:val="24"/>
          <w:szCs w:val="24"/>
          <w:lang w:val="en-GB"/>
        </w:rPr>
        <w:t>20</w:t>
      </w:r>
      <w:r w:rsidRPr="00F71F57">
        <w:rPr>
          <w:rFonts w:asciiTheme="majorBidi" w:hAnsiTheme="majorBidi" w:cstheme="majorBidi"/>
          <w:sz w:val="24"/>
          <w:szCs w:val="24"/>
          <w:lang w:val="en-GB"/>
        </w:rPr>
        <w:t>).</w:t>
      </w:r>
      <w:r w:rsidRPr="00F71F57">
        <w:rPr>
          <w:rFonts w:asciiTheme="majorBidi" w:hAnsiTheme="majorBidi" w:cstheme="majorBidi"/>
          <w:sz w:val="24"/>
          <w:szCs w:val="24"/>
          <w:rtl/>
          <w:lang w:val="en-GB"/>
        </w:rPr>
        <w:t xml:space="preserve"> </w:t>
      </w:r>
      <w:r w:rsidRPr="00F71F57">
        <w:rPr>
          <w:rFonts w:asciiTheme="majorBidi" w:hAnsiTheme="majorBidi" w:cstheme="majorBidi"/>
          <w:sz w:val="24"/>
          <w:szCs w:val="24"/>
          <w:lang w:val="en-GB"/>
        </w:rPr>
        <w:t>These findings demonstrate that mice successfully engaged with the forced-choice phase, maintaining stable performance</w:t>
      </w:r>
      <w:r w:rsidR="00E511F1">
        <w:rPr>
          <w:rFonts w:asciiTheme="majorBidi" w:hAnsiTheme="majorBidi" w:cstheme="majorBidi"/>
          <w:sz w:val="24"/>
          <w:szCs w:val="24"/>
          <w:lang w:val="en-GB"/>
        </w:rPr>
        <w:t xml:space="preserve"> </w:t>
      </w:r>
      <w:r w:rsidRPr="00F71F57">
        <w:rPr>
          <w:rFonts w:asciiTheme="majorBidi" w:hAnsiTheme="majorBidi" w:cstheme="majorBidi"/>
          <w:sz w:val="24"/>
          <w:szCs w:val="24"/>
          <w:lang w:val="en-GB"/>
        </w:rPr>
        <w:t>across all sets.</w:t>
      </w:r>
      <w:r w:rsidR="00386D60" w:rsidRPr="00386D60">
        <w:t xml:space="preserve"> </w:t>
      </w:r>
    </w:p>
    <w:p w14:paraId="23C7F904" w14:textId="465061BB" w:rsidR="000B11F1" w:rsidRPr="006011D9" w:rsidRDefault="004326B5" w:rsidP="000B11F1">
      <w:pPr>
        <w:spacing w:line="360" w:lineRule="auto"/>
        <w:ind w:left="1080"/>
        <w:jc w:val="center"/>
        <w:rPr>
          <w:rFonts w:asciiTheme="majorBidi" w:hAnsiTheme="majorBidi" w:cstheme="majorBidi"/>
          <w:sz w:val="24"/>
          <w:szCs w:val="24"/>
          <w:rtl/>
          <w:lang w:val="it-IT"/>
        </w:rPr>
      </w:pPr>
      <w:r>
        <w:object w:dxaOrig="6211" w:dyaOrig="13951" w14:anchorId="2F2668EB">
          <v:shape id="_x0000_i1052" type="#_x0000_t75" style="width:228.6pt;height:291.6pt" o:ole="">
            <v:imagedata r:id="rId81" o:title=""/>
          </v:shape>
          <o:OLEObject Type="Embed" ProgID="Prism8.Document" ShapeID="_x0000_i1052" DrawAspect="Content" ObjectID="_1838987211" r:id="rId82"/>
        </w:object>
      </w:r>
    </w:p>
    <w:p w14:paraId="349EB09E" w14:textId="4A8B7E2E" w:rsidR="00C42048" w:rsidRPr="00F71F57" w:rsidRDefault="00B53E86" w:rsidP="00B53E86">
      <w:pPr>
        <w:ind w:left="1080"/>
        <w:rPr>
          <w:rFonts w:asciiTheme="majorBidi" w:hAnsiTheme="majorBidi" w:cstheme="majorBidi"/>
          <w:b/>
          <w:bCs/>
          <w:rtl/>
          <w:lang w:val="en-GB"/>
        </w:rPr>
      </w:pPr>
      <w:r w:rsidRPr="00F71F57">
        <w:rPr>
          <w:rFonts w:asciiTheme="majorBidi" w:hAnsiTheme="majorBidi" w:cstheme="majorBidi"/>
          <w:b/>
          <w:bCs/>
          <w:lang w:val="en-GB"/>
        </w:rPr>
        <w:lastRenderedPageBreak/>
        <w:t xml:space="preserve">Figure </w:t>
      </w:r>
      <w:r w:rsidR="00EE3D19">
        <w:rPr>
          <w:rFonts w:asciiTheme="majorBidi" w:hAnsiTheme="majorBidi" w:cstheme="majorBidi"/>
          <w:b/>
          <w:bCs/>
          <w:lang w:val="en-GB"/>
        </w:rPr>
        <w:t>20</w:t>
      </w:r>
      <w:r w:rsidRPr="00F71F57">
        <w:rPr>
          <w:rFonts w:asciiTheme="majorBidi" w:hAnsiTheme="majorBidi" w:cstheme="majorBidi"/>
          <w:b/>
          <w:bCs/>
          <w:lang w:val="en-GB"/>
        </w:rPr>
        <w:t>. Performance of C57BL/6 mice (n = 14) in the forced-choice phase of the 4-choice gambling task (4-CGT).</w:t>
      </w:r>
    </w:p>
    <w:p w14:paraId="194334DB" w14:textId="42E7F6E2" w:rsidR="00BE33D4" w:rsidRPr="00F71F57" w:rsidRDefault="00BE33D4" w:rsidP="00BE33D4">
      <w:pPr>
        <w:ind w:left="1080"/>
        <w:rPr>
          <w:rFonts w:asciiTheme="majorBidi" w:hAnsiTheme="majorBidi" w:cstheme="majorBidi"/>
          <w:lang w:val="en-GB"/>
        </w:rPr>
      </w:pPr>
      <w:r w:rsidRPr="00F71F57">
        <w:rPr>
          <w:rFonts w:asciiTheme="majorBidi" w:hAnsiTheme="majorBidi" w:cstheme="majorBidi"/>
          <w:lang w:val="en-GB"/>
        </w:rPr>
        <w:t>Win counters across sets A–D during forced-choice training. No significant differences were observed between sets.  Omission rates (%) across sets</w:t>
      </w:r>
      <w:r w:rsidR="00BD52F1">
        <w:rPr>
          <w:rFonts w:asciiTheme="majorBidi" w:hAnsiTheme="majorBidi" w:cstheme="majorBidi"/>
          <w:lang w:val="en-GB"/>
        </w:rPr>
        <w:t xml:space="preserve"> </w:t>
      </w:r>
      <w:r w:rsidRPr="00F71F57">
        <w:rPr>
          <w:rFonts w:asciiTheme="majorBidi" w:hAnsiTheme="majorBidi" w:cstheme="majorBidi"/>
          <w:lang w:val="en-GB"/>
        </w:rPr>
        <w:t>remained low and stable. Data are presented as mean ± SEM.</w:t>
      </w:r>
    </w:p>
    <w:p w14:paraId="2331E0FA" w14:textId="77777777" w:rsidR="0025074B" w:rsidRDefault="0025074B" w:rsidP="00DB1225">
      <w:pPr>
        <w:rPr>
          <w:rFonts w:asciiTheme="majorBidi" w:hAnsiTheme="majorBidi" w:cstheme="majorBidi"/>
          <w:b/>
          <w:bCs/>
          <w:sz w:val="24"/>
          <w:szCs w:val="24"/>
          <w:lang w:val="en-GB"/>
        </w:rPr>
      </w:pPr>
    </w:p>
    <w:p w14:paraId="3229B450" w14:textId="4F30EE46" w:rsidR="007323CF" w:rsidRPr="00F71F57" w:rsidRDefault="007323CF" w:rsidP="00B53E86">
      <w:pPr>
        <w:ind w:left="1080"/>
        <w:rPr>
          <w:rFonts w:asciiTheme="majorBidi" w:hAnsiTheme="majorBidi" w:cstheme="majorBidi"/>
          <w:b/>
          <w:bCs/>
          <w:sz w:val="24"/>
          <w:szCs w:val="24"/>
          <w:lang w:val="en-GB"/>
        </w:rPr>
      </w:pPr>
      <w:r w:rsidRPr="00F71F57">
        <w:rPr>
          <w:rFonts w:asciiTheme="majorBidi" w:hAnsiTheme="majorBidi" w:cstheme="majorBidi"/>
          <w:b/>
          <w:bCs/>
          <w:sz w:val="24"/>
          <w:szCs w:val="24"/>
          <w:lang w:val="en-GB"/>
        </w:rPr>
        <w:t>Free choice</w:t>
      </w:r>
    </w:p>
    <w:p w14:paraId="6A8288DF" w14:textId="47809FC0" w:rsidR="00CE622E" w:rsidRPr="00CE622E" w:rsidRDefault="007E5EBC" w:rsidP="00CE622E">
      <w:pPr>
        <w:spacing w:line="360" w:lineRule="auto"/>
        <w:ind w:left="1080"/>
        <w:jc w:val="both"/>
        <w:rPr>
          <w:rFonts w:asciiTheme="majorBidi" w:hAnsiTheme="majorBidi" w:cstheme="majorBidi"/>
          <w:sz w:val="24"/>
          <w:szCs w:val="24"/>
          <w:lang w:val="en-GB"/>
        </w:rPr>
      </w:pPr>
      <w:r w:rsidRPr="00F71F57">
        <w:rPr>
          <w:rFonts w:asciiTheme="majorBidi" w:hAnsiTheme="majorBidi" w:cstheme="majorBidi"/>
          <w:sz w:val="24"/>
          <w:szCs w:val="24"/>
          <w:lang w:val="en-GB"/>
        </w:rPr>
        <w:t xml:space="preserve">In the free-choice phase of the 4-CGT, mice were allowed to choose freely among the four options, each differing in reward magnitude and punishment probability. Analysis of win counters revealed no significant differences in the number of collected rewards across sets A–D (Figure </w:t>
      </w:r>
      <w:r w:rsidR="00241658">
        <w:rPr>
          <w:rFonts w:asciiTheme="majorBidi" w:hAnsiTheme="majorBidi" w:cstheme="majorBidi"/>
          <w:sz w:val="24"/>
          <w:szCs w:val="24"/>
          <w:lang w:val="en-GB"/>
        </w:rPr>
        <w:t>21</w:t>
      </w:r>
      <w:r w:rsidRPr="00F71F57">
        <w:rPr>
          <w:rFonts w:asciiTheme="majorBidi" w:hAnsiTheme="majorBidi" w:cstheme="majorBidi"/>
          <w:sz w:val="24"/>
          <w:szCs w:val="24"/>
          <w:lang w:val="en-GB"/>
        </w:rPr>
        <w:t>).</w:t>
      </w:r>
      <w:r w:rsidRPr="00F71F57">
        <w:rPr>
          <w:rFonts w:asciiTheme="majorBidi" w:hAnsiTheme="majorBidi" w:cstheme="majorBidi"/>
          <w:sz w:val="24"/>
          <w:szCs w:val="24"/>
          <w:rtl/>
          <w:lang w:val="en-GB"/>
        </w:rPr>
        <w:t xml:space="preserve"> </w:t>
      </w:r>
      <w:r w:rsidRPr="00F71F57">
        <w:rPr>
          <w:rFonts w:asciiTheme="majorBidi" w:hAnsiTheme="majorBidi" w:cstheme="majorBidi"/>
          <w:sz w:val="24"/>
          <w:szCs w:val="24"/>
          <w:lang w:val="en-GB"/>
        </w:rPr>
        <w:t xml:space="preserve">When choices were </w:t>
      </w:r>
      <w:r w:rsidR="001335EA">
        <w:rPr>
          <w:rFonts w:asciiTheme="majorBidi" w:hAnsiTheme="majorBidi" w:cstheme="majorBidi"/>
          <w:sz w:val="24"/>
          <w:szCs w:val="24"/>
          <w:lang w:val="en-GB"/>
        </w:rPr>
        <w:t>counter balanced</w:t>
      </w:r>
      <w:r w:rsidRPr="00F71F57">
        <w:rPr>
          <w:rFonts w:asciiTheme="majorBidi" w:hAnsiTheme="majorBidi" w:cstheme="majorBidi"/>
          <w:sz w:val="24"/>
          <w:szCs w:val="24"/>
          <w:lang w:val="en-GB"/>
        </w:rPr>
        <w:t xml:space="preserve"> into </w:t>
      </w:r>
      <w:r w:rsidR="001335EA">
        <w:rPr>
          <w:rFonts w:asciiTheme="majorBidi" w:hAnsiTheme="majorBidi" w:cstheme="majorBidi"/>
          <w:sz w:val="24"/>
          <w:szCs w:val="24"/>
          <w:lang w:val="en-GB"/>
        </w:rPr>
        <w:t>four sets which mean each sets have different positions for each probability,</w:t>
      </w:r>
      <w:r w:rsidRPr="00F71F57">
        <w:rPr>
          <w:rFonts w:asciiTheme="majorBidi" w:hAnsiTheme="majorBidi" w:cstheme="majorBidi"/>
          <w:sz w:val="24"/>
          <w:szCs w:val="24"/>
          <w:lang w:val="en-GB"/>
        </w:rPr>
        <w:t xml:space="preserve"> no clear bias toward either option set wa</w:t>
      </w:r>
      <w:r w:rsidR="00F35213">
        <w:rPr>
          <w:rFonts w:asciiTheme="majorBidi" w:hAnsiTheme="majorBidi" w:cstheme="majorBidi"/>
          <w:sz w:val="24"/>
          <w:szCs w:val="24"/>
          <w:lang w:val="en-GB"/>
        </w:rPr>
        <w:t>s</w:t>
      </w:r>
      <w:r w:rsidR="00F35213" w:rsidRPr="00F35213">
        <w:rPr>
          <w:rFonts w:asciiTheme="majorBidi" w:hAnsiTheme="majorBidi" w:cstheme="majorBidi"/>
          <w:sz w:val="24"/>
          <w:szCs w:val="24"/>
          <w:lang w:val="en-GB"/>
        </w:rPr>
        <w:t xml:space="preserve"> </w:t>
      </w:r>
      <w:r w:rsidR="00F35213" w:rsidRPr="00F71F57">
        <w:rPr>
          <w:rFonts w:asciiTheme="majorBidi" w:hAnsiTheme="majorBidi" w:cstheme="majorBidi"/>
          <w:sz w:val="24"/>
          <w:szCs w:val="24"/>
          <w:lang w:val="en-GB"/>
        </w:rPr>
        <w:t xml:space="preserve">observed (p &gt; 0.05). </w:t>
      </w:r>
      <w:r w:rsidR="00734545">
        <w:rPr>
          <w:noProof/>
        </w:rPr>
        <w:object w:dxaOrig="10534" w:dyaOrig="14940" w14:anchorId="4333C392">
          <v:shape id="_x0000_i1053" type="#_x0000_t75" alt="" style="width:304.2pt;height:357.6pt;mso-width-percent:0;mso-height-percent:0;mso-width-percent:0;mso-height-percent:0" o:ole="">
            <v:imagedata r:id="rId83" o:title=""/>
          </v:shape>
          <o:OLEObject Type="Embed" ProgID="Prism8.Document" ShapeID="_x0000_i1053" DrawAspect="Content" ObjectID="_1838987212" r:id="rId84"/>
        </w:object>
      </w:r>
      <w:r w:rsidRPr="00F71F57">
        <w:rPr>
          <w:rFonts w:asciiTheme="majorBidi" w:hAnsiTheme="majorBidi" w:cstheme="majorBidi"/>
          <w:sz w:val="24"/>
          <w:szCs w:val="24"/>
          <w:lang w:val="en-GB"/>
        </w:rPr>
        <w:t xml:space="preserve">s </w:t>
      </w:r>
    </w:p>
    <w:p w14:paraId="1A164D7F" w14:textId="595743D7" w:rsidR="00F35213" w:rsidRPr="00F35213" w:rsidRDefault="00F35213" w:rsidP="00F35213">
      <w:pPr>
        <w:ind w:left="1080"/>
        <w:jc w:val="center"/>
        <w:rPr>
          <w:rFonts w:asciiTheme="majorBidi" w:hAnsiTheme="majorBidi" w:cstheme="majorBidi"/>
          <w:b/>
          <w:bCs/>
          <w:sz w:val="24"/>
          <w:szCs w:val="24"/>
          <w:lang w:val="en-GB"/>
        </w:rPr>
      </w:pPr>
    </w:p>
    <w:p w14:paraId="7762EC8E" w14:textId="40B68B5E" w:rsidR="00E02FA9" w:rsidRDefault="004F7AD4" w:rsidP="00241658">
      <w:pPr>
        <w:ind w:left="1080"/>
        <w:rPr>
          <w:rFonts w:asciiTheme="majorBidi" w:hAnsiTheme="majorBidi" w:cstheme="majorBidi"/>
          <w:lang w:val="en-GB" w:bidi="fa-IR"/>
        </w:rPr>
      </w:pPr>
      <w:r w:rsidRPr="00F71F57">
        <w:rPr>
          <w:rFonts w:asciiTheme="majorBidi" w:hAnsiTheme="majorBidi" w:cstheme="majorBidi"/>
          <w:b/>
          <w:bCs/>
          <w:lang w:val="en-GB" w:bidi="fa-IR"/>
        </w:rPr>
        <w:lastRenderedPageBreak/>
        <w:t xml:space="preserve">Figure </w:t>
      </w:r>
      <w:r w:rsidR="00EE3D19">
        <w:rPr>
          <w:rFonts w:asciiTheme="majorBidi" w:hAnsiTheme="majorBidi" w:cstheme="majorBidi"/>
          <w:b/>
          <w:bCs/>
          <w:lang w:val="en-GB" w:bidi="fa-IR"/>
        </w:rPr>
        <w:t>21</w:t>
      </w:r>
      <w:r w:rsidRPr="00F71F57">
        <w:rPr>
          <w:rFonts w:asciiTheme="majorBidi" w:hAnsiTheme="majorBidi" w:cstheme="majorBidi"/>
          <w:b/>
          <w:bCs/>
          <w:lang w:val="en-GB" w:bidi="fa-IR"/>
        </w:rPr>
        <w:t>. Free-choice performance in the 4-choice gambling task (4-CGT) in C57BL/6 mice (n = 14).</w:t>
      </w:r>
      <w:r w:rsidRPr="00F71F57">
        <w:rPr>
          <w:rFonts w:asciiTheme="majorBidi" w:hAnsiTheme="majorBidi" w:cstheme="majorBidi"/>
          <w:lang w:val="en-GB" w:bidi="fa-IR"/>
        </w:rPr>
        <w:br/>
        <w:t xml:space="preserve">Win counters across sets A–D during free-choice trials. No significant differences were observed. Omission rates (%) across sets. </w:t>
      </w:r>
      <w:r w:rsidR="005D5FCF">
        <w:rPr>
          <w:rFonts w:asciiTheme="majorBidi" w:hAnsiTheme="majorBidi" w:cstheme="majorBidi"/>
          <w:lang w:val="en-GB" w:bidi="fa-IR"/>
        </w:rPr>
        <w:t>N</w:t>
      </w:r>
      <w:r w:rsidRPr="00F71F57">
        <w:rPr>
          <w:rFonts w:asciiTheme="majorBidi" w:hAnsiTheme="majorBidi" w:cstheme="majorBidi"/>
          <w:lang w:val="en-GB" w:bidi="fa-IR"/>
        </w:rPr>
        <w:t>o significant preference bias was detected. Data are presented as mean ± SEM.</w:t>
      </w:r>
    </w:p>
    <w:p w14:paraId="1427A940" w14:textId="5094CAB3" w:rsidR="00942402" w:rsidRDefault="00942402" w:rsidP="00241658">
      <w:pPr>
        <w:ind w:left="1080"/>
        <w:rPr>
          <w:rFonts w:asciiTheme="majorBidi" w:hAnsiTheme="majorBidi" w:cstheme="majorBidi"/>
          <w:lang w:val="en-GB" w:bidi="fa-IR"/>
        </w:rPr>
      </w:pPr>
    </w:p>
    <w:p w14:paraId="773115AF" w14:textId="239CBF1E" w:rsidR="00942402" w:rsidRDefault="00942402" w:rsidP="00241658">
      <w:pPr>
        <w:ind w:left="1080"/>
        <w:rPr>
          <w:rFonts w:asciiTheme="majorBidi" w:hAnsiTheme="majorBidi" w:cstheme="majorBidi"/>
          <w:b/>
          <w:bCs/>
          <w:sz w:val="24"/>
          <w:szCs w:val="24"/>
          <w:lang w:val="en-GB" w:bidi="fa-IR"/>
        </w:rPr>
      </w:pPr>
      <w:r w:rsidRPr="00942402">
        <w:rPr>
          <w:rFonts w:asciiTheme="majorBidi" w:hAnsiTheme="majorBidi" w:cstheme="majorBidi"/>
          <w:b/>
          <w:bCs/>
          <w:sz w:val="24"/>
          <w:szCs w:val="24"/>
          <w:lang w:val="en-GB" w:bidi="fa-IR"/>
        </w:rPr>
        <w:t>Free Choice (Advantages and Disadvantageous Choices)</w:t>
      </w:r>
    </w:p>
    <w:p w14:paraId="5E540510" w14:textId="32115D0D" w:rsidR="005618C4" w:rsidRDefault="005618C4" w:rsidP="002E04A2">
      <w:pPr>
        <w:spacing w:line="360" w:lineRule="auto"/>
        <w:ind w:left="1080"/>
        <w:jc w:val="both"/>
        <w:rPr>
          <w:rFonts w:asciiTheme="majorBidi" w:hAnsiTheme="majorBidi" w:cstheme="majorBidi"/>
          <w:sz w:val="24"/>
          <w:szCs w:val="24"/>
          <w:lang w:bidi="fa-IR"/>
        </w:rPr>
      </w:pPr>
      <w:r w:rsidRPr="005618C4">
        <w:rPr>
          <w:rFonts w:asciiTheme="majorBidi" w:hAnsiTheme="majorBidi" w:cstheme="majorBidi"/>
          <w:sz w:val="24"/>
          <w:szCs w:val="24"/>
          <w:lang w:bidi="fa-IR"/>
        </w:rPr>
        <w:t xml:space="preserve">During the free-choice phase of the mouse gambling </w:t>
      </w:r>
      <w:r w:rsidR="00E511F1" w:rsidRPr="005618C4">
        <w:rPr>
          <w:rFonts w:asciiTheme="majorBidi" w:hAnsiTheme="majorBidi" w:cstheme="majorBidi"/>
          <w:sz w:val="24"/>
          <w:szCs w:val="24"/>
          <w:lang w:bidi="fa-IR"/>
        </w:rPr>
        <w:t>task, mice</w:t>
      </w:r>
      <w:r w:rsidRPr="005618C4">
        <w:rPr>
          <w:rFonts w:asciiTheme="majorBidi" w:hAnsiTheme="majorBidi" w:cstheme="majorBidi"/>
          <w:sz w:val="24"/>
          <w:szCs w:val="24"/>
          <w:lang w:bidi="fa-IR"/>
        </w:rPr>
        <w:t xml:space="preserve"> exhibited a stable pattern of decision-making across the 7 days of testing (Figure </w:t>
      </w:r>
      <w:r w:rsidR="00241658">
        <w:rPr>
          <w:rFonts w:asciiTheme="majorBidi" w:hAnsiTheme="majorBidi" w:cstheme="majorBidi"/>
          <w:sz w:val="24"/>
          <w:szCs w:val="24"/>
          <w:lang w:bidi="fa-IR"/>
        </w:rPr>
        <w:t>22</w:t>
      </w:r>
      <w:r w:rsidRPr="005618C4">
        <w:rPr>
          <w:rFonts w:asciiTheme="majorBidi" w:hAnsiTheme="majorBidi" w:cstheme="majorBidi"/>
          <w:sz w:val="24"/>
          <w:szCs w:val="24"/>
          <w:lang w:bidi="fa-IR"/>
        </w:rPr>
        <w:t>). Among the four available options, mice consistently preferred the advantageous contingencies P1 and P2, which provided smaller but more frequent rewards, over the disadvantageous high-risk options P3 and P4. The percentage of choices for P1 and P2 remained higher than for P3 and P4 throughout all test days, indicating that mice successfully learned to favor lower-risk reward options. Conversely, selections of P3 and P4 remained low and did not significantly vary over days, demonstrating that animals were able to avoid disadvantageous, high-punishment contingencies once task contingencies were learned.</w:t>
      </w:r>
      <w:r w:rsidR="002E04A2">
        <w:rPr>
          <w:rFonts w:asciiTheme="majorBidi" w:hAnsiTheme="majorBidi" w:cstheme="majorBidi"/>
          <w:sz w:val="24"/>
          <w:szCs w:val="24"/>
          <w:lang w:bidi="fa-IR"/>
        </w:rPr>
        <w:t xml:space="preserve"> </w:t>
      </w:r>
      <w:r w:rsidR="002E04A2" w:rsidRPr="002E04A2">
        <w:rPr>
          <w:rFonts w:asciiTheme="majorBidi" w:hAnsiTheme="majorBidi" w:cstheme="majorBidi"/>
          <w:sz w:val="24"/>
          <w:szCs w:val="24"/>
          <w:lang w:bidi="fa-IR"/>
        </w:rPr>
        <w:t>Premature responses remained low and consistent throughout the testing period, indicating stable attentional control and effective inhibition during task performance</w:t>
      </w:r>
      <w:r w:rsidR="002E04A2">
        <w:rPr>
          <w:rFonts w:asciiTheme="majorBidi" w:hAnsiTheme="majorBidi" w:cstheme="majorBidi"/>
          <w:sz w:val="24"/>
          <w:szCs w:val="24"/>
          <w:lang w:bidi="fa-IR"/>
        </w:rPr>
        <w:t xml:space="preserve"> (Figure 23)</w:t>
      </w:r>
      <w:r w:rsidR="002E04A2" w:rsidRPr="002E04A2">
        <w:rPr>
          <w:rFonts w:asciiTheme="majorBidi" w:hAnsiTheme="majorBidi" w:cstheme="majorBidi"/>
          <w:sz w:val="24"/>
          <w:szCs w:val="24"/>
          <w:lang w:bidi="fa-IR"/>
        </w:rPr>
        <w:t>.</w:t>
      </w:r>
      <w:r w:rsidR="002E04A2">
        <w:rPr>
          <w:rFonts w:asciiTheme="majorBidi" w:hAnsiTheme="majorBidi" w:cstheme="majorBidi"/>
          <w:sz w:val="24"/>
          <w:szCs w:val="24"/>
          <w:lang w:bidi="fa-IR"/>
        </w:rPr>
        <w:t xml:space="preserve"> </w:t>
      </w:r>
      <w:r w:rsidRPr="005618C4">
        <w:rPr>
          <w:rFonts w:asciiTheme="majorBidi" w:hAnsiTheme="majorBidi" w:cstheme="majorBidi"/>
          <w:sz w:val="24"/>
          <w:szCs w:val="24"/>
          <w:lang w:bidi="fa-IR"/>
        </w:rPr>
        <w:t>These data confirm that mice developed and maintained an optimal choice strategy during the free-choice stage of the task.</w:t>
      </w:r>
    </w:p>
    <w:p w14:paraId="34AB072D" w14:textId="44B39659" w:rsidR="005618C4" w:rsidRDefault="00734545" w:rsidP="00241658">
      <w:pPr>
        <w:spacing w:line="360" w:lineRule="auto"/>
        <w:ind w:left="1080"/>
        <w:jc w:val="both"/>
      </w:pPr>
      <w:r>
        <w:rPr>
          <w:noProof/>
        </w:rPr>
        <w:object w:dxaOrig="10891" w:dyaOrig="9132" w14:anchorId="2432B9AF">
          <v:shape id="_x0000_i1054" type="#_x0000_t75" alt="" style="width:318pt;height:251.4pt;mso-width-percent:0;mso-height-percent:0;mso-width-percent:0;mso-height-percent:0" o:ole="">
            <v:imagedata r:id="rId85" o:title=""/>
          </v:shape>
          <o:OLEObject Type="Embed" ProgID="Prism8.Document" ShapeID="_x0000_i1054" DrawAspect="Content" ObjectID="_1838987213" r:id="rId86"/>
        </w:object>
      </w:r>
    </w:p>
    <w:p w14:paraId="389B9C57" w14:textId="478F4ACA" w:rsidR="0029696D" w:rsidRPr="00241658" w:rsidRDefault="0029696D" w:rsidP="00241658">
      <w:pPr>
        <w:spacing w:line="360" w:lineRule="auto"/>
        <w:ind w:left="1080"/>
        <w:jc w:val="both"/>
        <w:rPr>
          <w:rFonts w:asciiTheme="majorBidi" w:hAnsiTheme="majorBidi" w:cstheme="majorBidi"/>
          <w:lang w:bidi="fa-IR"/>
        </w:rPr>
      </w:pPr>
      <w:r w:rsidRPr="00241658">
        <w:rPr>
          <w:rFonts w:asciiTheme="majorBidi" w:hAnsiTheme="majorBidi" w:cstheme="majorBidi"/>
          <w:b/>
          <w:bCs/>
          <w:lang w:bidi="fa-IR"/>
        </w:rPr>
        <w:t xml:space="preserve">Figure </w:t>
      </w:r>
      <w:r w:rsidR="00EE3D19" w:rsidRPr="00241658">
        <w:rPr>
          <w:rFonts w:asciiTheme="majorBidi" w:hAnsiTheme="majorBidi" w:cstheme="majorBidi"/>
          <w:b/>
          <w:bCs/>
          <w:lang w:bidi="fa-IR"/>
        </w:rPr>
        <w:t>22</w:t>
      </w:r>
      <w:r w:rsidRPr="00241658">
        <w:rPr>
          <w:rFonts w:asciiTheme="majorBidi" w:hAnsiTheme="majorBidi" w:cstheme="majorBidi"/>
          <w:b/>
          <w:bCs/>
          <w:lang w:bidi="fa-IR"/>
        </w:rPr>
        <w:t>.</w:t>
      </w:r>
      <w:r w:rsidRPr="00241658">
        <w:rPr>
          <w:rFonts w:asciiTheme="majorBidi" w:hAnsiTheme="majorBidi" w:cstheme="majorBidi"/>
          <w:lang w:bidi="fa-IR"/>
        </w:rPr>
        <w:t xml:space="preserve"> </w:t>
      </w:r>
      <w:r w:rsidRPr="00241658">
        <w:rPr>
          <w:rFonts w:asciiTheme="majorBidi" w:hAnsiTheme="majorBidi" w:cstheme="majorBidi"/>
          <w:b/>
          <w:bCs/>
          <w:lang w:bidi="fa-IR"/>
        </w:rPr>
        <w:t>Percentage of choices for each response option (P1–P4) across 7 days of the free-choice stage in the mouse gambling task.</w:t>
      </w:r>
      <w:r w:rsidRPr="00241658">
        <w:rPr>
          <w:rFonts w:asciiTheme="majorBidi" w:hAnsiTheme="majorBidi" w:cstheme="majorBidi"/>
          <w:lang w:bidi="fa-IR"/>
        </w:rPr>
        <w:br/>
        <w:t xml:space="preserve">Each panel shows the mean ± SEM of the percentage of choices made to each aperture: </w:t>
      </w:r>
      <w:r w:rsidRPr="00241658">
        <w:rPr>
          <w:rFonts w:asciiTheme="majorBidi" w:hAnsiTheme="majorBidi" w:cstheme="majorBidi"/>
          <w:b/>
          <w:bCs/>
          <w:lang w:bidi="fa-IR"/>
        </w:rPr>
        <w:t>(A)</w:t>
      </w:r>
      <w:r w:rsidRPr="00241658">
        <w:rPr>
          <w:rFonts w:asciiTheme="majorBidi" w:hAnsiTheme="majorBidi" w:cstheme="majorBidi"/>
          <w:lang w:bidi="fa-IR"/>
        </w:rPr>
        <w:t xml:space="preserve"> P1, </w:t>
      </w:r>
      <w:r w:rsidRPr="00241658">
        <w:rPr>
          <w:rFonts w:asciiTheme="majorBidi" w:hAnsiTheme="majorBidi" w:cstheme="majorBidi"/>
          <w:b/>
          <w:bCs/>
          <w:lang w:bidi="fa-IR"/>
        </w:rPr>
        <w:t>(B)</w:t>
      </w:r>
      <w:r w:rsidRPr="00241658">
        <w:rPr>
          <w:rFonts w:asciiTheme="majorBidi" w:hAnsiTheme="majorBidi" w:cstheme="majorBidi"/>
          <w:lang w:bidi="fa-IR"/>
        </w:rPr>
        <w:t xml:space="preserve"> P2, </w:t>
      </w:r>
      <w:r w:rsidRPr="00241658">
        <w:rPr>
          <w:rFonts w:asciiTheme="majorBidi" w:hAnsiTheme="majorBidi" w:cstheme="majorBidi"/>
          <w:b/>
          <w:bCs/>
          <w:lang w:bidi="fa-IR"/>
        </w:rPr>
        <w:t>(C)</w:t>
      </w:r>
      <w:r w:rsidRPr="00241658">
        <w:rPr>
          <w:rFonts w:asciiTheme="majorBidi" w:hAnsiTheme="majorBidi" w:cstheme="majorBidi"/>
          <w:lang w:bidi="fa-IR"/>
        </w:rPr>
        <w:t xml:space="preserve"> P3, and </w:t>
      </w:r>
      <w:r w:rsidRPr="00241658">
        <w:rPr>
          <w:rFonts w:asciiTheme="majorBidi" w:hAnsiTheme="majorBidi" w:cstheme="majorBidi"/>
          <w:b/>
          <w:bCs/>
          <w:lang w:bidi="fa-IR"/>
        </w:rPr>
        <w:t>(D)</w:t>
      </w:r>
      <w:r w:rsidRPr="00241658">
        <w:rPr>
          <w:rFonts w:asciiTheme="majorBidi" w:hAnsiTheme="majorBidi" w:cstheme="majorBidi"/>
          <w:lang w:bidi="fa-IR"/>
        </w:rPr>
        <w:t xml:space="preserve"> P4. mice displayed higher preference for advantageous options (P1 and P2) compared with disadvantageous options (P3 and P4) across testing days, reflecting optimal decision-making and stable learning of reward contingencies.</w:t>
      </w:r>
    </w:p>
    <w:p w14:paraId="4F5CB07F" w14:textId="2E6DD0DD" w:rsidR="00942402" w:rsidRPr="005618C4" w:rsidRDefault="00734545" w:rsidP="00D16A99">
      <w:pPr>
        <w:ind w:left="1440"/>
        <w:rPr>
          <w:rFonts w:asciiTheme="majorBidi" w:hAnsiTheme="majorBidi" w:cstheme="majorBidi"/>
          <w:b/>
          <w:bCs/>
          <w:sz w:val="24"/>
          <w:szCs w:val="24"/>
          <w:lang w:bidi="fa-IR"/>
        </w:rPr>
      </w:pPr>
      <w:r>
        <w:rPr>
          <w:noProof/>
        </w:rPr>
        <w:object w:dxaOrig="8150" w:dyaOrig="14583" w14:anchorId="584CECA0">
          <v:shape id="_x0000_i1055" type="#_x0000_t75" alt="" style="width:297pt;height:307.8pt;mso-width-percent:0;mso-height-percent:0;mso-width-percent:0;mso-height-percent:0" o:ole="">
            <v:imagedata r:id="rId87" o:title=""/>
          </v:shape>
          <o:OLEObject Type="Embed" ProgID="Prism8.Document" ShapeID="_x0000_i1055" DrawAspect="Content" ObjectID="_1838987214" r:id="rId88"/>
        </w:object>
      </w:r>
    </w:p>
    <w:p w14:paraId="4AF14E0D" w14:textId="3E2AE7DE" w:rsidR="00942402" w:rsidRPr="00241658" w:rsidRDefault="00094C0E" w:rsidP="00241658">
      <w:pPr>
        <w:spacing w:line="360" w:lineRule="auto"/>
        <w:ind w:left="720"/>
        <w:jc w:val="both"/>
        <w:rPr>
          <w:rFonts w:asciiTheme="majorBidi" w:hAnsiTheme="majorBidi" w:cstheme="majorBidi"/>
          <w:b/>
          <w:bCs/>
          <w:lang w:val="en-GB" w:bidi="fa-IR"/>
        </w:rPr>
      </w:pPr>
      <w:r w:rsidRPr="00241658">
        <w:rPr>
          <w:rFonts w:asciiTheme="majorBidi" w:hAnsiTheme="majorBidi" w:cstheme="majorBidi"/>
          <w:b/>
          <w:bCs/>
          <w:lang w:bidi="fa-IR"/>
        </w:rPr>
        <w:t xml:space="preserve">Figure </w:t>
      </w:r>
      <w:r w:rsidR="00EE3D19" w:rsidRPr="00241658">
        <w:rPr>
          <w:rFonts w:asciiTheme="majorBidi" w:hAnsiTheme="majorBidi" w:cstheme="majorBidi"/>
          <w:b/>
          <w:bCs/>
          <w:lang w:bidi="fa-IR"/>
        </w:rPr>
        <w:t>23</w:t>
      </w:r>
      <w:r w:rsidRPr="00241658">
        <w:rPr>
          <w:rFonts w:asciiTheme="majorBidi" w:hAnsiTheme="majorBidi" w:cstheme="majorBidi"/>
          <w:b/>
          <w:bCs/>
          <w:lang w:bidi="fa-IR"/>
        </w:rPr>
        <w:t>. Performance of mice in the four-choice gambling task (4</w:t>
      </w:r>
      <w:r w:rsidR="00676DF9">
        <w:rPr>
          <w:rFonts w:asciiTheme="majorBidi" w:hAnsiTheme="majorBidi" w:cstheme="majorBidi"/>
          <w:b/>
          <w:bCs/>
          <w:lang w:bidi="fa-IR"/>
        </w:rPr>
        <w:t>-</w:t>
      </w:r>
      <w:r w:rsidRPr="00241658">
        <w:rPr>
          <w:rFonts w:asciiTheme="majorBidi" w:hAnsiTheme="majorBidi" w:cstheme="majorBidi"/>
          <w:b/>
          <w:bCs/>
          <w:lang w:bidi="fa-IR"/>
        </w:rPr>
        <w:t>CGT) during the 7-day free-choice phase.</w:t>
      </w:r>
      <w:r w:rsidRPr="00241658">
        <w:rPr>
          <w:rFonts w:asciiTheme="majorBidi" w:hAnsiTheme="majorBidi" w:cstheme="majorBidi"/>
          <w:b/>
          <w:bCs/>
          <w:lang w:bidi="fa-IR"/>
        </w:rPr>
        <w:br/>
      </w:r>
      <w:r w:rsidRPr="00241658">
        <w:rPr>
          <w:rFonts w:asciiTheme="majorBidi" w:hAnsiTheme="majorBidi" w:cstheme="majorBidi"/>
          <w:lang w:bidi="fa-IR"/>
        </w:rPr>
        <w:t>The upper panel shows the percentage of advantageous choices (P1 + P2) made across days, indicating that mice maintained a stable preference for low-risk, high-reward options throughout testing. The lower panel depicts the number of premature responses, which remained low and consistent over time, reflecting good inhibitory control and task engagement. Data are presented as mean ± SEM.</w:t>
      </w:r>
    </w:p>
    <w:p w14:paraId="41878F40" w14:textId="77777777" w:rsidR="00094C0E" w:rsidRDefault="00094C0E" w:rsidP="00094C0E">
      <w:pPr>
        <w:rPr>
          <w:rFonts w:asciiTheme="majorBidi" w:hAnsiTheme="majorBidi" w:cstheme="majorBidi"/>
          <w:b/>
          <w:bCs/>
          <w:sz w:val="24"/>
          <w:szCs w:val="24"/>
          <w:lang w:val="en-GB"/>
        </w:rPr>
      </w:pPr>
    </w:p>
    <w:p w14:paraId="00DF0D85" w14:textId="77777777" w:rsidR="00241658" w:rsidRDefault="00241658" w:rsidP="00193FD5">
      <w:pPr>
        <w:ind w:left="1440"/>
        <w:rPr>
          <w:rFonts w:asciiTheme="majorBidi" w:hAnsiTheme="majorBidi" w:cstheme="majorBidi"/>
          <w:b/>
          <w:bCs/>
          <w:sz w:val="24"/>
          <w:szCs w:val="24"/>
          <w:lang w:val="en-GB"/>
        </w:rPr>
      </w:pPr>
    </w:p>
    <w:p w14:paraId="6E196ED6" w14:textId="77777777" w:rsidR="00241658" w:rsidRDefault="00241658" w:rsidP="00193FD5">
      <w:pPr>
        <w:ind w:left="1440"/>
        <w:rPr>
          <w:rFonts w:asciiTheme="majorBidi" w:hAnsiTheme="majorBidi" w:cstheme="majorBidi"/>
          <w:b/>
          <w:bCs/>
          <w:sz w:val="24"/>
          <w:szCs w:val="24"/>
          <w:lang w:val="en-GB"/>
        </w:rPr>
      </w:pPr>
    </w:p>
    <w:p w14:paraId="4640F101" w14:textId="77777777" w:rsidR="003715CF" w:rsidRDefault="003715CF" w:rsidP="00241658">
      <w:pPr>
        <w:ind w:left="720"/>
        <w:rPr>
          <w:rFonts w:asciiTheme="majorBidi" w:hAnsiTheme="majorBidi" w:cstheme="majorBidi"/>
          <w:b/>
          <w:bCs/>
          <w:sz w:val="24"/>
          <w:szCs w:val="24"/>
          <w:lang w:val="en-GB"/>
        </w:rPr>
      </w:pPr>
    </w:p>
    <w:p w14:paraId="465619F6" w14:textId="77777777" w:rsidR="003715CF" w:rsidRDefault="003715CF" w:rsidP="00241658">
      <w:pPr>
        <w:ind w:left="720"/>
        <w:rPr>
          <w:rFonts w:asciiTheme="majorBidi" w:hAnsiTheme="majorBidi" w:cstheme="majorBidi"/>
          <w:b/>
          <w:bCs/>
          <w:sz w:val="24"/>
          <w:szCs w:val="24"/>
          <w:lang w:val="en-GB"/>
        </w:rPr>
      </w:pPr>
    </w:p>
    <w:p w14:paraId="4C4BF6B9" w14:textId="77777777" w:rsidR="003715CF" w:rsidRDefault="003715CF" w:rsidP="00241658">
      <w:pPr>
        <w:ind w:left="720"/>
        <w:rPr>
          <w:rFonts w:asciiTheme="majorBidi" w:hAnsiTheme="majorBidi" w:cstheme="majorBidi"/>
          <w:b/>
          <w:bCs/>
          <w:sz w:val="24"/>
          <w:szCs w:val="24"/>
          <w:lang w:val="en-GB"/>
        </w:rPr>
      </w:pPr>
    </w:p>
    <w:p w14:paraId="037BBB12" w14:textId="77777777" w:rsidR="003715CF" w:rsidRDefault="003715CF" w:rsidP="00241658">
      <w:pPr>
        <w:ind w:left="720"/>
        <w:rPr>
          <w:rFonts w:asciiTheme="majorBidi" w:hAnsiTheme="majorBidi" w:cstheme="majorBidi"/>
          <w:b/>
          <w:bCs/>
          <w:sz w:val="24"/>
          <w:szCs w:val="24"/>
          <w:lang w:val="en-GB"/>
        </w:rPr>
      </w:pPr>
    </w:p>
    <w:p w14:paraId="54C477B1" w14:textId="77777777" w:rsidR="003715CF" w:rsidRDefault="003715CF" w:rsidP="00241658">
      <w:pPr>
        <w:ind w:left="720"/>
        <w:rPr>
          <w:rFonts w:asciiTheme="majorBidi" w:hAnsiTheme="majorBidi" w:cstheme="majorBidi"/>
          <w:b/>
          <w:bCs/>
          <w:sz w:val="24"/>
          <w:szCs w:val="24"/>
          <w:lang w:val="en-GB"/>
        </w:rPr>
      </w:pPr>
    </w:p>
    <w:p w14:paraId="33D384B7" w14:textId="77777777" w:rsidR="003715CF" w:rsidRDefault="003715CF" w:rsidP="00241658">
      <w:pPr>
        <w:ind w:left="720"/>
        <w:rPr>
          <w:rFonts w:asciiTheme="majorBidi" w:hAnsiTheme="majorBidi" w:cstheme="majorBidi"/>
          <w:b/>
          <w:bCs/>
          <w:sz w:val="24"/>
          <w:szCs w:val="24"/>
          <w:lang w:val="en-GB"/>
        </w:rPr>
      </w:pPr>
    </w:p>
    <w:p w14:paraId="5A1A293C" w14:textId="10309BBE" w:rsidR="00FD137A" w:rsidRPr="00193FD5" w:rsidRDefault="00776E65" w:rsidP="00D623DE">
      <w:pPr>
        <w:pStyle w:val="Heading1"/>
        <w:ind w:left="720"/>
        <w:rPr>
          <w:lang w:val="en-GB"/>
        </w:rPr>
      </w:pPr>
      <w:bookmarkStart w:id="70" w:name="_Toc214875874"/>
      <w:r>
        <w:rPr>
          <w:lang w:val="en-GB"/>
        </w:rPr>
        <w:lastRenderedPageBreak/>
        <w:t>Chapter 4:</w:t>
      </w:r>
      <w:r w:rsidR="00193FD5">
        <w:rPr>
          <w:lang w:val="en-GB"/>
        </w:rPr>
        <w:t xml:space="preserve"> </w:t>
      </w:r>
      <w:r w:rsidR="00DF68EE" w:rsidRPr="00F71F57">
        <w:rPr>
          <w:lang w:val="en-GB"/>
        </w:rPr>
        <w:t>Discussion</w:t>
      </w:r>
      <w:bookmarkEnd w:id="70"/>
    </w:p>
    <w:p w14:paraId="474BAA6E" w14:textId="77F132A4" w:rsidR="005C68A0" w:rsidRDefault="005C68A0" w:rsidP="00241658">
      <w:pPr>
        <w:spacing w:line="360" w:lineRule="auto"/>
        <w:ind w:left="720"/>
        <w:jc w:val="both"/>
        <w:rPr>
          <w:rFonts w:asciiTheme="majorBidi" w:hAnsiTheme="majorBidi" w:cstheme="majorBidi"/>
          <w:color w:val="000000" w:themeColor="text1"/>
          <w:sz w:val="24"/>
          <w:szCs w:val="24"/>
          <w:lang w:val="en-GB"/>
        </w:rPr>
      </w:pPr>
      <w:r w:rsidRPr="005C68A0">
        <w:rPr>
          <w:rFonts w:asciiTheme="majorBidi" w:hAnsiTheme="majorBidi" w:cstheme="majorBidi"/>
          <w:color w:val="000000" w:themeColor="text1"/>
          <w:sz w:val="24"/>
          <w:szCs w:val="24"/>
          <w:lang w:val="en-GB"/>
        </w:rPr>
        <w:t xml:space="preserve">The current research endeavoured to establish and verify a touchscreen cognitive testing paradigm capable of examining multiple cognitive functions in C57BL/6 naive male mice. This research </w:t>
      </w:r>
      <w:r>
        <w:rPr>
          <w:rFonts w:asciiTheme="majorBidi" w:hAnsiTheme="majorBidi" w:cstheme="majorBidi"/>
          <w:color w:val="000000" w:themeColor="text1"/>
          <w:sz w:val="24"/>
          <w:szCs w:val="24"/>
          <w:lang w:val="en-GB"/>
        </w:rPr>
        <w:t>tried</w:t>
      </w:r>
      <w:r w:rsidRPr="005C68A0">
        <w:rPr>
          <w:rFonts w:asciiTheme="majorBidi" w:hAnsiTheme="majorBidi" w:cstheme="majorBidi"/>
          <w:color w:val="000000" w:themeColor="text1"/>
          <w:sz w:val="24"/>
          <w:szCs w:val="24"/>
          <w:lang w:val="en-GB"/>
        </w:rPr>
        <w:t xml:space="preserve"> to establish if it is possible to successfully introduce a standardized touchscreen platform within our research lab conditions and if control mice exhibit steady baseline behavioral performance across tasks of learning, memory, attention, executive function, and decision-making. The results present preliminary evidence that the touchscreen cognitive testing platform can be used successfully to evaluate cognitive function in rodents, with resultant data pattern aligning with what has previously been reported in literature. </w:t>
      </w:r>
      <w:r w:rsidR="00E55D68" w:rsidRPr="00E55D68">
        <w:rPr>
          <w:rFonts w:asciiTheme="majorBidi" w:hAnsiTheme="majorBidi" w:cstheme="majorBidi"/>
          <w:color w:val="000000" w:themeColor="text1"/>
          <w:sz w:val="24"/>
          <w:szCs w:val="24"/>
          <w:lang w:val="en-GB"/>
        </w:rPr>
        <w:t>The results validate the translational applicability of the platform, suggesting that it represents a reliable, feasible, and reproducible paradigm for future studies investigating both pharmacological and botanical interventions in cognitive function. However, a limitation of the present study is that, at the time of writing, only preliminary data concerning the animal control section were available; therefore, the plant-based component was not incorporated into the analysis.</w:t>
      </w:r>
    </w:p>
    <w:p w14:paraId="2686A6DA" w14:textId="16BBBCDC" w:rsidR="00DE3230" w:rsidRDefault="00DE3230" w:rsidP="00241658">
      <w:pPr>
        <w:ind w:left="720"/>
        <w:jc w:val="both"/>
        <w:rPr>
          <w:rFonts w:asciiTheme="majorBidi" w:hAnsiTheme="majorBidi" w:cstheme="majorBidi"/>
          <w:color w:val="000000" w:themeColor="text1"/>
          <w:sz w:val="24"/>
          <w:szCs w:val="24"/>
          <w:lang w:val="en-GB"/>
        </w:rPr>
      </w:pPr>
    </w:p>
    <w:p w14:paraId="6913C0B9" w14:textId="312EE481" w:rsidR="00DE3230" w:rsidRDefault="00DE3230" w:rsidP="00D623DE">
      <w:pPr>
        <w:pStyle w:val="Heading2"/>
        <w:ind w:left="720"/>
      </w:pPr>
      <w:bookmarkStart w:id="71" w:name="_Toc214875875"/>
      <w:r w:rsidRPr="00DE3230">
        <w:t xml:space="preserve">4.1 Understanding </w:t>
      </w:r>
      <w:r>
        <w:t>h</w:t>
      </w:r>
      <w:r w:rsidRPr="00DE3230">
        <w:t xml:space="preserve">ow to </w:t>
      </w:r>
      <w:r w:rsidR="00526E6B">
        <w:t>l</w:t>
      </w:r>
      <w:r w:rsidRPr="00DE3230">
        <w:t xml:space="preserve">earn: </w:t>
      </w:r>
      <w:r w:rsidR="00526E6B">
        <w:t>m</w:t>
      </w:r>
      <w:r w:rsidRPr="00DE3230">
        <w:t xml:space="preserve">ental </w:t>
      </w:r>
      <w:r w:rsidR="00526E6B">
        <w:t>a</w:t>
      </w:r>
      <w:r w:rsidRPr="00DE3230">
        <w:t xml:space="preserve">daptability and </w:t>
      </w:r>
      <w:r w:rsidR="00526E6B">
        <w:t>v</w:t>
      </w:r>
      <w:r w:rsidRPr="00DE3230">
        <w:t xml:space="preserve">isual </w:t>
      </w:r>
      <w:r w:rsidR="00526E6B">
        <w:t>d</w:t>
      </w:r>
      <w:r w:rsidRPr="00DE3230">
        <w:t>istinction</w:t>
      </w:r>
      <w:r w:rsidR="00393A98">
        <w:t xml:space="preserve"> (PVD)</w:t>
      </w:r>
      <w:bookmarkEnd w:id="71"/>
    </w:p>
    <w:p w14:paraId="413E3C3F" w14:textId="6745DD9C" w:rsidR="0034187A" w:rsidRPr="00A42F60" w:rsidRDefault="007062B8" w:rsidP="00241658">
      <w:pPr>
        <w:spacing w:line="360" w:lineRule="auto"/>
        <w:ind w:left="720"/>
        <w:jc w:val="both"/>
        <w:rPr>
          <w:rFonts w:asciiTheme="majorBidi" w:hAnsiTheme="majorBidi" w:cstheme="majorBidi"/>
          <w:color w:val="000000" w:themeColor="text1"/>
          <w:sz w:val="24"/>
          <w:szCs w:val="24"/>
        </w:rPr>
      </w:pPr>
      <w:r w:rsidRPr="007062B8">
        <w:rPr>
          <w:rFonts w:asciiTheme="majorBidi" w:hAnsiTheme="majorBidi" w:cstheme="majorBidi"/>
          <w:color w:val="000000" w:themeColor="text1"/>
          <w:sz w:val="24"/>
          <w:szCs w:val="24"/>
        </w:rPr>
        <w:t xml:space="preserve">Cognitive flexibility is the flexible redefinition of responses to a learned stimulus-reward relation, and deficits are found within a variety of neuropsychiatric disorders, such as schizophrenia, autism, obsessive-compulsive </w:t>
      </w:r>
      <w:r w:rsidR="00957915" w:rsidRPr="007062B8">
        <w:rPr>
          <w:rFonts w:asciiTheme="majorBidi" w:hAnsiTheme="majorBidi" w:cstheme="majorBidi"/>
          <w:color w:val="000000" w:themeColor="text1"/>
          <w:sz w:val="24"/>
          <w:szCs w:val="24"/>
        </w:rPr>
        <w:t>illness,</w:t>
      </w:r>
      <w:r w:rsidRPr="007062B8">
        <w:rPr>
          <w:rFonts w:asciiTheme="majorBidi" w:hAnsiTheme="majorBidi" w:cstheme="majorBidi"/>
          <w:color w:val="000000" w:themeColor="text1"/>
          <w:sz w:val="24"/>
          <w:szCs w:val="24"/>
        </w:rPr>
        <w:t xml:space="preserve"> and drug dependence. To investigate the neural systems involved with cognitive flexibility further, execution of the choice and reversal tasks has also ensued in animal models.</w:t>
      </w:r>
      <w:r w:rsidR="00C77AFF">
        <w:rPr>
          <w:rFonts w:asciiTheme="majorBidi" w:hAnsiTheme="majorBidi" w:cstheme="majorBidi"/>
          <w:color w:val="000000" w:themeColor="text1"/>
          <w:sz w:val="24"/>
          <w:szCs w:val="24"/>
        </w:rPr>
        <w:t xml:space="preserve"> </w:t>
      </w:r>
      <w:r w:rsidRPr="007062B8">
        <w:rPr>
          <w:rFonts w:asciiTheme="majorBidi" w:hAnsiTheme="majorBidi" w:cstheme="majorBidi"/>
          <w:color w:val="000000" w:themeColor="text1"/>
          <w:sz w:val="24"/>
          <w:szCs w:val="24"/>
        </w:rPr>
        <w:t>There are numerous ways to assess cognitive flexibility in rodent preparations, yet most procedures have proved hard to translate between rodent to human research</w:t>
      </w:r>
      <w:r>
        <w:rPr>
          <w:rFonts w:asciiTheme="majorBidi" w:hAnsiTheme="majorBidi" w:cstheme="majorBidi"/>
          <w:color w:val="000000" w:themeColor="text1"/>
          <w:sz w:val="24"/>
          <w:szCs w:val="24"/>
        </w:rPr>
        <w:t xml:space="preserve"> </w:t>
      </w:r>
      <w:r w:rsidR="000A35E3">
        <w:rPr>
          <w:rFonts w:asciiTheme="majorBidi" w:hAnsiTheme="majorBidi" w:cstheme="majorBidi"/>
          <w:color w:val="000000" w:themeColor="text1"/>
          <w:sz w:val="24"/>
          <w:szCs w:val="24"/>
        </w:rPr>
        <w:fldChar w:fldCharType="begin"/>
      </w:r>
      <w:r w:rsidR="000A35E3">
        <w:rPr>
          <w:rFonts w:asciiTheme="majorBidi" w:hAnsiTheme="majorBidi" w:cstheme="majorBidi"/>
          <w:color w:val="000000" w:themeColor="text1"/>
          <w:sz w:val="24"/>
          <w:szCs w:val="24"/>
        </w:rPr>
        <w:instrText xml:space="preserve"> ADDIN EN.CITE &lt;EndNote&gt;&lt;Cite&gt;&lt;Author&gt;Brigman&lt;/Author&gt;&lt;Year&gt;2010&lt;/Year&gt;&lt;RecNum&gt;347&lt;/RecNum&gt;&lt;DisplayText&gt;(Brigman et al., 2010)&lt;/DisplayText&gt;&lt;record&gt;&lt;rec-number&gt;347&lt;/rec-number&gt;&lt;foreign-keys&gt;&lt;key app="EN" db-id="2ptrtps0adr9vke22dn5tpwzrsfaxtxrfwet" timestamp="1760355578"&gt;347&lt;/key&gt;&lt;/foreign-keys&gt;&lt;ref-type name="Journal Article"&gt;17&lt;/ref-type&gt;&lt;contributors&gt;&lt;authors&gt;&lt;author&gt;Brigman, J. L.&lt;/author&gt;&lt;author&gt;Graybeal, C.&lt;/author&gt;&lt;author&gt;Holmes, A.&lt;/author&gt;&lt;/authors&gt;&lt;/contributors&gt;&lt;auth-address&gt;Section on Behavioral Science and Genetics, Laboratory for Integrative Neuroscience, National Institute on Alcohol Abuse and Alcoholism NIH, Rockville, MD, USA.&lt;/auth-address&gt;&lt;titles&gt;&lt;title&gt;Predictably irrational: assaying cognitive inflexibility in mouse models of schizophrenia&lt;/title&gt;&lt;secondary-title&gt;Front Neurosci&lt;/secondary-title&gt;&lt;/titles&gt;&lt;periodical&gt;&lt;full-title&gt;Front Neurosci&lt;/full-title&gt;&lt;/periodical&gt;&lt;volume&gt;4&lt;/volume&gt;&lt;edition&gt;2010/09/23&lt;/edition&gt;&lt;keywords&gt;&lt;keyword&gt;executive function&lt;/keyword&gt;&lt;keyword&gt;gene&lt;/keyword&gt;&lt;keyword&gt;mouse&lt;/keyword&gt;&lt;keyword&gt;prefrontal cortex&lt;/keyword&gt;&lt;keyword&gt;schizophrenia&lt;/keyword&gt;&lt;/keywords&gt;&lt;dates&gt;&lt;year&gt;2010&lt;/year&gt;&lt;/dates&gt;&lt;isbn&gt;1662-4548 (Print)&amp;#xD;1662-453x&lt;/isbn&gt;&lt;accession-num&gt;20859447&lt;/accession-num&gt;&lt;urls&gt;&lt;/urls&gt;&lt;custom2&gt;PMC2938983&lt;/custom2&gt;&lt;electronic-resource-num&gt;10.3389/neuro.01.013.2010&lt;/electronic-resource-num&gt;&lt;remote-database-provider&gt;NLM&lt;/remote-database-provider&gt;&lt;language&gt;eng&lt;/language&gt;&lt;/record&gt;&lt;/Cite&gt;&lt;/EndNote&gt;</w:instrText>
      </w:r>
      <w:r w:rsidR="000A35E3">
        <w:rPr>
          <w:rFonts w:asciiTheme="majorBidi" w:hAnsiTheme="majorBidi" w:cstheme="majorBidi"/>
          <w:color w:val="000000" w:themeColor="text1"/>
          <w:sz w:val="24"/>
          <w:szCs w:val="24"/>
        </w:rPr>
        <w:fldChar w:fldCharType="separate"/>
      </w:r>
      <w:r w:rsidR="000A35E3">
        <w:rPr>
          <w:rFonts w:asciiTheme="majorBidi" w:hAnsiTheme="majorBidi" w:cstheme="majorBidi"/>
          <w:noProof/>
          <w:color w:val="000000" w:themeColor="text1"/>
          <w:sz w:val="24"/>
          <w:szCs w:val="24"/>
        </w:rPr>
        <w:t>(</w:t>
      </w:r>
      <w:hyperlink w:anchor="_ENREF_28" w:tooltip="Brigman, 2010 #347" w:history="1">
        <w:r w:rsidR="00DE113E">
          <w:rPr>
            <w:rFonts w:asciiTheme="majorBidi" w:hAnsiTheme="majorBidi" w:cstheme="majorBidi"/>
            <w:noProof/>
            <w:color w:val="000000" w:themeColor="text1"/>
            <w:sz w:val="24"/>
            <w:szCs w:val="24"/>
          </w:rPr>
          <w:t>Brigman et al., 2010</w:t>
        </w:r>
      </w:hyperlink>
      <w:r w:rsidR="000A35E3">
        <w:rPr>
          <w:rFonts w:asciiTheme="majorBidi" w:hAnsiTheme="majorBidi" w:cstheme="majorBidi"/>
          <w:noProof/>
          <w:color w:val="000000" w:themeColor="text1"/>
          <w:sz w:val="24"/>
          <w:szCs w:val="24"/>
        </w:rPr>
        <w:t>)</w:t>
      </w:r>
      <w:r w:rsidR="000A35E3">
        <w:rPr>
          <w:rFonts w:asciiTheme="majorBidi" w:hAnsiTheme="majorBidi" w:cstheme="majorBidi"/>
          <w:color w:val="000000" w:themeColor="text1"/>
          <w:sz w:val="24"/>
          <w:szCs w:val="24"/>
        </w:rPr>
        <w:fldChar w:fldCharType="end"/>
      </w:r>
      <w:r w:rsidR="000A35E3">
        <w:rPr>
          <w:rFonts w:asciiTheme="majorBidi" w:hAnsiTheme="majorBidi" w:cstheme="majorBidi"/>
          <w:color w:val="000000" w:themeColor="text1"/>
          <w:sz w:val="24"/>
          <w:szCs w:val="24"/>
        </w:rPr>
        <w:t>.</w:t>
      </w:r>
      <w:r w:rsidR="00957915">
        <w:rPr>
          <w:rFonts w:asciiTheme="majorBidi" w:hAnsiTheme="majorBidi" w:cstheme="majorBidi" w:hint="cs"/>
          <w:color w:val="000000" w:themeColor="text1"/>
          <w:sz w:val="24"/>
          <w:szCs w:val="24"/>
          <w:rtl/>
        </w:rPr>
        <w:t xml:space="preserve"> </w:t>
      </w:r>
      <w:r w:rsidR="000A35E3" w:rsidRPr="000A35E3">
        <w:rPr>
          <w:rFonts w:asciiTheme="majorBidi" w:hAnsiTheme="majorBidi" w:cstheme="majorBidi"/>
          <w:color w:val="000000" w:themeColor="text1"/>
          <w:sz w:val="24"/>
          <w:szCs w:val="24"/>
        </w:rPr>
        <w:t>Nonetheless, a comparable approach can be utilized to examine reversal learning across different species through the use of touchscreens</w:t>
      </w:r>
      <w:r w:rsidR="000A35E3" w:rsidRPr="000A35E3">
        <w:t xml:space="preserve"> </w:t>
      </w:r>
      <w:r w:rsidR="000A35E3">
        <w:rPr>
          <w:rFonts w:asciiTheme="majorBidi" w:hAnsiTheme="majorBidi" w:cstheme="majorBidi"/>
          <w:color w:val="000000" w:themeColor="text1"/>
          <w:sz w:val="24"/>
          <w:szCs w:val="24"/>
        </w:rPr>
        <w:fldChar w:fldCharType="begin">
          <w:fldData xml:space="preserve">PEVuZE5vdGU+PENpdGU+PEF1dGhvcj5Ib3JuZXI8L0F1dGhvcj48WWVhcj4yMDEzPC9ZZWFyPjxS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</w:fldData>
        </w:fldChar>
      </w:r>
      <w:r w:rsidR="00393A98">
        <w:rPr>
          <w:rFonts w:asciiTheme="majorBidi" w:hAnsiTheme="majorBidi" w:cstheme="majorBidi"/>
          <w:color w:val="000000" w:themeColor="text1"/>
          <w:sz w:val="24"/>
          <w:szCs w:val="24"/>
        </w:rPr>
        <w:instrText xml:space="preserve"> ADDIN EN.CITE </w:instrText>
      </w:r>
      <w:r w:rsidR="00393A98">
        <w:rPr>
          <w:rFonts w:asciiTheme="majorBidi" w:hAnsiTheme="majorBidi" w:cstheme="majorBidi"/>
          <w:color w:val="000000" w:themeColor="text1"/>
          <w:sz w:val="24"/>
          <w:szCs w:val="24"/>
        </w:rPr>
        <w:fldChar w:fldCharType="begin">
          <w:fldData xml:space="preserve">PEVuZE5vdGU+PENpdGU+PEF1dGhvcj5Ib3JuZXI8L0F1dGhvcj48WWVhcj4yMDEzPC9ZZWFyPjxS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</w:fldData>
        </w:fldChar>
      </w:r>
      <w:r w:rsidR="00393A98">
        <w:rPr>
          <w:rFonts w:asciiTheme="majorBidi" w:hAnsiTheme="majorBidi" w:cstheme="majorBidi"/>
          <w:color w:val="000000" w:themeColor="text1"/>
          <w:sz w:val="24"/>
          <w:szCs w:val="24"/>
        </w:rPr>
        <w:instrText xml:space="preserve"> ADDIN EN.CITE.DATA </w:instrText>
      </w:r>
      <w:r w:rsidR="00393A98">
        <w:rPr>
          <w:rFonts w:asciiTheme="majorBidi" w:hAnsiTheme="majorBidi" w:cstheme="majorBidi"/>
          <w:color w:val="000000" w:themeColor="text1"/>
          <w:sz w:val="24"/>
          <w:szCs w:val="24"/>
        </w:rPr>
      </w:r>
      <w:r w:rsidR="00393A98">
        <w:rPr>
          <w:rFonts w:asciiTheme="majorBidi" w:hAnsiTheme="majorBidi" w:cstheme="majorBidi"/>
          <w:color w:val="000000" w:themeColor="text1"/>
          <w:sz w:val="24"/>
          <w:szCs w:val="24"/>
        </w:rPr>
        <w:fldChar w:fldCharType="end"/>
      </w:r>
      <w:r w:rsidR="000A35E3">
        <w:rPr>
          <w:rFonts w:asciiTheme="majorBidi" w:hAnsiTheme="majorBidi" w:cstheme="majorBidi"/>
          <w:color w:val="000000" w:themeColor="text1"/>
          <w:sz w:val="24"/>
          <w:szCs w:val="24"/>
        </w:rPr>
      </w:r>
      <w:r w:rsidR="000A35E3">
        <w:rPr>
          <w:rFonts w:asciiTheme="majorBidi" w:hAnsiTheme="majorBidi" w:cstheme="majorBidi"/>
          <w:color w:val="000000" w:themeColor="text1"/>
          <w:sz w:val="24"/>
          <w:szCs w:val="24"/>
        </w:rPr>
        <w:fldChar w:fldCharType="separate"/>
      </w:r>
      <w:r w:rsidR="00393A98">
        <w:rPr>
          <w:rFonts w:asciiTheme="majorBidi" w:hAnsiTheme="majorBidi" w:cstheme="majorBidi"/>
          <w:noProof/>
          <w:color w:val="000000" w:themeColor="text1"/>
          <w:sz w:val="24"/>
          <w:szCs w:val="24"/>
        </w:rPr>
        <w:t>(</w:t>
      </w:r>
      <w:hyperlink w:anchor="_ENREF_33" w:tooltip="Bussey, 2012 #349" w:history="1">
        <w:r w:rsidR="00DE113E">
          <w:rPr>
            <w:rFonts w:asciiTheme="majorBidi" w:hAnsiTheme="majorBidi" w:cstheme="majorBidi"/>
            <w:noProof/>
            <w:color w:val="000000" w:themeColor="text1"/>
            <w:sz w:val="24"/>
            <w:szCs w:val="24"/>
          </w:rPr>
          <w:t>Bussey et al., 2012a</w:t>
        </w:r>
      </w:hyperlink>
      <w:r w:rsidR="00393A98">
        <w:rPr>
          <w:rFonts w:asciiTheme="majorBidi" w:hAnsiTheme="majorBidi" w:cstheme="majorBidi"/>
          <w:noProof/>
          <w:color w:val="000000" w:themeColor="text1"/>
          <w:sz w:val="24"/>
          <w:szCs w:val="24"/>
        </w:rPr>
        <w:t xml:space="preserve">; </w:t>
      </w:r>
      <w:hyperlink w:anchor="_ENREF_105" w:tooltip="Horner, 2013 #348" w:history="1">
        <w:r w:rsidR="00DE113E">
          <w:rPr>
            <w:rFonts w:asciiTheme="majorBidi" w:hAnsiTheme="majorBidi" w:cstheme="majorBidi"/>
            <w:noProof/>
            <w:color w:val="000000" w:themeColor="text1"/>
            <w:sz w:val="24"/>
            <w:szCs w:val="24"/>
          </w:rPr>
          <w:t>A. E. Horner et al., 2013</w:t>
        </w:r>
      </w:hyperlink>
      <w:r w:rsidR="00393A98">
        <w:rPr>
          <w:rFonts w:asciiTheme="majorBidi" w:hAnsiTheme="majorBidi" w:cstheme="majorBidi"/>
          <w:noProof/>
          <w:color w:val="000000" w:themeColor="text1"/>
          <w:sz w:val="24"/>
          <w:szCs w:val="24"/>
        </w:rPr>
        <w:t>)</w:t>
      </w:r>
      <w:r w:rsidR="000A35E3">
        <w:rPr>
          <w:rFonts w:asciiTheme="majorBidi" w:hAnsiTheme="majorBidi" w:cstheme="majorBidi"/>
          <w:color w:val="000000" w:themeColor="text1"/>
          <w:sz w:val="24"/>
          <w:szCs w:val="24"/>
        </w:rPr>
        <w:fldChar w:fldCharType="end"/>
      </w:r>
      <w:r w:rsidR="000A35E3">
        <w:rPr>
          <w:rFonts w:asciiTheme="majorBidi" w:hAnsiTheme="majorBidi" w:cstheme="majorBidi"/>
          <w:color w:val="000000" w:themeColor="text1"/>
          <w:sz w:val="24"/>
          <w:szCs w:val="24"/>
        </w:rPr>
        <w:t>.</w:t>
      </w:r>
      <w:r w:rsidR="00957915">
        <w:rPr>
          <w:rFonts w:asciiTheme="majorBidi" w:hAnsiTheme="majorBidi" w:cstheme="majorBidi" w:hint="cs"/>
          <w:color w:val="000000" w:themeColor="text1"/>
          <w:sz w:val="24"/>
          <w:szCs w:val="24"/>
          <w:rtl/>
        </w:rPr>
        <w:t xml:space="preserve"> </w:t>
      </w:r>
      <w:r>
        <w:rPr>
          <w:rFonts w:asciiTheme="majorBidi" w:hAnsiTheme="majorBidi" w:cstheme="majorBidi"/>
          <w:color w:val="000000" w:themeColor="text1"/>
          <w:sz w:val="24"/>
          <w:szCs w:val="24"/>
        </w:rPr>
        <w:t>In our study m</w:t>
      </w:r>
      <w:r w:rsidR="00A42F60" w:rsidRPr="00A42F60">
        <w:rPr>
          <w:rFonts w:asciiTheme="majorBidi" w:hAnsiTheme="majorBidi" w:cstheme="majorBidi"/>
          <w:color w:val="000000" w:themeColor="text1"/>
          <w:sz w:val="24"/>
          <w:szCs w:val="24"/>
        </w:rPr>
        <w:t xml:space="preserve">ice demonstrated progressive improvement in pairwise visual discrimination, </w:t>
      </w:r>
      <w:r w:rsidR="00A42F60" w:rsidRPr="00A42F60">
        <w:rPr>
          <w:rFonts w:asciiTheme="majorBidi" w:hAnsiTheme="majorBidi" w:cstheme="majorBidi"/>
          <w:color w:val="000000" w:themeColor="text1"/>
          <w:sz w:val="24"/>
          <w:szCs w:val="24"/>
        </w:rPr>
        <w:lastRenderedPageBreak/>
        <w:t>achieving stable accuracy levels after repeated training, which confirms successful task acquisition. The absence of significant differences between acquisition and reversal phases suggests that while animals effectively adapted to reversed contingencies, their overall learning efficiency remained consistent across conditions</w:t>
      </w:r>
      <w:r w:rsidR="00A42F60">
        <w:rPr>
          <w:rFonts w:asciiTheme="majorBidi" w:hAnsiTheme="majorBidi" w:cstheme="majorBidi"/>
          <w:color w:val="000000" w:themeColor="text1"/>
          <w:sz w:val="24"/>
          <w:szCs w:val="24"/>
        </w:rPr>
        <w:t xml:space="preserve">. </w:t>
      </w:r>
      <w:r w:rsidR="00A42F60" w:rsidRPr="00A42F60">
        <w:rPr>
          <w:rFonts w:asciiTheme="majorBidi" w:hAnsiTheme="majorBidi" w:cstheme="majorBidi"/>
          <w:color w:val="000000" w:themeColor="text1"/>
          <w:sz w:val="24"/>
          <w:szCs w:val="24"/>
        </w:rPr>
        <w:t>Our results showed that mice required an average of 19 sessions to reach stable performance in the acquisition phase of the pairwise visual discrimination task. This finding is consistent with previous research by Liao et al. (2020), in which mice required approximately 18 sessions to reach the acquisition criterion.</w:t>
      </w:r>
      <w:r w:rsidR="000A35E3">
        <w:rPr>
          <w:rFonts w:asciiTheme="majorBidi" w:hAnsiTheme="majorBidi" w:cstheme="majorBidi"/>
          <w:color w:val="000000" w:themeColor="text1"/>
          <w:sz w:val="24"/>
          <w:szCs w:val="24"/>
        </w:rPr>
        <w:t xml:space="preserve"> </w:t>
      </w:r>
      <w:r w:rsidR="0034187A" w:rsidRPr="0034187A">
        <w:rPr>
          <w:rFonts w:asciiTheme="majorBidi" w:hAnsiTheme="majorBidi" w:cstheme="majorBidi"/>
          <w:color w:val="000000" w:themeColor="text1"/>
          <w:sz w:val="24"/>
          <w:szCs w:val="24"/>
        </w:rPr>
        <w:t>Also, in the reversal learning phase, our mice needed more sessions, about 25 sessions, to achieve stable performance, while in previous studies, about 18 sessions were required to achieve stable performance. This difference in performance may be due to the difference in the type of stimulus shape, as in our experiment, two shapes of spider and airplane were used, while in the previous experiment, fan and marble were used</w:t>
      </w:r>
      <w:r w:rsidR="00221EC5" w:rsidRPr="00221EC5">
        <w:t xml:space="preserve"> </w:t>
      </w:r>
      <w:r w:rsidR="00221EC5">
        <w:rPr>
          <w:rFonts w:asciiTheme="majorBidi" w:hAnsiTheme="majorBidi" w:cstheme="majorBidi"/>
          <w:color w:val="000000" w:themeColor="text1"/>
          <w:sz w:val="24"/>
          <w:szCs w:val="24"/>
        </w:rPr>
        <w:fldChar w:fldCharType="begin"/>
      </w:r>
      <w:r w:rsidR="00221EC5">
        <w:rPr>
          <w:rFonts w:asciiTheme="majorBidi" w:hAnsiTheme="majorBidi" w:cstheme="majorBidi"/>
          <w:color w:val="000000" w:themeColor="text1"/>
          <w:sz w:val="24"/>
          <w:szCs w:val="24"/>
        </w:rPr>
        <w:instrText xml:space="preserve"> ADDIN EN.CITE &lt;EndNote&gt;&lt;Cite&gt;&lt;Author&gt;Liao&lt;/Author&gt;&lt;Year&gt;2022&lt;/Year&gt;&lt;RecNum&gt;346&lt;/RecNum&gt;&lt;DisplayText&gt;(Liao et al., 2022)&lt;/DisplayText&gt;&lt;record&gt;&lt;rec-number&gt;346&lt;/rec-number&gt;&lt;foreign-keys&gt;&lt;key app="EN" db-id="2ptrtps0adr9vke22dn5tpwzrsfaxtxrfwet" timestamp="1760352150"&gt;346&lt;/key&gt;&lt;/foreign-keys&gt;&lt;ref-type name="Journal Article"&gt;17&lt;/ref-type&gt;&lt;contributors&gt;&lt;authors&gt;&lt;author&gt;Liao, Jingzhu&lt;/author&gt;&lt;author&gt;Dong, Geyao&lt;/author&gt;&lt;author&gt;Wulaer, Bolati&lt;/author&gt;&lt;author&gt;Sawahata, Masahito&lt;/author&gt;&lt;author&gt;Mizoguchi, Hiroyuki&lt;/author&gt;&lt;author&gt;Mori, Daisuke&lt;/author&gt;&lt;author&gt;Ozaki, Norio&lt;/author&gt;&lt;author&gt;Nabeshima, Toshitaka&lt;/author&gt;&lt;author&gt;Nagai, Taku&lt;/author&gt;&lt;author&gt;Yamada, Kiyofumi&lt;/author&gt;&lt;/authors&gt;&lt;/contributors&gt;&lt;titles&gt;&lt;title&gt;Mice with exonic RELN deletion identified from a patient with schizophrenia have impaired visual discrimination learning and reversal learning in touchscreen operant tasks&lt;/title&gt;&lt;secondary-title&gt;Behavioural Brain Research&lt;/secondary-title&gt;&lt;/titles&gt;&lt;periodical&gt;&lt;full-title&gt;Behavioural Brain Research&lt;/full-title&gt;&lt;/periodical&gt;&lt;pages&gt;113569&lt;/pages&gt;&lt;volume&gt;416&lt;/volume&gt;&lt;keywords&gt;&lt;keyword&gt;Reelin&lt;/keyword&gt;&lt;keyword&gt;Visual discrimination&lt;/keyword&gt;&lt;keyword&gt;Reversal learning&lt;/keyword&gt;&lt;keyword&gt;Cognitive function&lt;/keyword&gt;&lt;keyword&gt;Behavioral flexibility&lt;/keyword&gt;&lt;/keywords&gt;&lt;dates&gt;&lt;year&gt;2022&lt;/year&gt;&lt;pub-dates&gt;&lt;date&gt;2022/01/07/&lt;/date&gt;&lt;/pub-dates&gt;&lt;/dates&gt;&lt;isbn&gt;0166-4328&lt;/isbn&gt;&lt;urls&gt;&lt;related-urls&gt;&lt;url&gt;https://www.sciencedirect.com/science/article/pii/S0166432821004575&lt;/url&gt;&lt;/related-urls&gt;&lt;/urls&gt;&lt;electronic-resource-num&gt;https://doi.org/10.1016/j.bbr.2021.113569&lt;/electronic-resource-num&gt;&lt;/record&gt;&lt;/Cite&gt;&lt;/EndNote&gt;</w:instrText>
      </w:r>
      <w:r w:rsidR="00221EC5">
        <w:rPr>
          <w:rFonts w:asciiTheme="majorBidi" w:hAnsiTheme="majorBidi" w:cstheme="majorBidi"/>
          <w:color w:val="000000" w:themeColor="text1"/>
          <w:sz w:val="24"/>
          <w:szCs w:val="24"/>
        </w:rPr>
        <w:fldChar w:fldCharType="separate"/>
      </w:r>
      <w:r w:rsidR="00221EC5">
        <w:rPr>
          <w:rFonts w:asciiTheme="majorBidi" w:hAnsiTheme="majorBidi" w:cstheme="majorBidi"/>
          <w:noProof/>
          <w:color w:val="000000" w:themeColor="text1"/>
          <w:sz w:val="24"/>
          <w:szCs w:val="24"/>
        </w:rPr>
        <w:t>(</w:t>
      </w:r>
      <w:hyperlink w:anchor="_ENREF_138" w:tooltip="Liao, 2022 #346" w:history="1">
        <w:r w:rsidR="00DE113E">
          <w:rPr>
            <w:rFonts w:asciiTheme="majorBidi" w:hAnsiTheme="majorBidi" w:cstheme="majorBidi"/>
            <w:noProof/>
            <w:color w:val="000000" w:themeColor="text1"/>
            <w:sz w:val="24"/>
            <w:szCs w:val="24"/>
          </w:rPr>
          <w:t>Liao et al., 2022</w:t>
        </w:r>
      </w:hyperlink>
      <w:r w:rsidR="00221EC5">
        <w:rPr>
          <w:rFonts w:asciiTheme="majorBidi" w:hAnsiTheme="majorBidi" w:cstheme="majorBidi"/>
          <w:noProof/>
          <w:color w:val="000000" w:themeColor="text1"/>
          <w:sz w:val="24"/>
          <w:szCs w:val="24"/>
        </w:rPr>
        <w:t>)</w:t>
      </w:r>
      <w:r w:rsidR="00221EC5">
        <w:rPr>
          <w:rFonts w:asciiTheme="majorBidi" w:hAnsiTheme="majorBidi" w:cstheme="majorBidi"/>
          <w:color w:val="000000" w:themeColor="text1"/>
          <w:sz w:val="24"/>
          <w:szCs w:val="24"/>
        </w:rPr>
        <w:fldChar w:fldCharType="end"/>
      </w:r>
      <w:r w:rsidR="00E10000">
        <w:rPr>
          <w:rFonts w:asciiTheme="majorBidi" w:hAnsiTheme="majorBidi" w:cstheme="majorBidi"/>
          <w:color w:val="000000" w:themeColor="text1"/>
          <w:sz w:val="24"/>
          <w:szCs w:val="24"/>
        </w:rPr>
        <w:t xml:space="preserve">. </w:t>
      </w:r>
      <w:r w:rsidR="00957915">
        <w:rPr>
          <w:rFonts w:asciiTheme="majorBidi" w:hAnsiTheme="majorBidi" w:cstheme="majorBidi"/>
          <w:color w:val="000000" w:themeColor="text1"/>
          <w:sz w:val="24"/>
          <w:szCs w:val="24"/>
        </w:rPr>
        <w:t>As well as</w:t>
      </w:r>
      <w:r w:rsidR="00E10000">
        <w:rPr>
          <w:rFonts w:asciiTheme="majorBidi" w:hAnsiTheme="majorBidi" w:cstheme="majorBidi"/>
          <w:color w:val="000000" w:themeColor="text1"/>
          <w:sz w:val="24"/>
          <w:szCs w:val="24"/>
        </w:rPr>
        <w:t xml:space="preserve"> </w:t>
      </w:r>
      <w:r w:rsidR="00E10000" w:rsidRPr="00E10000">
        <w:rPr>
          <w:rFonts w:asciiTheme="majorBidi" w:hAnsiTheme="majorBidi" w:cstheme="majorBidi"/>
          <w:color w:val="000000" w:themeColor="text1"/>
          <w:sz w:val="24"/>
          <w:szCs w:val="24"/>
        </w:rPr>
        <w:t>our results</w:t>
      </w:r>
      <w:r w:rsidR="00E10000">
        <w:rPr>
          <w:rFonts w:asciiTheme="majorBidi" w:hAnsiTheme="majorBidi" w:cstheme="majorBidi"/>
          <w:color w:val="000000" w:themeColor="text1"/>
          <w:sz w:val="24"/>
          <w:szCs w:val="24"/>
        </w:rPr>
        <w:t xml:space="preserve"> </w:t>
      </w:r>
      <w:r w:rsidR="00E10000" w:rsidRPr="00E10000">
        <w:rPr>
          <w:rFonts w:asciiTheme="majorBidi" w:hAnsiTheme="majorBidi" w:cstheme="majorBidi"/>
          <w:color w:val="000000" w:themeColor="text1"/>
          <w:sz w:val="24"/>
          <w:szCs w:val="24"/>
        </w:rPr>
        <w:t>showed that during the acquisition phase, mice reached the learning criterion faster when the plane shape was used as the rewarded stimulus compared to the spider shape. However, in the reversal phase, no significant difference was observed between the two stimuli, indicating similar cognitive adaptability.</w:t>
      </w:r>
    </w:p>
    <w:p w14:paraId="28EEFD25" w14:textId="77777777" w:rsidR="00DE3230" w:rsidRPr="00DE3230" w:rsidRDefault="00DE3230" w:rsidP="00241658">
      <w:pPr>
        <w:jc w:val="both"/>
        <w:rPr>
          <w:rFonts w:asciiTheme="majorBidi" w:hAnsiTheme="majorBidi" w:cstheme="majorBidi"/>
          <w:b/>
          <w:bCs/>
          <w:color w:val="000000" w:themeColor="text1"/>
          <w:sz w:val="24"/>
          <w:szCs w:val="24"/>
        </w:rPr>
      </w:pPr>
    </w:p>
    <w:p w14:paraId="6E31287B" w14:textId="5B7E14E3" w:rsidR="00DE3230" w:rsidRDefault="00DE3230" w:rsidP="00D623DE">
      <w:pPr>
        <w:pStyle w:val="Heading2"/>
        <w:ind w:left="720"/>
      </w:pPr>
      <w:bookmarkStart w:id="72" w:name="_Toc214875876"/>
      <w:r w:rsidRPr="00DE3230">
        <w:t>4.2 Memory as Association: Insights from the Paired-Associate Learning Paradigm</w:t>
      </w:r>
      <w:r w:rsidR="003B2D7B">
        <w:t xml:space="preserve"> (PAL)</w:t>
      </w:r>
      <w:bookmarkEnd w:id="72"/>
    </w:p>
    <w:p w14:paraId="413DBBC4" w14:textId="1723D87F" w:rsidR="003F180E" w:rsidRDefault="00D46FB1" w:rsidP="00241658">
      <w:pPr>
        <w:spacing w:line="360" w:lineRule="auto"/>
        <w:ind w:left="720"/>
        <w:jc w:val="both"/>
        <w:rPr>
          <w:rFonts w:asciiTheme="majorBidi" w:hAnsiTheme="majorBidi" w:cstheme="majorBidi"/>
          <w:color w:val="000000" w:themeColor="text1"/>
          <w:sz w:val="24"/>
          <w:szCs w:val="24"/>
        </w:rPr>
      </w:pPr>
      <w:r w:rsidRPr="00D46FB1">
        <w:rPr>
          <w:rFonts w:asciiTheme="majorBidi" w:hAnsiTheme="majorBidi" w:cstheme="majorBidi"/>
          <w:color w:val="000000" w:themeColor="text1"/>
          <w:sz w:val="24"/>
          <w:szCs w:val="24"/>
        </w:rPr>
        <w:t xml:space="preserve">We aimed to establish a baseline for dPAL task in the C57BL/6 naïve male mice. Our results showed that the mice achieved stable performance in 50 experimental sessions, which is consistent with the results of previous studies, confirming these findings and the validity of our data </w:t>
      </w:r>
      <w:r w:rsidRPr="00D46FB1">
        <w:rPr>
          <w:rFonts w:asciiTheme="majorBidi" w:hAnsiTheme="majorBidi" w:cstheme="majorBidi"/>
          <w:color w:val="000000" w:themeColor="text1"/>
          <w:sz w:val="24"/>
          <w:szCs w:val="24"/>
        </w:rPr>
        <w:fldChar w:fldCharType="begin"/>
      </w:r>
      <w:r w:rsidRPr="00D46FB1">
        <w:rPr>
          <w:rFonts w:asciiTheme="majorBidi" w:hAnsiTheme="majorBidi" w:cstheme="majorBidi"/>
          <w:color w:val="000000" w:themeColor="text1"/>
          <w:sz w:val="24"/>
          <w:szCs w:val="24"/>
        </w:rPr>
        <w:instrText xml:space="preserve"> ADDIN EN.CITE &lt;EndNote&gt;&lt;Cite&gt;&lt;Author&gt;Delotterie&lt;/Author&gt;&lt;Year&gt;2014&lt;/Year&gt;&lt;RecNum&gt;352&lt;/RecNum&gt;&lt;DisplayText&gt;(Delotterie, Mathis, Cassel, Dorner, et al., 2014)&lt;/DisplayText&gt;&lt;record&gt;&lt;rec-number&gt;352&lt;/rec-number&gt;&lt;foreign-keys&gt;&lt;key app="EN" db-id="2ptrtps0adr9vke22dn5tpwzrsfaxtxrfwet" timestamp="1760363860"&gt;352&lt;/key&gt;&lt;/foreign-keys&gt;&lt;ref-type name="Journal Article"&gt;17&lt;/ref-type&gt;&lt;contributors&gt;&lt;authors&gt;&lt;author&gt;Delotterie, David&lt;/author&gt;&lt;author&gt;Mathis, Chantal&lt;/author&gt;&lt;author&gt;Cassel, Jean-Christophe&lt;/author&gt;&lt;author&gt;Dorner, Cornelia&lt;/author&gt;&lt;author&gt;Marti, Anelise&lt;/author&gt;&lt;/authors&gt;&lt;/contributors&gt;&lt;titles&gt;&lt;title&gt;Optimization of Touchscreen-Based Behavioral Paradigms in Mice: Implications for Building a Battery of Tasks Taxing Learning and Memory Functions&lt;/title&gt;&lt;secondary-title&gt;PloS one&lt;/secondary-title&gt;&lt;/titles&gt;&lt;periodical&gt;&lt;full-title&gt;Plos One&lt;/full-title&gt;&lt;/periodical&gt;&lt;pages&gt;e100817&lt;/pages&gt;&lt;volume&gt;9&lt;/volume&gt;&lt;dates&gt;&lt;year&gt;2014&lt;/year&gt;&lt;pub-dates&gt;&lt;date&gt;06/24&lt;/date&gt;&lt;/pub-dates&gt;&lt;/dates&gt;&lt;urls&gt;&lt;/urls&gt;&lt;electronic-resource-num&gt;10.1371/journal.pone.0100817&lt;/electronic-resource-num&gt;&lt;/record&gt;&lt;/Cite&gt;&lt;/EndNote&gt;</w:instrText>
      </w:r>
      <w:r w:rsidRPr="00D46FB1">
        <w:rPr>
          <w:rFonts w:asciiTheme="majorBidi" w:hAnsiTheme="majorBidi" w:cstheme="majorBidi"/>
          <w:color w:val="000000" w:themeColor="text1"/>
          <w:sz w:val="24"/>
          <w:szCs w:val="24"/>
        </w:rPr>
        <w:fldChar w:fldCharType="separate"/>
      </w:r>
      <w:r w:rsidRPr="00D46FB1">
        <w:rPr>
          <w:rFonts w:asciiTheme="majorBidi" w:hAnsiTheme="majorBidi" w:cstheme="majorBidi"/>
          <w:color w:val="000000" w:themeColor="text1"/>
          <w:sz w:val="24"/>
          <w:szCs w:val="24"/>
        </w:rPr>
        <w:t>(</w:t>
      </w:r>
      <w:hyperlink w:anchor="_ENREF_59" w:tooltip="Delotterie, 2014 #352" w:history="1">
        <w:r w:rsidR="00DE113E" w:rsidRPr="00D46FB1">
          <w:rPr>
            <w:rFonts w:asciiTheme="majorBidi" w:hAnsiTheme="majorBidi" w:cstheme="majorBidi"/>
            <w:color w:val="000000" w:themeColor="text1"/>
            <w:sz w:val="24"/>
            <w:szCs w:val="24"/>
          </w:rPr>
          <w:t>Delotterie, Mathis, Cassel, Dorner, et al., 2014</w:t>
        </w:r>
      </w:hyperlink>
      <w:r w:rsidRPr="00D46FB1">
        <w:rPr>
          <w:rFonts w:asciiTheme="majorBidi" w:hAnsiTheme="majorBidi" w:cstheme="majorBidi"/>
          <w:color w:val="000000" w:themeColor="text1"/>
          <w:sz w:val="24"/>
          <w:szCs w:val="24"/>
        </w:rPr>
        <w:t>)</w:t>
      </w:r>
      <w:r w:rsidRPr="00D46FB1">
        <w:rPr>
          <w:rFonts w:asciiTheme="majorBidi" w:hAnsiTheme="majorBidi" w:cstheme="majorBidi"/>
          <w:color w:val="000000" w:themeColor="text1"/>
          <w:sz w:val="24"/>
          <w:szCs w:val="24"/>
        </w:rPr>
        <w:fldChar w:fldCharType="end"/>
      </w:r>
      <w:r w:rsidRPr="00D46FB1">
        <w:rPr>
          <w:rFonts w:asciiTheme="majorBidi" w:hAnsiTheme="majorBidi" w:cstheme="majorBidi"/>
          <w:color w:val="000000" w:themeColor="text1"/>
          <w:sz w:val="24"/>
          <w:szCs w:val="24"/>
        </w:rPr>
        <w:t>.</w:t>
      </w:r>
      <w:r w:rsidR="001E0755">
        <w:rPr>
          <w:rFonts w:asciiTheme="majorBidi" w:hAnsiTheme="majorBidi" w:cstheme="majorBidi"/>
          <w:color w:val="000000" w:themeColor="text1"/>
          <w:sz w:val="24"/>
          <w:szCs w:val="24"/>
        </w:rPr>
        <w:t xml:space="preserve"> </w:t>
      </w:r>
      <w:r w:rsidR="00E06C5B" w:rsidRPr="00E06C5B">
        <w:rPr>
          <w:rFonts w:asciiTheme="majorBidi" w:hAnsiTheme="majorBidi" w:cstheme="majorBidi"/>
          <w:color w:val="000000" w:themeColor="text1"/>
          <w:sz w:val="24"/>
          <w:szCs w:val="24"/>
        </w:rPr>
        <w:t>One study showed that the CANTAB Paired Associates Learning (PAL) test can sensitively detect early cognitive decline in Alzheimer’s disease and mild cognitive impairment. Over 30 years, PAL has proven to be a robust, non-verbal, cross-species tool</w:t>
      </w:r>
      <w:r w:rsidR="00437BBC">
        <w:rPr>
          <w:rFonts w:asciiTheme="majorBidi" w:hAnsiTheme="majorBidi" w:cstheme="majorBidi"/>
          <w:color w:val="000000" w:themeColor="text1"/>
          <w:sz w:val="24"/>
          <w:szCs w:val="24"/>
        </w:rPr>
        <w:t xml:space="preserve"> </w:t>
      </w:r>
      <w:r w:rsidR="00E06C5B" w:rsidRPr="00E06C5B">
        <w:rPr>
          <w:rFonts w:asciiTheme="majorBidi" w:hAnsiTheme="majorBidi" w:cstheme="majorBidi"/>
          <w:color w:val="000000" w:themeColor="text1"/>
          <w:sz w:val="24"/>
          <w:szCs w:val="24"/>
        </w:rPr>
        <w:t xml:space="preserve">bridging lab research and clinical practice. Its adaptability and neural </w:t>
      </w:r>
      <w:r w:rsidR="00E06C5B" w:rsidRPr="00E06C5B">
        <w:rPr>
          <w:rFonts w:asciiTheme="majorBidi" w:hAnsiTheme="majorBidi" w:cstheme="majorBidi"/>
          <w:color w:val="000000" w:themeColor="text1"/>
          <w:sz w:val="24"/>
          <w:szCs w:val="24"/>
        </w:rPr>
        <w:lastRenderedPageBreak/>
        <w:t>validity make it a powerful instrument for translational neuroscience and early intervention strategies</w:t>
      </w:r>
      <w:r w:rsidR="00E06C5B" w:rsidRPr="00E06C5B">
        <w:t xml:space="preserve"> </w:t>
      </w:r>
      <w:r w:rsidR="00E06C5B">
        <w:rPr>
          <w:rFonts w:asciiTheme="majorBidi" w:hAnsiTheme="majorBidi" w:cstheme="majorBidi"/>
          <w:color w:val="000000" w:themeColor="text1"/>
          <w:sz w:val="24"/>
          <w:szCs w:val="24"/>
        </w:rPr>
        <w:fldChar w:fldCharType="begin"/>
      </w:r>
      <w:r w:rsidR="00E06C5B">
        <w:rPr>
          <w:rFonts w:asciiTheme="majorBidi" w:hAnsiTheme="majorBidi" w:cstheme="majorBidi"/>
          <w:color w:val="000000" w:themeColor="text1"/>
          <w:sz w:val="24"/>
          <w:szCs w:val="24"/>
        </w:rPr>
        <w:instrText xml:space="preserve"> ADDIN EN.CITE &lt;EndNote&gt;&lt;Cite&gt;&lt;Author&gt;Barnett&lt;/Author&gt;&lt;Year&gt;2016&lt;/Year&gt;&lt;RecNum&gt;354&lt;/RecNum&gt;&lt;DisplayText&gt;(Barnett et al., 2016)&lt;/DisplayText&gt;&lt;record&gt;&lt;rec-number&gt;354&lt;/rec-number&gt;&lt;foreign-keys&gt;&lt;key app="EN" db-id="2ptrtps0adr9vke22dn5tpwzrsfaxtxrfwet" timestamp="1760432370"&gt;354&lt;/key&gt;&lt;/foreign-keys&gt;&lt;ref-type name="Book Section"&gt;5&lt;/ref-type&gt;&lt;contributors&gt;&lt;authors&gt;&lt;author&gt;Barnett, Jennifer H.&lt;/author&gt;&lt;author&gt;Blackwell, Andrew D.&lt;/author&gt;&lt;author&gt;Sahakian, Barbara J.&lt;/author&gt;&lt;author&gt;Robbins, Trevor W.&lt;/author&gt;&lt;/authors&gt;&lt;secondary-authors&gt;&lt;author&gt;Robbins, Trevor W.&lt;/author&gt;&lt;author&gt;Sahakian, Barbara J.&lt;/author&gt;&lt;/secondary-authors&gt;&lt;/contributors&gt;&lt;titles&gt;&lt;title&gt;The Paired Associates Learning (PAL) Test: 30 Years of CANTAB Translational Neuroscience from Laboratory to Bedside in Dementia Research&lt;/title&gt;&lt;secondary-title&gt;Translational Neuropsychopharmacology&lt;/secondary-title&gt;&lt;/titles&gt;&lt;pages&gt;449-474&lt;/pages&gt;&lt;dates&gt;&lt;year&gt;2016&lt;/year&gt;&lt;/dates&gt;&lt;pub-location&gt;Cham&lt;/pub-location&gt;&lt;publisher&gt;Springer International Publishing&lt;/publisher&gt;&lt;isbn&gt;978-3-319-33913-9&lt;/isbn&gt;&lt;label&gt;Barnett2016&lt;/label&gt;&lt;urls&gt;&lt;related-urls&gt;&lt;url&gt;https://doi.org/10.1007/7854_2015_5001&lt;/url&gt;&lt;/related-urls&gt;&lt;/urls&gt;&lt;electronic-resource-num&gt;10.1007/7854_2015_5001&lt;/electronic-resource-num&gt;&lt;/record&gt;&lt;/Cite&gt;&lt;/EndNote&gt;</w:instrText>
      </w:r>
      <w:r w:rsidR="00E06C5B">
        <w:rPr>
          <w:rFonts w:asciiTheme="majorBidi" w:hAnsiTheme="majorBidi" w:cstheme="majorBidi"/>
          <w:color w:val="000000" w:themeColor="text1"/>
          <w:sz w:val="24"/>
          <w:szCs w:val="24"/>
        </w:rPr>
        <w:fldChar w:fldCharType="separate"/>
      </w:r>
      <w:r w:rsidR="00E06C5B">
        <w:rPr>
          <w:rFonts w:asciiTheme="majorBidi" w:hAnsiTheme="majorBidi" w:cstheme="majorBidi"/>
          <w:noProof/>
          <w:color w:val="000000" w:themeColor="text1"/>
          <w:sz w:val="24"/>
          <w:szCs w:val="24"/>
        </w:rPr>
        <w:t>(</w:t>
      </w:r>
      <w:hyperlink w:anchor="_ENREF_15" w:tooltip="Barnett, 2016 #354" w:history="1">
        <w:r w:rsidR="00DE113E">
          <w:rPr>
            <w:rFonts w:asciiTheme="majorBidi" w:hAnsiTheme="majorBidi" w:cstheme="majorBidi"/>
            <w:noProof/>
            <w:color w:val="000000" w:themeColor="text1"/>
            <w:sz w:val="24"/>
            <w:szCs w:val="24"/>
          </w:rPr>
          <w:t>Barnett et al., 2016</w:t>
        </w:r>
      </w:hyperlink>
      <w:r w:rsidR="00E06C5B">
        <w:rPr>
          <w:rFonts w:asciiTheme="majorBidi" w:hAnsiTheme="majorBidi" w:cstheme="majorBidi"/>
          <w:noProof/>
          <w:color w:val="000000" w:themeColor="text1"/>
          <w:sz w:val="24"/>
          <w:szCs w:val="24"/>
        </w:rPr>
        <w:t>)</w:t>
      </w:r>
      <w:r w:rsidR="00E06C5B">
        <w:rPr>
          <w:rFonts w:asciiTheme="majorBidi" w:hAnsiTheme="majorBidi" w:cstheme="majorBidi"/>
          <w:color w:val="000000" w:themeColor="text1"/>
          <w:sz w:val="24"/>
          <w:szCs w:val="24"/>
        </w:rPr>
        <w:fldChar w:fldCharType="end"/>
      </w:r>
      <w:r w:rsidR="00E06C5B" w:rsidRPr="00E06C5B">
        <w:rPr>
          <w:rFonts w:asciiTheme="majorBidi" w:hAnsiTheme="majorBidi" w:cstheme="majorBidi"/>
          <w:color w:val="000000" w:themeColor="text1"/>
          <w:sz w:val="24"/>
          <w:szCs w:val="24"/>
        </w:rPr>
        <w:t>.</w:t>
      </w:r>
      <w:r w:rsidR="001E0755">
        <w:rPr>
          <w:rFonts w:asciiTheme="majorBidi" w:hAnsiTheme="majorBidi" w:cstheme="majorBidi"/>
          <w:color w:val="000000" w:themeColor="text1"/>
          <w:sz w:val="24"/>
          <w:szCs w:val="24"/>
        </w:rPr>
        <w:t xml:space="preserve"> </w:t>
      </w:r>
      <w:r w:rsidR="00DE113E">
        <w:rPr>
          <w:rFonts w:asciiTheme="majorBidi" w:hAnsiTheme="majorBidi" w:cstheme="majorBidi"/>
          <w:color w:val="000000" w:themeColor="text1"/>
          <w:sz w:val="24"/>
          <w:szCs w:val="24"/>
        </w:rPr>
        <w:t>P</w:t>
      </w:r>
      <w:r w:rsidR="00224E24">
        <w:rPr>
          <w:rFonts w:asciiTheme="majorBidi" w:hAnsiTheme="majorBidi" w:cstheme="majorBidi"/>
          <w:color w:val="000000" w:themeColor="text1"/>
          <w:sz w:val="24"/>
          <w:szCs w:val="24"/>
        </w:rPr>
        <w:t>revious work has suggested</w:t>
      </w:r>
      <w:r w:rsidR="00EB5D91" w:rsidRPr="00EB5D91">
        <w:rPr>
          <w:rFonts w:asciiTheme="majorBidi" w:hAnsiTheme="majorBidi" w:cstheme="majorBidi"/>
          <w:color w:val="000000" w:themeColor="text1"/>
          <w:sz w:val="24"/>
          <w:szCs w:val="24"/>
        </w:rPr>
        <w:t xml:space="preserve"> that both chronic stroke patients and mice also share comparable deficits in cognitive function when tested with the touchscreen-based (PAL) task. Patients with stroke and mice made significantly fewer correct responses than controls, suggesting residual deficits in visuospatial memory. The research supports the application of parallel tests of cognitive function between species in the better assessment and treatment development for cognitive dysfunction following stroke</w:t>
      </w:r>
      <w:r w:rsidR="00EE27A7">
        <w:rPr>
          <w:rFonts w:asciiTheme="majorBidi" w:hAnsiTheme="majorBidi" w:cstheme="majorBidi"/>
          <w:color w:val="000000" w:themeColor="text1"/>
          <w:sz w:val="24"/>
          <w:szCs w:val="24"/>
        </w:rPr>
        <w:t xml:space="preserve"> </w:t>
      </w:r>
      <w:r w:rsidR="00EE27A7">
        <w:rPr>
          <w:rFonts w:asciiTheme="majorBidi" w:hAnsiTheme="majorBidi" w:cstheme="majorBidi"/>
          <w:color w:val="000000" w:themeColor="text1"/>
          <w:sz w:val="24"/>
          <w:szCs w:val="24"/>
        </w:rPr>
        <w:fldChar w:fldCharType="begin"/>
      </w:r>
      <w:r w:rsidR="00EE27A7">
        <w:rPr>
          <w:rFonts w:asciiTheme="majorBidi" w:hAnsiTheme="majorBidi" w:cstheme="majorBidi"/>
          <w:color w:val="000000" w:themeColor="text1"/>
          <w:sz w:val="24"/>
          <w:szCs w:val="24"/>
        </w:rPr>
        <w:instrText xml:space="preserve"> ADDIN EN.CITE &lt;EndNote&gt;&lt;Cite&gt;&lt;Author&gt;Chow&lt;/Author&gt;&lt;Year&gt;2020&lt;/Year&gt;&lt;RecNum&gt;353&lt;/RecNum&gt;&lt;DisplayText&gt;(Chow et al., 2020)&lt;/DisplayText&gt;&lt;record&gt;&lt;rec-number&gt;353&lt;/rec-number&gt;&lt;foreign-keys&gt;&lt;key app="EN" db-id="2ptrtps0adr9vke22dn5tpwzrsfaxtxrfwet" timestamp="1760429733"&gt;353&lt;/key&gt;&lt;/foreign-keys&gt;&lt;ref-type name="Journal Article"&gt;17&lt;/ref-type&gt;&lt;contributors&gt;&lt;authors&gt;&lt;author&gt;Chow, Wei Zhen&lt;/author&gt;&lt;author&gt;Ong, Lin Kooi&lt;/author&gt;&lt;author&gt;Kluge, Murielle G.&lt;/author&gt;&lt;author&gt;Gyawali, Prajwal&lt;/author&gt;&lt;author&gt;Walker, Frederick R.&lt;/author&gt;&lt;author&gt;Nilsson, Michael&lt;/author&gt;&lt;/authors&gt;&lt;/contributors&gt;&lt;titles&gt;&lt;title&gt;Similar cognitive deficits in mice and humans in the chronic phase post-stroke identified using the touchscreen-based paired-associate learning task&lt;/title&gt;&lt;secondary-title&gt;Scientific Reports&lt;/secondary-title&gt;&lt;/titles&gt;&lt;periodical&gt;&lt;full-title&gt;Scientific Reports&lt;/full-title&gt;&lt;/periodical&gt;&lt;pages&gt;19545&lt;/pages&gt;&lt;volume&gt;10&lt;/volume&gt;&lt;number&gt;1&lt;/number&gt;&lt;dates&gt;&lt;year&gt;2020&lt;/year&gt;&lt;pub-dates&gt;&lt;date&gt;2020/11/11&lt;/date&gt;&lt;/pub-dates&gt;&lt;/dates&gt;&lt;isbn&gt;2045-2322&lt;/isbn&gt;&lt;urls&gt;&lt;related-urls&gt;&lt;url&gt;https://doi.org/10.1038/s41598-020-76560-x&lt;/url&gt;&lt;/related-urls&gt;&lt;/urls&gt;&lt;electronic-resource-num&gt;10.1038/s41598-020-76560-x&lt;/electronic-resource-num&gt;&lt;/record&gt;&lt;/Cite&gt;&lt;/EndNote&gt;</w:instrText>
      </w:r>
      <w:r w:rsidR="00EE27A7">
        <w:rPr>
          <w:rFonts w:asciiTheme="majorBidi" w:hAnsiTheme="majorBidi" w:cstheme="majorBidi"/>
          <w:color w:val="000000" w:themeColor="text1"/>
          <w:sz w:val="24"/>
          <w:szCs w:val="24"/>
        </w:rPr>
        <w:fldChar w:fldCharType="separate"/>
      </w:r>
      <w:r w:rsidR="00EE27A7">
        <w:rPr>
          <w:rFonts w:asciiTheme="majorBidi" w:hAnsiTheme="majorBidi" w:cstheme="majorBidi"/>
          <w:noProof/>
          <w:color w:val="000000" w:themeColor="text1"/>
          <w:sz w:val="24"/>
          <w:szCs w:val="24"/>
        </w:rPr>
        <w:t>(</w:t>
      </w:r>
      <w:hyperlink w:anchor="_ENREF_45" w:tooltip="Chow, 2020 #353" w:history="1">
        <w:r w:rsidR="00DE113E">
          <w:rPr>
            <w:rFonts w:asciiTheme="majorBidi" w:hAnsiTheme="majorBidi" w:cstheme="majorBidi"/>
            <w:noProof/>
            <w:color w:val="000000" w:themeColor="text1"/>
            <w:sz w:val="24"/>
            <w:szCs w:val="24"/>
          </w:rPr>
          <w:t>Chow et al., 2020</w:t>
        </w:r>
      </w:hyperlink>
      <w:r w:rsidR="00EE27A7">
        <w:rPr>
          <w:rFonts w:asciiTheme="majorBidi" w:hAnsiTheme="majorBidi" w:cstheme="majorBidi"/>
          <w:noProof/>
          <w:color w:val="000000" w:themeColor="text1"/>
          <w:sz w:val="24"/>
          <w:szCs w:val="24"/>
        </w:rPr>
        <w:t>)</w:t>
      </w:r>
      <w:r w:rsidR="00EE27A7">
        <w:rPr>
          <w:rFonts w:asciiTheme="majorBidi" w:hAnsiTheme="majorBidi" w:cstheme="majorBidi"/>
          <w:color w:val="000000" w:themeColor="text1"/>
          <w:sz w:val="24"/>
          <w:szCs w:val="24"/>
        </w:rPr>
        <w:fldChar w:fldCharType="end"/>
      </w:r>
      <w:r w:rsidR="00224E24">
        <w:rPr>
          <w:rFonts w:asciiTheme="majorBidi" w:hAnsiTheme="majorBidi" w:cstheme="majorBidi"/>
          <w:color w:val="000000" w:themeColor="text1"/>
          <w:sz w:val="24"/>
          <w:szCs w:val="24"/>
        </w:rPr>
        <w:t>.</w:t>
      </w:r>
    </w:p>
    <w:p w14:paraId="31B59D49" w14:textId="77777777" w:rsidR="00167EAF" w:rsidRDefault="00167EAF" w:rsidP="00241658">
      <w:pPr>
        <w:spacing w:line="360" w:lineRule="auto"/>
        <w:ind w:left="720"/>
        <w:jc w:val="both"/>
        <w:rPr>
          <w:rFonts w:asciiTheme="majorBidi" w:hAnsiTheme="majorBidi" w:cstheme="majorBidi"/>
          <w:color w:val="000000" w:themeColor="text1"/>
          <w:sz w:val="24"/>
          <w:szCs w:val="24"/>
        </w:rPr>
      </w:pPr>
    </w:p>
    <w:p w14:paraId="6EEAD95D" w14:textId="0B1F55D5" w:rsidR="00DE3230" w:rsidRDefault="00DE3230" w:rsidP="00D623DE">
      <w:pPr>
        <w:pStyle w:val="Heading2"/>
        <w:ind w:left="720"/>
      </w:pPr>
      <w:bookmarkStart w:id="73" w:name="_Toc214875877"/>
      <w:r w:rsidRPr="00DE3230">
        <w:t>4.3 The Focused Mind: Sustained Attention and Impulsivity Regulation</w:t>
      </w:r>
      <w:r w:rsidR="00167EAF">
        <w:t xml:space="preserve"> (5CSRT)</w:t>
      </w:r>
      <w:bookmarkEnd w:id="73"/>
    </w:p>
    <w:p w14:paraId="61A3E142" w14:textId="6617D2F1" w:rsidR="00924EB5" w:rsidRDefault="00D46609" w:rsidP="00241658">
      <w:pPr>
        <w:spacing w:line="360" w:lineRule="auto"/>
        <w:ind w:left="720"/>
        <w:jc w:val="both"/>
        <w:rPr>
          <w:rFonts w:asciiTheme="majorBidi" w:hAnsiTheme="majorBidi" w:cstheme="majorBidi"/>
          <w:color w:val="000000" w:themeColor="text1"/>
          <w:sz w:val="24"/>
          <w:szCs w:val="24"/>
        </w:rPr>
      </w:pPr>
      <w:r w:rsidRPr="00D46609">
        <w:rPr>
          <w:rFonts w:asciiTheme="majorBidi" w:hAnsiTheme="majorBidi" w:cstheme="majorBidi"/>
          <w:color w:val="000000" w:themeColor="text1"/>
          <w:sz w:val="24"/>
          <w:szCs w:val="24"/>
        </w:rPr>
        <w:t xml:space="preserve">The (5-CSRTT) is a rodent test for modeling human attention and impulse control, inspired by the Continuous Performance Test. It grabs key cognitive dimensions, vigilance, impulsivity, and compulsivity relevant to schizophrenia. The touchscreen version enhances translational validity by aligning rodent and human testing environments. Its sensitivity to pharmacological and genetic manipulations makes it a powerful tool for probing neuropsychiatric mechanisms and therapies </w:t>
      </w:r>
      <w:r w:rsidR="000229CB">
        <w:rPr>
          <w:rFonts w:asciiTheme="majorBidi" w:hAnsiTheme="majorBidi" w:cstheme="majorBidi"/>
          <w:color w:val="000000" w:themeColor="text1"/>
          <w:sz w:val="24"/>
          <w:szCs w:val="24"/>
        </w:rPr>
        <w:fldChar w:fldCharType="begin"/>
      </w:r>
      <w:r w:rsidR="000229CB">
        <w:rPr>
          <w:rFonts w:asciiTheme="majorBidi" w:hAnsiTheme="majorBidi" w:cstheme="majorBidi"/>
          <w:color w:val="000000" w:themeColor="text1"/>
          <w:sz w:val="24"/>
          <w:szCs w:val="24"/>
        </w:rPr>
        <w:instrText xml:space="preserve"> ADDIN EN.CITE &lt;EndNote&gt;&lt;Cite&gt;&lt;Author&gt;Bussey&lt;/Author&gt;&lt;Year&gt;2012&lt;/Year&gt;&lt;RecNum&gt;361&lt;/RecNum&gt;&lt;DisplayText&gt;(Bussey et al., 2012b)&lt;/DisplayText&gt;&lt;record&gt;&lt;rec-number&gt;361&lt;/rec-number&gt;&lt;foreign-keys&gt;&lt;key app="EN" db-id="2ptrtps0adr9vke22dn5tpwzrsfaxtxrfwet" timestamp="1760442722"&gt;361&lt;/key&gt;&lt;/foreign-keys&gt;&lt;ref-type name="Journal Article"&gt;17&lt;/ref-type&gt;&lt;contributors&gt;&lt;authors&gt;&lt;author&gt;Bussey, T. J.&lt;/author&gt;&lt;author&gt;Holmes, A.&lt;/author&gt;&lt;author&gt;Lyon, L.&lt;/author&gt;&lt;author&gt;Mar, A. C.&lt;/author&gt;&lt;author&gt;McAllister, K. A. L.&lt;/author&gt;&lt;author&gt;Nithianantharajah, J.&lt;/author&gt;&lt;author&gt;Oomen, C. A.&lt;/author&gt;&lt;author&gt;Saksida, L. M.&lt;/author&gt;&lt;/authors&gt;&lt;/contributors&gt;&lt;titles&gt;&lt;title&gt;New translational assays for preclinical modelling of cognition in schizophrenia: The touchscreen testing method for mice and rats&lt;/title&gt;&lt;secondary-title&gt;Neuropharmacology&lt;/secondary-title&gt;&lt;/titles&gt;&lt;periodical&gt;&lt;full-title&gt;Neuropharmacology&lt;/full-title&gt;&lt;/periodical&gt;&lt;pages&gt;1191-1203&lt;/pages&gt;&lt;volume&gt;62&lt;/volume&gt;&lt;number&gt;3&lt;/number&gt;&lt;keywords&gt;&lt;keyword&gt;Attention&lt;/keyword&gt;&lt;keyword&gt;Working memory&lt;/keyword&gt;&lt;keyword&gt;Pattern separation&lt;/keyword&gt;&lt;keyword&gt;PCP&lt;/keyword&gt;&lt;keyword&gt;Paired associate learning&lt;/keyword&gt;&lt;keyword&gt;Neurogenesis&lt;/keyword&gt;&lt;keyword&gt;Visual discrimination&lt;/keyword&gt;&lt;keyword&gt;Extinction&lt;/keyword&gt;&lt;keyword&gt;Autoshaping&lt;/keyword&gt;&lt;keyword&gt;Cognition&lt;/keyword&gt;&lt;/keywords&gt;&lt;dates&gt;&lt;year&gt;2012&lt;/year&gt;&lt;pub-dates&gt;&lt;date&gt;2012/03/01/&lt;/date&gt;&lt;/pub-dates&gt;&lt;/dates&gt;&lt;isbn&gt;0028-3908&lt;/isbn&gt;&lt;urls&gt;&lt;related-urls&gt;&lt;url&gt;https://www.sciencedirect.com/science/article/pii/S0028390811001560&lt;/url&gt;&lt;/related-urls&gt;&lt;/urls&gt;&lt;electronic-resource-num&gt;https://doi.org/10.1016/j.neuropharm.2011.04.011&lt;/electronic-resource-num&gt;&lt;/record&gt;&lt;/Cite&gt;&lt;/EndNote&gt;</w:instrText>
      </w:r>
      <w:r w:rsidR="000229CB">
        <w:rPr>
          <w:rFonts w:asciiTheme="majorBidi" w:hAnsiTheme="majorBidi" w:cstheme="majorBidi"/>
          <w:color w:val="000000" w:themeColor="text1"/>
          <w:sz w:val="24"/>
          <w:szCs w:val="24"/>
        </w:rPr>
        <w:fldChar w:fldCharType="separate"/>
      </w:r>
      <w:r w:rsidR="000229CB">
        <w:rPr>
          <w:rFonts w:asciiTheme="majorBidi" w:hAnsiTheme="majorBidi" w:cstheme="majorBidi"/>
          <w:noProof/>
          <w:color w:val="000000" w:themeColor="text1"/>
          <w:sz w:val="24"/>
          <w:szCs w:val="24"/>
        </w:rPr>
        <w:t>(</w:t>
      </w:r>
      <w:hyperlink w:anchor="_ENREF_34" w:tooltip="Bussey, 2012 #317" w:history="1">
        <w:r w:rsidR="00DE113E">
          <w:rPr>
            <w:rFonts w:asciiTheme="majorBidi" w:hAnsiTheme="majorBidi" w:cstheme="majorBidi"/>
            <w:noProof/>
            <w:color w:val="000000" w:themeColor="text1"/>
            <w:sz w:val="24"/>
            <w:szCs w:val="24"/>
          </w:rPr>
          <w:t>Bussey et al., 2012b</w:t>
        </w:r>
      </w:hyperlink>
      <w:r w:rsidR="000229CB">
        <w:rPr>
          <w:rFonts w:asciiTheme="majorBidi" w:hAnsiTheme="majorBidi" w:cstheme="majorBidi"/>
          <w:noProof/>
          <w:color w:val="000000" w:themeColor="text1"/>
          <w:sz w:val="24"/>
          <w:szCs w:val="24"/>
        </w:rPr>
        <w:t>)</w:t>
      </w:r>
      <w:r w:rsidR="000229CB">
        <w:rPr>
          <w:rFonts w:asciiTheme="majorBidi" w:hAnsiTheme="majorBidi" w:cstheme="majorBidi"/>
          <w:color w:val="000000" w:themeColor="text1"/>
          <w:sz w:val="24"/>
          <w:szCs w:val="24"/>
        </w:rPr>
        <w:fldChar w:fldCharType="end"/>
      </w:r>
      <w:r w:rsidR="000229CB" w:rsidRPr="000229CB">
        <w:rPr>
          <w:rFonts w:asciiTheme="majorBidi" w:hAnsiTheme="majorBidi" w:cstheme="majorBidi"/>
          <w:color w:val="000000" w:themeColor="text1"/>
          <w:sz w:val="24"/>
          <w:szCs w:val="24"/>
        </w:rPr>
        <w:t>.</w:t>
      </w:r>
      <w:r w:rsidR="00450153">
        <w:rPr>
          <w:rFonts w:asciiTheme="majorBidi" w:hAnsiTheme="majorBidi" w:cstheme="majorBidi"/>
          <w:color w:val="000000" w:themeColor="text1"/>
          <w:sz w:val="24"/>
          <w:szCs w:val="24"/>
        </w:rPr>
        <w:t xml:space="preserve"> </w:t>
      </w:r>
      <w:r w:rsidRPr="00D46609">
        <w:rPr>
          <w:rFonts w:asciiTheme="majorBidi" w:hAnsiTheme="majorBidi" w:cstheme="majorBidi"/>
          <w:color w:val="000000" w:themeColor="text1"/>
          <w:sz w:val="24"/>
          <w:szCs w:val="24"/>
        </w:rPr>
        <w:t xml:space="preserve">Our results showed that naive C57 mice had a gradual decline in choice accuracy and a rise in omissions as stimulus duration shortened, reflecting increased attentional demand. Compared to a study by Romberg et al, our animals showed a similar performance pattern, with accuracy decreasing and omissions increasing under brief stimuli. While they reported steady omission rates across genotypes, our data suggest a more noticeable sensitivity to stimulus briefness, possibly due to strain-specific attentional thresholds or task conditions. </w:t>
      </w:r>
      <w:r w:rsidR="00B220D7">
        <w:rPr>
          <w:rFonts w:asciiTheme="majorBidi" w:hAnsiTheme="majorBidi" w:cstheme="majorBidi"/>
          <w:color w:val="000000" w:themeColor="text1"/>
          <w:sz w:val="24"/>
          <w:szCs w:val="24"/>
        </w:rPr>
        <w:fldChar w:fldCharType="begin"/>
      </w:r>
      <w:r w:rsidR="00B220D7">
        <w:rPr>
          <w:rFonts w:asciiTheme="majorBidi" w:hAnsiTheme="majorBidi" w:cstheme="majorBidi"/>
          <w:color w:val="000000" w:themeColor="text1"/>
          <w:sz w:val="24"/>
          <w:szCs w:val="24"/>
        </w:rPr>
        <w:instrText xml:space="preserve"> ADDIN EN.CITE &lt;EndNote&gt;&lt;Cite&gt;&lt;Author&gt;Romberg&lt;/Author&gt;&lt;Year&gt;2011&lt;/Year&gt;&lt;RecNum&gt;358&lt;/RecNum&gt;&lt;DisplayText&gt;(Carola Romberg et al., 2011)&lt;/DisplayText&gt;&lt;record&gt;&lt;rec-number&gt;358&lt;/rec-number&gt;&lt;foreign-keys&gt;&lt;key app="EN" db-id="2ptrtps0adr9vke22dn5tpwzrsfaxtxrfwet" timestamp="1760438884"&gt;358&lt;/key&gt;&lt;/foreign-keys&gt;&lt;ref-type name="Journal Article"&gt;17&lt;/ref-type&gt;&lt;contributors&gt;&lt;authors&gt;&lt;author&gt;Romberg, Carola&lt;/author&gt;&lt;author&gt;Mattson, Mark P.&lt;/author&gt;&lt;author&gt;Mughal, Mohamed R.&lt;/author&gt;&lt;author&gt;Bussey, Timothy J.&lt;/author&gt;&lt;author&gt;Saksida, Lisa M.&lt;/author&gt;&lt;/authors&gt;&lt;/contributors&gt;&lt;titles&gt;&lt;title&gt;Impaired Attention in the 3xTgAD Mouse Model of Alzheimer&amp;apos;s Disease: Rescue by Donepezil (Aricept)&lt;/title&gt;&lt;secondary-title&gt;The Journal of Neuroscience&lt;/secondary-title&gt;&lt;/titles&gt;&lt;periodical&gt;&lt;full-title&gt;The Journal of Neuroscience&lt;/full-title&gt;&lt;/periodical&gt;&lt;pages&gt;3500-3507&lt;/pages&gt;&lt;volume&gt;31&lt;/volume&gt;&lt;number&gt;9&lt;/number&gt;&lt;dates&gt;&lt;year&gt;2011&lt;/year&gt;&lt;/dates&gt;&lt;urls&gt;&lt;related-urls&gt;&lt;url&gt;https://www.jneurosci.org/content/jneuro/31/9/3500.full.pdf&lt;/url&gt;&lt;/related-urls&gt;&lt;/urls&gt;&lt;electronic-resource-num&gt;10.1523/jneurosci.5242-10.2011&lt;/electronic-resource-num&gt;&lt;/record&gt;&lt;/Cite&gt;&lt;/EndNote&gt;</w:instrText>
      </w:r>
      <w:r w:rsidR="00B220D7">
        <w:rPr>
          <w:rFonts w:asciiTheme="majorBidi" w:hAnsiTheme="majorBidi" w:cstheme="majorBidi"/>
          <w:color w:val="000000" w:themeColor="text1"/>
          <w:sz w:val="24"/>
          <w:szCs w:val="24"/>
        </w:rPr>
        <w:fldChar w:fldCharType="separate"/>
      </w:r>
      <w:r w:rsidR="00B220D7">
        <w:rPr>
          <w:rFonts w:asciiTheme="majorBidi" w:hAnsiTheme="majorBidi" w:cstheme="majorBidi"/>
          <w:noProof/>
          <w:color w:val="000000" w:themeColor="text1"/>
          <w:sz w:val="24"/>
          <w:szCs w:val="24"/>
        </w:rPr>
        <w:t>(</w:t>
      </w:r>
      <w:hyperlink w:anchor="_ENREF_205" w:tooltip="Romberg, 2011 #358" w:history="1">
        <w:r w:rsidR="00DE113E">
          <w:rPr>
            <w:rFonts w:asciiTheme="majorBidi" w:hAnsiTheme="majorBidi" w:cstheme="majorBidi"/>
            <w:noProof/>
            <w:color w:val="000000" w:themeColor="text1"/>
            <w:sz w:val="24"/>
            <w:szCs w:val="24"/>
          </w:rPr>
          <w:t>Carola Romberg et al., 2011</w:t>
        </w:r>
      </w:hyperlink>
      <w:r w:rsidR="00B220D7">
        <w:rPr>
          <w:rFonts w:asciiTheme="majorBidi" w:hAnsiTheme="majorBidi" w:cstheme="majorBidi"/>
          <w:noProof/>
          <w:color w:val="000000" w:themeColor="text1"/>
          <w:sz w:val="24"/>
          <w:szCs w:val="24"/>
        </w:rPr>
        <w:t>)</w:t>
      </w:r>
      <w:r w:rsidR="00B220D7">
        <w:rPr>
          <w:rFonts w:asciiTheme="majorBidi" w:hAnsiTheme="majorBidi" w:cstheme="majorBidi"/>
          <w:color w:val="000000" w:themeColor="text1"/>
          <w:sz w:val="24"/>
          <w:szCs w:val="24"/>
        </w:rPr>
        <w:fldChar w:fldCharType="end"/>
      </w:r>
      <w:r w:rsidR="000C54D6">
        <w:rPr>
          <w:rFonts w:asciiTheme="majorBidi" w:hAnsiTheme="majorBidi" w:cstheme="majorBidi"/>
          <w:color w:val="000000" w:themeColor="text1"/>
          <w:sz w:val="24"/>
          <w:szCs w:val="24"/>
        </w:rPr>
        <w:t>.</w:t>
      </w:r>
      <w:r w:rsidR="00294F24" w:rsidRPr="00294F24">
        <w:t xml:space="preserve"> </w:t>
      </w:r>
      <w:r w:rsidR="00924EB5" w:rsidRPr="00924EB5">
        <w:rPr>
          <w:rFonts w:asciiTheme="majorBidi" w:hAnsiTheme="majorBidi" w:cstheme="majorBidi"/>
          <w:color w:val="000000" w:themeColor="text1"/>
          <w:sz w:val="24"/>
          <w:szCs w:val="24"/>
        </w:rPr>
        <w:t>The</w:t>
      </w:r>
      <w:r w:rsidR="00430541">
        <w:rPr>
          <w:rFonts w:asciiTheme="majorBidi" w:hAnsiTheme="majorBidi" w:cstheme="majorBidi"/>
          <w:color w:val="000000" w:themeColor="text1"/>
          <w:sz w:val="24"/>
          <w:szCs w:val="24"/>
        </w:rPr>
        <w:t xml:space="preserve"> </w:t>
      </w:r>
      <w:r w:rsidR="00924EB5" w:rsidRPr="00924EB5">
        <w:rPr>
          <w:rFonts w:asciiTheme="majorBidi" w:hAnsiTheme="majorBidi" w:cstheme="majorBidi"/>
          <w:color w:val="000000" w:themeColor="text1"/>
          <w:sz w:val="24"/>
          <w:szCs w:val="24"/>
        </w:rPr>
        <w:t>5</w:t>
      </w:r>
      <w:r w:rsidR="00430541">
        <w:rPr>
          <w:rFonts w:asciiTheme="majorBidi" w:hAnsiTheme="majorBidi" w:cstheme="majorBidi"/>
          <w:color w:val="000000" w:themeColor="text1"/>
          <w:sz w:val="24"/>
          <w:szCs w:val="24"/>
        </w:rPr>
        <w:t>-</w:t>
      </w:r>
      <w:r w:rsidR="00924EB5" w:rsidRPr="00924EB5">
        <w:rPr>
          <w:rFonts w:asciiTheme="majorBidi" w:hAnsiTheme="majorBidi" w:cstheme="majorBidi"/>
          <w:color w:val="000000" w:themeColor="text1"/>
          <w:sz w:val="24"/>
          <w:szCs w:val="24"/>
        </w:rPr>
        <w:t xml:space="preserve">CSRTT, a gold-standard assay for measuring impulsive action and attention, is particularly valuable for modeling cognitive traits relevant to ADHD and related disorders. In </w:t>
      </w:r>
      <w:r w:rsidR="0045260B">
        <w:rPr>
          <w:rFonts w:asciiTheme="majorBidi" w:hAnsiTheme="majorBidi" w:cstheme="majorBidi"/>
          <w:color w:val="000000" w:themeColor="text1"/>
          <w:sz w:val="24"/>
          <w:szCs w:val="24"/>
        </w:rPr>
        <w:t>one</w:t>
      </w:r>
      <w:r w:rsidR="00924EB5" w:rsidRPr="00924EB5">
        <w:rPr>
          <w:rFonts w:asciiTheme="majorBidi" w:hAnsiTheme="majorBidi" w:cstheme="majorBidi"/>
          <w:color w:val="000000" w:themeColor="text1"/>
          <w:sz w:val="24"/>
          <w:szCs w:val="24"/>
        </w:rPr>
        <w:t xml:space="preserve"> study, atomoxetine consistently reduced premature responses, while methylphenidate increased them at longer delays, and guanfacine had no significant effect. These differential outcomes highlight </w:t>
      </w:r>
      <w:r w:rsidR="00924EB5" w:rsidRPr="00924EB5">
        <w:rPr>
          <w:rFonts w:asciiTheme="majorBidi" w:hAnsiTheme="majorBidi" w:cstheme="majorBidi"/>
          <w:color w:val="000000" w:themeColor="text1"/>
          <w:sz w:val="24"/>
          <w:szCs w:val="24"/>
        </w:rPr>
        <w:lastRenderedPageBreak/>
        <w:t>the task’s sensitivity to noradrenergic and dopaminergic modulation.</w:t>
      </w:r>
      <w:r w:rsidR="009A79FB">
        <w:rPr>
          <w:rFonts w:asciiTheme="majorBidi" w:hAnsiTheme="majorBidi" w:cstheme="majorBidi"/>
          <w:color w:val="000000" w:themeColor="text1"/>
          <w:sz w:val="24"/>
          <w:szCs w:val="24"/>
        </w:rPr>
        <w:t xml:space="preserve"> </w:t>
      </w:r>
      <w:r w:rsidR="009A79FB" w:rsidRPr="00924EB5">
        <w:rPr>
          <w:rFonts w:asciiTheme="majorBidi" w:hAnsiTheme="majorBidi" w:cstheme="majorBidi"/>
          <w:color w:val="000000" w:themeColor="text1"/>
          <w:sz w:val="24"/>
          <w:szCs w:val="24"/>
        </w:rPr>
        <w:t>T</w:t>
      </w:r>
      <w:r w:rsidR="00924EB5" w:rsidRPr="00924EB5">
        <w:rPr>
          <w:rFonts w:asciiTheme="majorBidi" w:hAnsiTheme="majorBidi" w:cstheme="majorBidi"/>
          <w:color w:val="000000" w:themeColor="text1"/>
          <w:sz w:val="24"/>
          <w:szCs w:val="24"/>
        </w:rPr>
        <w:t>he findings support the 5CSRTT as a robust preclinical tool for evaluating treatments targeting impulsive control</w:t>
      </w:r>
      <w:r w:rsidR="00924EB5">
        <w:rPr>
          <w:rFonts w:asciiTheme="majorBidi" w:hAnsiTheme="majorBidi" w:cstheme="majorBidi"/>
          <w:color w:val="000000" w:themeColor="text1"/>
          <w:sz w:val="24"/>
          <w:szCs w:val="24"/>
        </w:rPr>
        <w:t xml:space="preserve"> </w:t>
      </w:r>
      <w:r w:rsidR="00924EB5">
        <w:rPr>
          <w:rFonts w:asciiTheme="majorBidi" w:hAnsiTheme="majorBidi" w:cstheme="majorBidi"/>
          <w:color w:val="000000" w:themeColor="text1"/>
          <w:sz w:val="24"/>
          <w:szCs w:val="24"/>
        </w:rPr>
        <w:fldChar w:fldCharType="begin"/>
      </w:r>
      <w:r w:rsidR="00924EB5">
        <w:rPr>
          <w:rFonts w:asciiTheme="majorBidi" w:hAnsiTheme="majorBidi" w:cstheme="majorBidi"/>
          <w:color w:val="000000" w:themeColor="text1"/>
          <w:sz w:val="24"/>
          <w:szCs w:val="24"/>
        </w:rPr>
        <w:instrText xml:space="preserve"> ADDIN EN.CITE &lt;EndNote&gt;&lt;Cite&gt;&lt;Author&gt;Fitzpatrick&lt;/Author&gt;&lt;Year&gt;2019&lt;/Year&gt;&lt;RecNum&gt;360&lt;/RecNum&gt;&lt;DisplayText&gt;(Fitzpatrick &amp;amp; Andreasen, 2019)&lt;/DisplayText&gt;&lt;record&gt;&lt;rec-number&gt;360&lt;/rec-number&gt;&lt;foreign-keys&gt;&lt;key app="EN" db-id="2ptrtps0adr9vke22dn5tpwzrsfaxtxrfwet" timestamp="1760440436"&gt;360&lt;/key&gt;&lt;/foreign-keys&gt;&lt;ref-type name="Journal Article"&gt;17&lt;/ref-type&gt;&lt;contributors&gt;&lt;authors&gt;&lt;author&gt;Fitzpatrick, Ciarán M.&lt;/author&gt;&lt;author&gt;Andreasen, Jesper T.&lt;/author&gt;&lt;/authors&gt;&lt;/contributors&gt;&lt;titles&gt;&lt;title&gt;Differential effects of ADHD medications on impulsive action in the mouse 5-choice serial reaction time task&lt;/title&gt;&lt;secondary-title&gt;European Journal of Pharmacology&lt;/secondary-title&gt;&lt;/titles&gt;&lt;periodical&gt;&lt;full-title&gt;European Journal of Pharmacology&lt;/full-title&gt;&lt;/periodical&gt;&lt;pages&gt;123-129&lt;/pages&gt;&lt;volume&gt;847&lt;/volume&gt;&lt;keywords&gt;&lt;keyword&gt;ADHD&lt;/keyword&gt;&lt;keyword&gt;5-CSRTT&lt;/keyword&gt;&lt;keyword&gt;Impulsivity&lt;/keyword&gt;&lt;keyword&gt;Atomoxetine&lt;/keyword&gt;&lt;keyword&gt;Methylphenidate&lt;/keyword&gt;&lt;keyword&gt;Guanfacine&lt;/keyword&gt;&lt;/keywords&gt;&lt;dates&gt;&lt;year&gt;2019&lt;/year&gt;&lt;pub-dates&gt;&lt;date&gt;2019/03/15/&lt;/date&gt;&lt;/pub-dates&gt;&lt;/dates&gt;&lt;isbn&gt;0014-2999&lt;/isbn&gt;&lt;urls&gt;&lt;related-urls&gt;&lt;url&gt;https://www.sciencedirect.com/science/article/pii/S0014299919300640&lt;/url&gt;&lt;/related-urls&gt;&lt;/urls&gt;&lt;electronic-resource-num&gt;https://doi.org/10.1016/j.ejphar.2019.01.038&lt;/electronic-resource-num&gt;&lt;/record&gt;&lt;/Cite&gt;&lt;/EndNote&gt;</w:instrText>
      </w:r>
      <w:r w:rsidR="00924EB5">
        <w:rPr>
          <w:rFonts w:asciiTheme="majorBidi" w:hAnsiTheme="majorBidi" w:cstheme="majorBidi"/>
          <w:color w:val="000000" w:themeColor="text1"/>
          <w:sz w:val="24"/>
          <w:szCs w:val="24"/>
        </w:rPr>
        <w:fldChar w:fldCharType="separate"/>
      </w:r>
      <w:r w:rsidR="00924EB5">
        <w:rPr>
          <w:rFonts w:asciiTheme="majorBidi" w:hAnsiTheme="majorBidi" w:cstheme="majorBidi"/>
          <w:noProof/>
          <w:color w:val="000000" w:themeColor="text1"/>
          <w:sz w:val="24"/>
          <w:szCs w:val="24"/>
        </w:rPr>
        <w:t>(</w:t>
      </w:r>
      <w:hyperlink w:anchor="_ENREF_77" w:tooltip="Fitzpatrick, 2019 #360" w:history="1">
        <w:r w:rsidR="00DE113E">
          <w:rPr>
            <w:rFonts w:asciiTheme="majorBidi" w:hAnsiTheme="majorBidi" w:cstheme="majorBidi"/>
            <w:noProof/>
            <w:color w:val="000000" w:themeColor="text1"/>
            <w:sz w:val="24"/>
            <w:szCs w:val="24"/>
          </w:rPr>
          <w:t>Fitzpatrick &amp; Andreasen, 2019</w:t>
        </w:r>
      </w:hyperlink>
      <w:r w:rsidR="00924EB5">
        <w:rPr>
          <w:rFonts w:asciiTheme="majorBidi" w:hAnsiTheme="majorBidi" w:cstheme="majorBidi"/>
          <w:noProof/>
          <w:color w:val="000000" w:themeColor="text1"/>
          <w:sz w:val="24"/>
          <w:szCs w:val="24"/>
        </w:rPr>
        <w:t>)</w:t>
      </w:r>
      <w:r w:rsidR="00924EB5">
        <w:rPr>
          <w:rFonts w:asciiTheme="majorBidi" w:hAnsiTheme="majorBidi" w:cstheme="majorBidi"/>
          <w:color w:val="000000" w:themeColor="text1"/>
          <w:sz w:val="24"/>
          <w:szCs w:val="24"/>
        </w:rPr>
        <w:fldChar w:fldCharType="end"/>
      </w:r>
      <w:r w:rsidR="00924EB5" w:rsidRPr="00924EB5">
        <w:rPr>
          <w:rFonts w:asciiTheme="majorBidi" w:hAnsiTheme="majorBidi" w:cstheme="majorBidi"/>
          <w:color w:val="000000" w:themeColor="text1"/>
          <w:sz w:val="24"/>
          <w:szCs w:val="24"/>
        </w:rPr>
        <w:t>.</w:t>
      </w:r>
    </w:p>
    <w:p w14:paraId="56D48138" w14:textId="77777777" w:rsidR="00450153" w:rsidRDefault="00450153" w:rsidP="00241658">
      <w:pPr>
        <w:jc w:val="both"/>
        <w:rPr>
          <w:rFonts w:asciiTheme="majorBidi" w:hAnsiTheme="majorBidi" w:cstheme="majorBidi"/>
          <w:b/>
          <w:bCs/>
          <w:color w:val="000000" w:themeColor="text1"/>
          <w:sz w:val="24"/>
          <w:szCs w:val="24"/>
        </w:rPr>
      </w:pPr>
    </w:p>
    <w:p w14:paraId="42A1A72B" w14:textId="4F94F12B" w:rsidR="00DE3230" w:rsidRDefault="00DE3230" w:rsidP="00D623DE">
      <w:pPr>
        <w:pStyle w:val="Heading2"/>
        <w:ind w:left="720"/>
      </w:pPr>
      <w:bookmarkStart w:id="74" w:name="_Toc214875878"/>
      <w:r w:rsidRPr="00DE3230">
        <w:t>4.4</w:t>
      </w:r>
      <w:r w:rsidR="00E803D8">
        <w:t xml:space="preserve"> </w:t>
      </w:r>
      <w:r w:rsidR="00E803D8" w:rsidRPr="00DE3230">
        <w:t xml:space="preserve">Holding Information in </w:t>
      </w:r>
      <w:r w:rsidR="00B80FCB">
        <w:t>Brain:</w:t>
      </w:r>
      <w:r w:rsidR="00E803D8" w:rsidRPr="00DE3230">
        <w:t xml:space="preserve"> Working Memory and Pattern Separation Processes</w:t>
      </w:r>
      <w:r w:rsidRPr="00DE3230">
        <w:t xml:space="preserve"> </w:t>
      </w:r>
      <w:r w:rsidR="0070566B">
        <w:t>(TUNL)</w:t>
      </w:r>
      <w:bookmarkEnd w:id="74"/>
    </w:p>
    <w:p w14:paraId="144A5FE1" w14:textId="3190AFA8" w:rsidR="00E51D37" w:rsidRPr="00FC728F" w:rsidRDefault="009E29D6" w:rsidP="00FC728F">
      <w:pPr>
        <w:spacing w:line="360" w:lineRule="auto"/>
        <w:ind w:left="720"/>
        <w:jc w:val="both"/>
        <w:rPr>
          <w:rFonts w:asciiTheme="majorBidi" w:hAnsiTheme="majorBidi" w:cstheme="majorBidi"/>
          <w:color w:val="000000" w:themeColor="text1"/>
          <w:sz w:val="24"/>
          <w:szCs w:val="24"/>
          <w:lang w:bidi="fa-IR"/>
        </w:rPr>
      </w:pPr>
      <w:r w:rsidRPr="009E29D6">
        <w:rPr>
          <w:rFonts w:asciiTheme="majorBidi" w:hAnsiTheme="majorBidi" w:cstheme="majorBidi"/>
          <w:color w:val="000000" w:themeColor="text1"/>
          <w:sz w:val="24"/>
          <w:szCs w:val="24"/>
          <w:lang w:bidi="fa-IR"/>
        </w:rPr>
        <w:t xml:space="preserve">Working memory (WM), which refers to the active holding and manipulation of a small quantity of information in a temporary, limited-capacity memory store, is essential for numerous tasks that individuals encounter in their everyday lives </w:t>
      </w:r>
      <w:r w:rsidRPr="009E29D6">
        <w:rPr>
          <w:rFonts w:asciiTheme="majorBidi" w:hAnsiTheme="majorBidi" w:cstheme="majorBidi"/>
          <w:color w:val="000000" w:themeColor="text1"/>
          <w:sz w:val="24"/>
          <w:szCs w:val="24"/>
          <w:lang w:bidi="fa-IR"/>
        </w:rPr>
        <w:fldChar w:fldCharType="begin"/>
      </w:r>
      <w:r w:rsidRPr="009E29D6">
        <w:rPr>
          <w:rFonts w:asciiTheme="majorBidi" w:hAnsiTheme="majorBidi" w:cstheme="majorBidi"/>
          <w:color w:val="000000" w:themeColor="text1"/>
          <w:sz w:val="24"/>
          <w:szCs w:val="24"/>
          <w:lang w:bidi="fa-IR"/>
        </w:rPr>
        <w:instrText xml:space="preserve"> ADDIN EN.CITE &lt;EndNote&gt;&lt;Cite&gt;&lt;Author&gt;Cowan&lt;/Author&gt;&lt;Year&gt;2014&lt;/Year&gt;&lt;RecNum&gt;365&lt;/RecNum&gt;&lt;DisplayText&gt;(Cowan, 2014)&lt;/DisplayText&gt;&lt;record&gt;&lt;rec-number&gt;365&lt;/rec-number&gt;&lt;foreign-keys&gt;&lt;key app="EN" db-id="2ptrtps0adr9vke22dn5tpwzrsfaxtxrfwet" timestamp="1760525212"&gt;365&lt;/key&gt;&lt;/foreign-keys&gt;&lt;ref-type name="Journal Article"&gt;17&lt;/ref-type&gt;&lt;contributors&gt;&lt;authors&gt;&lt;author&gt;Cowan, N.&lt;/author&gt;&lt;/authors&gt;&lt;/contributors&gt;&lt;auth-address&gt;University of Missouri.&lt;/auth-address&gt;&lt;titles&gt;&lt;title&gt;Working Memory Underpins Cognitive Development, Learning, and Education&lt;/title&gt;&lt;secondary-title&gt;Educ Psychol Rev&lt;/secondary-title&gt;&lt;/titles&gt;&lt;periodical&gt;&lt;full-title&gt;Educ Psychol Rev&lt;/full-title&gt;&lt;/periodical&gt;&lt;pages&gt;197-223&lt;/pages&gt;&lt;volume&gt;26&lt;/volume&gt;&lt;number&gt;2&lt;/number&gt;&lt;edition&gt;2014/10/28&lt;/edition&gt;&lt;dates&gt;&lt;year&gt;2014&lt;/year&gt;&lt;pub-dates&gt;&lt;date&gt;Jun 1&lt;/date&gt;&lt;/pub-dates&gt;&lt;/dates&gt;&lt;isbn&gt;1040-726X (Print)&amp;#xD;1040-726x&lt;/isbn&gt;&lt;accession-num&gt;25346585&lt;/accession-num&gt;&lt;urls&gt;&lt;/urls&gt;&lt;custom2&gt;PMC4207727&lt;/custom2&gt;&lt;custom6&gt;NIHMS545499&lt;/custom6&gt;&lt;electronic-resource-num&gt;10.1007/s10648-013-9246-y&lt;/electronic-resource-num&gt;&lt;remote-database-provider&gt;NLM&lt;/remote-database-provider&gt;&lt;language&gt;eng&lt;/language&gt;&lt;/record&gt;&lt;/Cite&gt;&lt;/EndNote&gt;</w:instrText>
      </w:r>
      <w:r w:rsidRPr="009E29D6">
        <w:rPr>
          <w:rFonts w:asciiTheme="majorBidi" w:hAnsiTheme="majorBidi" w:cstheme="majorBidi"/>
          <w:color w:val="000000" w:themeColor="text1"/>
          <w:sz w:val="24"/>
          <w:szCs w:val="24"/>
          <w:lang w:bidi="fa-IR"/>
        </w:rPr>
        <w:fldChar w:fldCharType="separate"/>
      </w:r>
      <w:r w:rsidRPr="009E29D6">
        <w:rPr>
          <w:rFonts w:asciiTheme="majorBidi" w:hAnsiTheme="majorBidi" w:cstheme="majorBidi"/>
          <w:color w:val="000000" w:themeColor="text1"/>
          <w:sz w:val="24"/>
          <w:szCs w:val="24"/>
          <w:lang w:bidi="fa-IR"/>
        </w:rPr>
        <w:t>(</w:t>
      </w:r>
      <w:hyperlink w:anchor="_ENREF_54" w:tooltip="Cowan, 2014 #365" w:history="1">
        <w:r w:rsidR="00DE113E" w:rsidRPr="009E29D6">
          <w:rPr>
            <w:rFonts w:asciiTheme="majorBidi" w:hAnsiTheme="majorBidi" w:cstheme="majorBidi"/>
            <w:color w:val="000000" w:themeColor="text1"/>
            <w:sz w:val="24"/>
            <w:szCs w:val="24"/>
            <w:lang w:bidi="fa-IR"/>
          </w:rPr>
          <w:t>Cowan, 2014</w:t>
        </w:r>
      </w:hyperlink>
      <w:r w:rsidRPr="009E29D6">
        <w:rPr>
          <w:rFonts w:asciiTheme="majorBidi" w:hAnsiTheme="majorBidi" w:cstheme="majorBidi"/>
          <w:color w:val="000000" w:themeColor="text1"/>
          <w:sz w:val="24"/>
          <w:szCs w:val="24"/>
          <w:lang w:bidi="fa-IR"/>
        </w:rPr>
        <w:t>)</w:t>
      </w:r>
      <w:r w:rsidRPr="009E29D6">
        <w:rPr>
          <w:rFonts w:asciiTheme="majorBidi" w:hAnsiTheme="majorBidi" w:cstheme="majorBidi"/>
          <w:color w:val="000000" w:themeColor="text1"/>
          <w:sz w:val="24"/>
          <w:szCs w:val="24"/>
          <w:lang w:bidi="fa-IR"/>
        </w:rPr>
        <w:fldChar w:fldCharType="end"/>
      </w:r>
      <w:r w:rsidRPr="009E29D6">
        <w:rPr>
          <w:rFonts w:asciiTheme="majorBidi" w:hAnsiTheme="majorBidi" w:cstheme="majorBidi"/>
          <w:color w:val="000000" w:themeColor="text1"/>
          <w:sz w:val="24"/>
          <w:szCs w:val="24"/>
          <w:lang w:bidi="fa-IR"/>
        </w:rPr>
        <w:t xml:space="preserve">. </w:t>
      </w:r>
      <w:r w:rsidR="00153AC9" w:rsidRPr="00153AC9">
        <w:rPr>
          <w:rFonts w:asciiTheme="majorBidi" w:hAnsiTheme="majorBidi" w:cstheme="majorBidi"/>
          <w:color w:val="000000" w:themeColor="text1"/>
          <w:sz w:val="24"/>
          <w:szCs w:val="24"/>
          <w:lang w:bidi="fa-IR"/>
        </w:rPr>
        <w:t>TUNL additionally offers a platform for examining how different cognitive loads affect working memory, as the stimuli are displayed at various separation distances.</w:t>
      </w:r>
      <w:r w:rsidR="00153AC9">
        <w:rPr>
          <w:rFonts w:asciiTheme="majorBidi" w:hAnsiTheme="majorBidi" w:cstheme="majorBidi"/>
          <w:color w:val="000000" w:themeColor="text1"/>
          <w:sz w:val="24"/>
          <w:szCs w:val="24"/>
          <w:lang w:bidi="fa-IR"/>
        </w:rPr>
        <w:t xml:space="preserve"> </w:t>
      </w:r>
      <w:r w:rsidRPr="009E29D6">
        <w:rPr>
          <w:rFonts w:asciiTheme="majorBidi" w:hAnsiTheme="majorBidi" w:cstheme="majorBidi"/>
          <w:color w:val="000000" w:themeColor="text1"/>
          <w:sz w:val="24"/>
          <w:szCs w:val="24"/>
          <w:lang w:bidi="fa-IR"/>
        </w:rPr>
        <w:t xml:space="preserve">Capturing WM coding in the context of the TUNL task is essential for the neural analysis of TUNL data. Assuming it represents retrospective WM concerning spatial location, behaviors observed in TUNL during small-separation trials are often viewed as indicators of pattern separation processes within the hippocampus </w:t>
      </w:r>
      <w:r w:rsidR="00EC09F1">
        <w:rPr>
          <w:rFonts w:asciiTheme="majorBidi" w:hAnsiTheme="majorBidi" w:cstheme="majorBidi"/>
          <w:color w:val="000000" w:themeColor="text1"/>
          <w:sz w:val="24"/>
          <w:szCs w:val="24"/>
          <w:lang w:bidi="fa-IR"/>
        </w:rPr>
        <w:fldChar w:fldCharType="begin"/>
      </w:r>
      <w:r w:rsidR="00C41E3C">
        <w:rPr>
          <w:rFonts w:asciiTheme="majorBidi" w:hAnsiTheme="majorBidi" w:cstheme="majorBidi"/>
          <w:color w:val="000000" w:themeColor="text1"/>
          <w:sz w:val="24"/>
          <w:szCs w:val="24"/>
          <w:lang w:bidi="fa-IR"/>
        </w:rPr>
        <w:instrText xml:space="preserve"> ADDIN EN.CITE &lt;EndNote&gt;&lt;Cite&gt;&lt;Author&gt;Talpos&lt;/Author&gt;&lt;Year&gt;2010&lt;/Year&gt;&lt;RecNum&gt;369&lt;/RecNum&gt;&lt;DisplayText&gt;(Talpos et al., 2010b)&lt;/DisplayText&gt;&lt;record&gt;&lt;rec-number&gt;369&lt;/rec-number&gt;&lt;foreign-keys&gt;&lt;key app="EN" db-id="2ptrtps0adr9vke22dn5tpwzrsfaxtxrfwet" timestamp="1760529824"&gt;369&lt;/key&gt;&lt;/foreign-keys&gt;&lt;ref-type name="Journal Article"&gt;17&lt;/ref-type&gt;&lt;contributors&gt;&lt;authors&gt;&lt;author&gt;Talpos, J. C.&lt;/author&gt;&lt;author&gt;McTighe, S. M.&lt;/author&gt;&lt;author&gt;Dias, R.&lt;/author&gt;&lt;author&gt;Saksida, L. M.&lt;/author&gt;&lt;author&gt;Bussey, T. J.&lt;/author&gt;&lt;/authors&gt;&lt;/contributors&gt;&lt;auth-address&gt;Department of Experimental Psychology, Downing Street, Cambridge CB2 3EB, UK. j.talpos.01@cantab.net&lt;/auth-address&gt;&lt;titles&gt;&lt;title&gt;Trial-unique, delayed nonmatching-to-location (TUNL): a novel, highly hippocampus-dependent automated touchscreen test of location memory and pattern separation&lt;/title&gt;&lt;secondary-title&gt;Neurobiol Learn Mem&lt;/secondary-title&gt;&lt;/titles&gt;&lt;periodical&gt;&lt;full-title&gt;Neurobiol Learn Mem&lt;/full-title&gt;&lt;/periodical&gt;&lt;pages&gt;341-52&lt;/pages&gt;&lt;volume&gt;94&lt;/volume&gt;&lt;number&gt;3&lt;/number&gt;&lt;edition&gt;2010/08/10&lt;/edition&gt;&lt;keywords&gt;&lt;keyword&gt;Analysis of Variance&lt;/keyword&gt;&lt;keyword&gt;Animals&lt;/keyword&gt;&lt;keyword&gt;Hippocampus/*physiology&lt;/keyword&gt;&lt;keyword&gt;Male&lt;/keyword&gt;&lt;keyword&gt;Memory/*physiology&lt;/keyword&gt;&lt;keyword&gt;Pattern Recognition, Visual/*physiology&lt;/keyword&gt;&lt;keyword&gt;Rats&lt;/keyword&gt;&lt;keyword&gt;Space Perception/*physiology&lt;/keyword&gt;&lt;/keywords&gt;&lt;dates&gt;&lt;year&gt;2010&lt;/year&gt;&lt;pub-dates&gt;&lt;date&gt;Oct&lt;/date&gt;&lt;/pub-dates&gt;&lt;/dates&gt;&lt;isbn&gt;1074-7427 (Print)&amp;#xD;1074-7427&lt;/isbn&gt;&lt;accession-num&gt;20692356&lt;/accession-num&gt;&lt;urls&gt;&lt;/urls&gt;&lt;custom2&gt;PMC2989449&lt;/custom2&gt;&lt;electronic-resource-num&gt;10.1016/j.nlm.2010.07.006&lt;/electronic-resource-num&gt;&lt;remote-database-provider&gt;NLM&lt;/remote-database-provider&gt;&lt;language&gt;eng&lt;/language&gt;&lt;/record&gt;&lt;/Cite&gt;&lt;/EndNote&gt;</w:instrText>
      </w:r>
      <w:r w:rsidR="00EC09F1">
        <w:rPr>
          <w:rFonts w:asciiTheme="majorBidi" w:hAnsiTheme="majorBidi" w:cstheme="majorBidi"/>
          <w:color w:val="000000" w:themeColor="text1"/>
          <w:sz w:val="24"/>
          <w:szCs w:val="24"/>
          <w:lang w:bidi="fa-IR"/>
        </w:rPr>
        <w:fldChar w:fldCharType="separate"/>
      </w:r>
      <w:r w:rsidR="00C41E3C">
        <w:rPr>
          <w:rFonts w:asciiTheme="majorBidi" w:hAnsiTheme="majorBidi" w:cstheme="majorBidi"/>
          <w:noProof/>
          <w:color w:val="000000" w:themeColor="text1"/>
          <w:sz w:val="24"/>
          <w:szCs w:val="24"/>
          <w:lang w:bidi="fa-IR"/>
        </w:rPr>
        <w:t>(</w:t>
      </w:r>
      <w:hyperlink w:anchor="_ENREF_240" w:tooltip="Talpos, 2010 #369" w:history="1">
        <w:r w:rsidR="00DE113E">
          <w:rPr>
            <w:rFonts w:asciiTheme="majorBidi" w:hAnsiTheme="majorBidi" w:cstheme="majorBidi"/>
            <w:noProof/>
            <w:color w:val="000000" w:themeColor="text1"/>
            <w:sz w:val="24"/>
            <w:szCs w:val="24"/>
            <w:lang w:bidi="fa-IR"/>
          </w:rPr>
          <w:t>Talpos et al., 2010b</w:t>
        </w:r>
      </w:hyperlink>
      <w:r w:rsidR="00C41E3C">
        <w:rPr>
          <w:rFonts w:asciiTheme="majorBidi" w:hAnsiTheme="majorBidi" w:cstheme="majorBidi"/>
          <w:noProof/>
          <w:color w:val="000000" w:themeColor="text1"/>
          <w:sz w:val="24"/>
          <w:szCs w:val="24"/>
          <w:lang w:bidi="fa-IR"/>
        </w:rPr>
        <w:t>)</w:t>
      </w:r>
      <w:r w:rsidR="00EC09F1">
        <w:rPr>
          <w:rFonts w:asciiTheme="majorBidi" w:hAnsiTheme="majorBidi" w:cstheme="majorBidi"/>
          <w:color w:val="000000" w:themeColor="text1"/>
          <w:sz w:val="24"/>
          <w:szCs w:val="24"/>
          <w:lang w:bidi="fa-IR"/>
        </w:rPr>
        <w:fldChar w:fldCharType="end"/>
      </w:r>
      <w:r w:rsidRPr="009E29D6">
        <w:rPr>
          <w:rFonts w:asciiTheme="majorBidi" w:hAnsiTheme="majorBidi" w:cstheme="majorBidi"/>
          <w:color w:val="000000" w:themeColor="text1"/>
          <w:sz w:val="24"/>
          <w:szCs w:val="24"/>
          <w:lang w:bidi="fa-IR"/>
        </w:rPr>
        <w:t>.</w:t>
      </w:r>
      <w:r>
        <w:rPr>
          <w:rFonts w:asciiTheme="majorBidi" w:hAnsiTheme="majorBidi" w:cstheme="majorBidi"/>
          <w:color w:val="000000" w:themeColor="text1"/>
          <w:sz w:val="24"/>
          <w:szCs w:val="24"/>
          <w:lang w:bidi="fa-IR"/>
        </w:rPr>
        <w:t xml:space="preserve"> </w:t>
      </w:r>
      <w:r w:rsidR="003B412D" w:rsidRPr="003B412D">
        <w:rPr>
          <w:rFonts w:asciiTheme="majorBidi" w:hAnsiTheme="majorBidi" w:cstheme="majorBidi"/>
          <w:color w:val="000000" w:themeColor="text1"/>
          <w:sz w:val="24"/>
          <w:szCs w:val="24"/>
          <w:lang w:bidi="fa-IR"/>
        </w:rPr>
        <w:t>We attempted to establish baseline performance for the TUNL test in naïve male C57BL/6 mice. In Stage 1, mice were trained across the spatial separations S3 and S2 to S1 while the stimulus distance consistently decreased</w:t>
      </w:r>
      <w:r w:rsidR="00B132A5">
        <w:rPr>
          <w:rFonts w:asciiTheme="majorBidi" w:hAnsiTheme="majorBidi" w:cstheme="majorBidi"/>
          <w:color w:val="000000" w:themeColor="text1"/>
          <w:sz w:val="24"/>
          <w:szCs w:val="24"/>
          <w:lang w:bidi="fa-IR"/>
        </w:rPr>
        <w:t>,</w:t>
      </w:r>
      <w:r w:rsidR="003B412D" w:rsidRPr="003B412D">
        <w:rPr>
          <w:rFonts w:asciiTheme="majorBidi" w:hAnsiTheme="majorBidi" w:cstheme="majorBidi"/>
          <w:color w:val="000000" w:themeColor="text1"/>
          <w:sz w:val="24"/>
          <w:szCs w:val="24"/>
          <w:lang w:bidi="fa-IR"/>
        </w:rPr>
        <w:t xml:space="preserve"> to increase the level of challenge for the test and assess spatial discrimination learning. For Stage 2, testing between S1 and the spatial separation of S0 established sensitivity to near minimum spatial separations. Our findings in stage 1 showed that the mice need more sessions to pass the S3</w:t>
      </w:r>
      <w:r w:rsidR="004626D0">
        <w:rPr>
          <w:rFonts w:asciiTheme="majorBidi" w:hAnsiTheme="majorBidi" w:cstheme="majorBidi"/>
          <w:color w:val="000000" w:themeColor="text1"/>
          <w:sz w:val="24"/>
          <w:szCs w:val="24"/>
          <w:lang w:bidi="fa-IR"/>
        </w:rPr>
        <w:t xml:space="preserve"> but the same sessions </w:t>
      </w:r>
      <w:r w:rsidR="00C20800">
        <w:rPr>
          <w:rFonts w:asciiTheme="majorBidi" w:hAnsiTheme="majorBidi" w:cstheme="majorBidi"/>
          <w:color w:val="000000" w:themeColor="text1"/>
          <w:sz w:val="24"/>
          <w:szCs w:val="24"/>
          <w:lang w:bidi="fa-IR"/>
        </w:rPr>
        <w:t>were</w:t>
      </w:r>
      <w:r w:rsidR="004626D0">
        <w:rPr>
          <w:rFonts w:asciiTheme="majorBidi" w:hAnsiTheme="majorBidi" w:cstheme="majorBidi"/>
          <w:color w:val="000000" w:themeColor="text1"/>
          <w:sz w:val="24"/>
          <w:szCs w:val="24"/>
          <w:lang w:bidi="fa-IR"/>
        </w:rPr>
        <w:t xml:space="preserve"> required to pass S2 and S1</w:t>
      </w:r>
      <w:r w:rsidR="003B412D" w:rsidRPr="003B412D">
        <w:rPr>
          <w:rFonts w:asciiTheme="majorBidi" w:hAnsiTheme="majorBidi" w:cstheme="majorBidi"/>
          <w:color w:val="000000" w:themeColor="text1"/>
          <w:sz w:val="24"/>
          <w:szCs w:val="24"/>
          <w:lang w:bidi="fa-IR"/>
        </w:rPr>
        <w:t xml:space="preserve"> compared to study conducted by Kim et al</w:t>
      </w:r>
      <w:r w:rsidR="00B132A5">
        <w:rPr>
          <w:rFonts w:asciiTheme="majorBidi" w:hAnsiTheme="majorBidi" w:cstheme="majorBidi"/>
          <w:color w:val="000000" w:themeColor="text1"/>
          <w:sz w:val="24"/>
          <w:szCs w:val="24"/>
          <w:lang w:bidi="fa-IR"/>
        </w:rPr>
        <w:t>.</w:t>
      </w:r>
      <w:r w:rsidR="003B412D" w:rsidRPr="003B412D">
        <w:rPr>
          <w:rFonts w:asciiTheme="majorBidi" w:hAnsiTheme="majorBidi" w:cstheme="majorBidi"/>
          <w:color w:val="000000" w:themeColor="text1"/>
          <w:sz w:val="24"/>
          <w:szCs w:val="24"/>
          <w:lang w:bidi="fa-IR"/>
        </w:rPr>
        <w:t xml:space="preserve"> Also, for Stage 2</w:t>
      </w:r>
      <w:r w:rsidR="00591EC2">
        <w:rPr>
          <w:rFonts w:asciiTheme="majorBidi" w:hAnsiTheme="majorBidi" w:cstheme="majorBidi"/>
          <w:color w:val="000000" w:themeColor="text1"/>
          <w:sz w:val="24"/>
          <w:szCs w:val="24"/>
          <w:lang w:bidi="fa-IR"/>
        </w:rPr>
        <w:t xml:space="preserve"> </w:t>
      </w:r>
      <w:r w:rsidR="003B412D" w:rsidRPr="003B412D">
        <w:rPr>
          <w:rFonts w:asciiTheme="majorBidi" w:hAnsiTheme="majorBidi" w:cstheme="majorBidi"/>
          <w:color w:val="000000" w:themeColor="text1"/>
          <w:sz w:val="24"/>
          <w:szCs w:val="24"/>
          <w:lang w:bidi="fa-IR"/>
        </w:rPr>
        <w:t>the animals showed very significant differences</w:t>
      </w:r>
      <w:r w:rsidR="00B132A5">
        <w:rPr>
          <w:rFonts w:asciiTheme="majorBidi" w:hAnsiTheme="majorBidi" w:cstheme="majorBidi"/>
          <w:color w:val="000000" w:themeColor="text1"/>
          <w:sz w:val="24"/>
          <w:szCs w:val="24"/>
          <w:lang w:bidi="fa-IR"/>
        </w:rPr>
        <w:t xml:space="preserve"> in correct responses</w:t>
      </w:r>
      <w:r w:rsidR="003B412D" w:rsidRPr="003B412D">
        <w:rPr>
          <w:rFonts w:asciiTheme="majorBidi" w:hAnsiTheme="majorBidi" w:cstheme="majorBidi"/>
          <w:color w:val="000000" w:themeColor="text1"/>
          <w:sz w:val="24"/>
          <w:szCs w:val="24"/>
          <w:lang w:bidi="fa-IR"/>
        </w:rPr>
        <w:t xml:space="preserve"> when the separation level decreased from S1 to S0. Hence, our findings confirm the sensitivity of the test for spatial separation </w:t>
      </w:r>
      <w:r w:rsidR="003B412D">
        <w:rPr>
          <w:rFonts w:asciiTheme="majorBidi" w:hAnsiTheme="majorBidi" w:cstheme="majorBidi"/>
          <w:color w:val="000000" w:themeColor="text1"/>
          <w:sz w:val="24"/>
          <w:szCs w:val="24"/>
          <w:lang w:bidi="fa-IR"/>
        </w:rPr>
        <w:fldChar w:fldCharType="begin"/>
      </w:r>
      <w:r w:rsidR="003B412D">
        <w:rPr>
          <w:rFonts w:asciiTheme="majorBidi" w:hAnsiTheme="majorBidi" w:cstheme="majorBidi"/>
          <w:color w:val="000000" w:themeColor="text1"/>
          <w:sz w:val="24"/>
          <w:szCs w:val="24"/>
          <w:lang w:bidi="fa-IR"/>
        </w:rPr>
        <w:instrText xml:space="preserve"> ADDIN EN.CITE &lt;EndNote&gt;&lt;Cite&gt;&lt;Author&gt;Kim&lt;/Author&gt;&lt;Year&gt;2015&lt;/Year&gt;&lt;RecNum&gt;363&lt;/RecNum&gt;&lt;DisplayText&gt;(Kim, Romberg, et al., 2015)&lt;/DisplayText&gt;&lt;record&gt;&lt;rec-number&gt;363&lt;/rec-number&gt;&lt;foreign-keys&gt;&lt;key app="EN" db-id="2ptrtps0adr9vke22dn5tpwzrsfaxtxrfwet" timestamp="1760519548"&gt;363&lt;/key&gt;&lt;/foreign-keys&gt;&lt;ref-type name="Journal Article"&gt;17&lt;/ref-type&gt;&lt;contributors&gt;&lt;authors&gt;&lt;author&gt;Kim, Chi Hun&lt;/author&gt;&lt;author&gt;Romberg, Carola&lt;/author&gt;&lt;author&gt;Hvoslef-Eide, Martha&lt;/author&gt;&lt;author&gt;Oomen, Charlotte A.&lt;/author&gt;&lt;author&gt;Mar, Adam C.&lt;/author&gt;&lt;author&gt;Heath, Christopher J.&lt;/author&gt;&lt;author&gt;Berthiaume, Andrée-Anne&lt;/author&gt;&lt;author&gt;Bussey, Timothy J.&lt;/author&gt;&lt;author&gt;Saksida, Lisa M.&lt;/author&gt;&lt;/authors&gt;&lt;/contributors&gt;&lt;titles&gt;&lt;title&gt;Trial-unique, delayed nonmatching-to-location (TUNL) touchscreen testing for mice: sensitivity to dorsal hippocampal dysfunction&lt;/title&gt;&lt;secondary-title&gt;Psychopharmacology&lt;/secondary-title&gt;&lt;/titles&gt;&lt;periodical&gt;&lt;full-title&gt;Psychopharmacology&lt;/full-title&gt;&lt;/periodical&gt;&lt;pages&gt;3935-3945&lt;/pages&gt;&lt;volume&gt;232&lt;/volume&gt;&lt;number&gt;21&lt;/number&gt;&lt;dates&gt;&lt;year&gt;2015&lt;/year&gt;&lt;pub-dates&gt;&lt;date&gt;2015/11/01&lt;/date&gt;&lt;/pub-dates&gt;&lt;/dates&gt;&lt;isbn&gt;1432-2072&lt;/isbn&gt;&lt;urls&gt;&lt;related-urls&gt;&lt;url&gt;https://doi.org/10.1007/s00213-015-4017-8&lt;/url&gt;&lt;/related-urls&gt;&lt;/urls&gt;&lt;electronic-resource-num&gt;10.1007/s00213-015-4017-8&lt;/electronic-resource-num&gt;&lt;/record&gt;&lt;/Cite&gt;&lt;/EndNote&gt;</w:instrText>
      </w:r>
      <w:r w:rsidR="003B412D">
        <w:rPr>
          <w:rFonts w:asciiTheme="majorBidi" w:hAnsiTheme="majorBidi" w:cstheme="majorBidi"/>
          <w:color w:val="000000" w:themeColor="text1"/>
          <w:sz w:val="24"/>
          <w:szCs w:val="24"/>
          <w:lang w:bidi="fa-IR"/>
        </w:rPr>
        <w:fldChar w:fldCharType="separate"/>
      </w:r>
      <w:r w:rsidR="003B412D">
        <w:rPr>
          <w:rFonts w:asciiTheme="majorBidi" w:hAnsiTheme="majorBidi" w:cstheme="majorBidi"/>
          <w:noProof/>
          <w:color w:val="000000" w:themeColor="text1"/>
          <w:sz w:val="24"/>
          <w:szCs w:val="24"/>
          <w:lang w:bidi="fa-IR"/>
        </w:rPr>
        <w:t>(</w:t>
      </w:r>
      <w:hyperlink w:anchor="_ENREF_130" w:tooltip="Kim, 2015 #363" w:history="1">
        <w:r w:rsidR="00DE113E">
          <w:rPr>
            <w:rFonts w:asciiTheme="majorBidi" w:hAnsiTheme="majorBidi" w:cstheme="majorBidi"/>
            <w:noProof/>
            <w:color w:val="000000" w:themeColor="text1"/>
            <w:sz w:val="24"/>
            <w:szCs w:val="24"/>
            <w:lang w:bidi="fa-IR"/>
          </w:rPr>
          <w:t>Kim, Romberg, et al., 2015</w:t>
        </w:r>
      </w:hyperlink>
      <w:r w:rsidR="003B412D">
        <w:rPr>
          <w:rFonts w:asciiTheme="majorBidi" w:hAnsiTheme="majorBidi" w:cstheme="majorBidi"/>
          <w:noProof/>
          <w:color w:val="000000" w:themeColor="text1"/>
          <w:sz w:val="24"/>
          <w:szCs w:val="24"/>
          <w:lang w:bidi="fa-IR"/>
        </w:rPr>
        <w:t>)</w:t>
      </w:r>
      <w:r w:rsidR="003B412D">
        <w:rPr>
          <w:rFonts w:asciiTheme="majorBidi" w:hAnsiTheme="majorBidi" w:cstheme="majorBidi"/>
          <w:color w:val="000000" w:themeColor="text1"/>
          <w:sz w:val="24"/>
          <w:szCs w:val="24"/>
          <w:lang w:bidi="fa-IR"/>
        </w:rPr>
        <w:fldChar w:fldCharType="end"/>
      </w:r>
      <w:r w:rsidR="003B412D" w:rsidRPr="003B412D">
        <w:rPr>
          <w:rFonts w:asciiTheme="majorBidi" w:hAnsiTheme="majorBidi" w:cstheme="majorBidi"/>
          <w:color w:val="000000" w:themeColor="text1"/>
          <w:sz w:val="24"/>
          <w:szCs w:val="24"/>
          <w:lang w:bidi="fa-IR"/>
        </w:rPr>
        <w:t>.</w:t>
      </w:r>
      <w:r>
        <w:rPr>
          <w:rFonts w:asciiTheme="majorBidi" w:hAnsiTheme="majorBidi" w:cstheme="majorBidi"/>
          <w:color w:val="000000" w:themeColor="text1"/>
          <w:sz w:val="24"/>
          <w:szCs w:val="24"/>
          <w:lang w:bidi="fa-IR"/>
        </w:rPr>
        <w:t xml:space="preserve"> </w:t>
      </w:r>
      <w:r w:rsidR="00A95EF0" w:rsidRPr="00A95EF0">
        <w:rPr>
          <w:rFonts w:asciiTheme="majorBidi" w:hAnsiTheme="majorBidi" w:cstheme="majorBidi"/>
          <w:color w:val="000000" w:themeColor="text1"/>
          <w:sz w:val="24"/>
          <w:szCs w:val="24"/>
        </w:rPr>
        <w:t>Working memory (WM) is compromised in numerous psychiatric conditions</w:t>
      </w:r>
      <w:r w:rsidR="00A95EF0">
        <w:rPr>
          <w:rFonts w:asciiTheme="majorBidi" w:hAnsiTheme="majorBidi" w:cstheme="majorBidi"/>
          <w:color w:val="000000" w:themeColor="text1"/>
          <w:sz w:val="24"/>
          <w:szCs w:val="24"/>
        </w:rPr>
        <w:t xml:space="preserve"> </w:t>
      </w:r>
      <w:r w:rsidR="00A95EF0">
        <w:rPr>
          <w:rFonts w:asciiTheme="majorBidi" w:hAnsiTheme="majorBidi" w:cstheme="majorBidi"/>
          <w:color w:val="000000" w:themeColor="text1"/>
          <w:sz w:val="24"/>
          <w:szCs w:val="24"/>
        </w:rPr>
        <w:fldChar w:fldCharType="begin">
          <w:fldData xml:space="preserve">PEVuZE5vdGU+PENpdGU+PEF1dGhvcj5Hb2xkPC9BdXRob3I+PFllYXI+MjAxOTwvWWVhcj48UmVj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</w:fldData>
        </w:fldChar>
      </w:r>
      <w:r w:rsidR="00A95EF0">
        <w:rPr>
          <w:rFonts w:asciiTheme="majorBidi" w:hAnsiTheme="majorBidi" w:cstheme="majorBidi"/>
          <w:color w:val="000000" w:themeColor="text1"/>
          <w:sz w:val="24"/>
          <w:szCs w:val="24"/>
        </w:rPr>
        <w:instrText xml:space="preserve"> ADDIN EN.CITE </w:instrText>
      </w:r>
      <w:r w:rsidR="00A95EF0">
        <w:rPr>
          <w:rFonts w:asciiTheme="majorBidi" w:hAnsiTheme="majorBidi" w:cstheme="majorBidi"/>
          <w:color w:val="000000" w:themeColor="text1"/>
          <w:sz w:val="24"/>
          <w:szCs w:val="24"/>
        </w:rPr>
        <w:fldChar w:fldCharType="begin">
          <w:fldData xml:space="preserve">PEVuZE5vdGU+PENpdGU+PEF1dGhvcj5Hb2xkPC9BdXRob3I+PFllYXI+MjAxOTwvWWVhcj48UmVj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</w:fldData>
        </w:fldChar>
      </w:r>
      <w:r w:rsidR="00A95EF0">
        <w:rPr>
          <w:rFonts w:asciiTheme="majorBidi" w:hAnsiTheme="majorBidi" w:cstheme="majorBidi"/>
          <w:color w:val="000000" w:themeColor="text1"/>
          <w:sz w:val="24"/>
          <w:szCs w:val="24"/>
        </w:rPr>
        <w:instrText xml:space="preserve"> ADDIN EN.CITE.DATA </w:instrText>
      </w:r>
      <w:r w:rsidR="00A95EF0">
        <w:rPr>
          <w:rFonts w:asciiTheme="majorBidi" w:hAnsiTheme="majorBidi" w:cstheme="majorBidi"/>
          <w:color w:val="000000" w:themeColor="text1"/>
          <w:sz w:val="24"/>
          <w:szCs w:val="24"/>
        </w:rPr>
      </w:r>
      <w:r w:rsidR="00A95EF0">
        <w:rPr>
          <w:rFonts w:asciiTheme="majorBidi" w:hAnsiTheme="majorBidi" w:cstheme="majorBidi"/>
          <w:color w:val="000000" w:themeColor="text1"/>
          <w:sz w:val="24"/>
          <w:szCs w:val="24"/>
        </w:rPr>
        <w:fldChar w:fldCharType="end"/>
      </w:r>
      <w:r w:rsidR="00A95EF0">
        <w:rPr>
          <w:rFonts w:asciiTheme="majorBidi" w:hAnsiTheme="majorBidi" w:cstheme="majorBidi"/>
          <w:color w:val="000000" w:themeColor="text1"/>
          <w:sz w:val="24"/>
          <w:szCs w:val="24"/>
        </w:rPr>
      </w:r>
      <w:r w:rsidR="00A95EF0">
        <w:rPr>
          <w:rFonts w:asciiTheme="majorBidi" w:hAnsiTheme="majorBidi" w:cstheme="majorBidi"/>
          <w:color w:val="000000" w:themeColor="text1"/>
          <w:sz w:val="24"/>
          <w:szCs w:val="24"/>
        </w:rPr>
        <w:fldChar w:fldCharType="separate"/>
      </w:r>
      <w:r w:rsidR="00A95EF0">
        <w:rPr>
          <w:rFonts w:asciiTheme="majorBidi" w:hAnsiTheme="majorBidi" w:cstheme="majorBidi"/>
          <w:noProof/>
          <w:color w:val="000000" w:themeColor="text1"/>
          <w:sz w:val="24"/>
          <w:szCs w:val="24"/>
        </w:rPr>
        <w:t>(</w:t>
      </w:r>
      <w:hyperlink w:anchor="_ENREF_89" w:tooltip="Gold, 2019 #366" w:history="1">
        <w:r w:rsidR="00DE113E">
          <w:rPr>
            <w:rFonts w:asciiTheme="majorBidi" w:hAnsiTheme="majorBidi" w:cstheme="majorBidi"/>
            <w:noProof/>
            <w:color w:val="000000" w:themeColor="text1"/>
            <w:sz w:val="24"/>
            <w:szCs w:val="24"/>
          </w:rPr>
          <w:t>Gold et al., 2019</w:t>
        </w:r>
      </w:hyperlink>
      <w:r w:rsidR="00A95EF0">
        <w:rPr>
          <w:rFonts w:asciiTheme="majorBidi" w:hAnsiTheme="majorBidi" w:cstheme="majorBidi"/>
          <w:noProof/>
          <w:color w:val="000000" w:themeColor="text1"/>
          <w:sz w:val="24"/>
          <w:szCs w:val="24"/>
        </w:rPr>
        <w:t>)</w:t>
      </w:r>
      <w:r w:rsidR="00A95EF0">
        <w:rPr>
          <w:rFonts w:asciiTheme="majorBidi" w:hAnsiTheme="majorBidi" w:cstheme="majorBidi"/>
          <w:color w:val="000000" w:themeColor="text1"/>
          <w:sz w:val="24"/>
          <w:szCs w:val="24"/>
        </w:rPr>
        <w:fldChar w:fldCharType="end"/>
      </w:r>
      <w:r w:rsidR="00A95EF0">
        <w:rPr>
          <w:rFonts w:asciiTheme="majorBidi" w:hAnsiTheme="majorBidi" w:cstheme="majorBidi"/>
          <w:color w:val="000000" w:themeColor="text1"/>
          <w:sz w:val="24"/>
          <w:szCs w:val="24"/>
        </w:rPr>
        <w:t xml:space="preserve">. </w:t>
      </w:r>
      <w:r w:rsidR="00A95EF0" w:rsidRPr="00A95EF0">
        <w:rPr>
          <w:rFonts w:asciiTheme="majorBidi" w:hAnsiTheme="majorBidi" w:cstheme="majorBidi"/>
          <w:color w:val="000000" w:themeColor="text1"/>
          <w:sz w:val="24"/>
          <w:szCs w:val="24"/>
        </w:rPr>
        <w:t xml:space="preserve">Nevertheless, there are currently no available treatments that target WM deficits in psychiatric illnesses. To address this gap, animal behavioral testing plays </w:t>
      </w:r>
      <w:proofErr w:type="spellStart"/>
      <w:r w:rsidR="00A95EF0" w:rsidRPr="00A95EF0">
        <w:rPr>
          <w:rFonts w:asciiTheme="majorBidi" w:hAnsiTheme="majorBidi" w:cstheme="majorBidi"/>
          <w:color w:val="000000" w:themeColor="text1"/>
          <w:sz w:val="24"/>
          <w:szCs w:val="24"/>
        </w:rPr>
        <w:t>a</w:t>
      </w:r>
      <w:proofErr w:type="spellEnd"/>
      <w:r w:rsidR="00A95EF0" w:rsidRPr="00A95EF0">
        <w:rPr>
          <w:rFonts w:asciiTheme="majorBidi" w:hAnsiTheme="majorBidi" w:cstheme="majorBidi"/>
          <w:color w:val="000000" w:themeColor="text1"/>
          <w:sz w:val="24"/>
          <w:szCs w:val="24"/>
        </w:rPr>
        <w:t xml:space="preserve"> </w:t>
      </w:r>
      <w:r w:rsidR="00BB13FC">
        <w:rPr>
          <w:rFonts w:asciiTheme="majorBidi" w:hAnsiTheme="majorBidi" w:cstheme="majorBidi"/>
          <w:color w:val="000000" w:themeColor="text1"/>
          <w:sz w:val="24"/>
          <w:szCs w:val="24"/>
        </w:rPr>
        <w:t>essential</w:t>
      </w:r>
      <w:r w:rsidR="00A95EF0" w:rsidRPr="00A95EF0">
        <w:rPr>
          <w:rFonts w:asciiTheme="majorBidi" w:hAnsiTheme="majorBidi" w:cstheme="majorBidi"/>
          <w:color w:val="000000" w:themeColor="text1"/>
          <w:sz w:val="24"/>
          <w:szCs w:val="24"/>
        </w:rPr>
        <w:t xml:space="preserve"> </w:t>
      </w:r>
      <w:r w:rsidR="00A95EF0" w:rsidRPr="00A95EF0">
        <w:rPr>
          <w:rFonts w:asciiTheme="majorBidi" w:hAnsiTheme="majorBidi" w:cstheme="majorBidi"/>
          <w:color w:val="000000" w:themeColor="text1"/>
          <w:sz w:val="24"/>
          <w:szCs w:val="24"/>
        </w:rPr>
        <w:lastRenderedPageBreak/>
        <w:t>role in evaluating the impact of new therapeutic agents on cognitive functions</w:t>
      </w:r>
      <w:r w:rsidR="00A95EF0">
        <w:rPr>
          <w:rFonts w:asciiTheme="majorBidi" w:hAnsiTheme="majorBidi" w:cstheme="majorBidi"/>
          <w:color w:val="000000" w:themeColor="text1"/>
          <w:sz w:val="24"/>
          <w:szCs w:val="24"/>
        </w:rPr>
        <w:t xml:space="preserve"> </w:t>
      </w:r>
      <w:r w:rsidR="00A95EF0">
        <w:rPr>
          <w:rFonts w:asciiTheme="majorBidi" w:hAnsiTheme="majorBidi" w:cstheme="majorBidi"/>
          <w:color w:val="000000" w:themeColor="text1"/>
          <w:sz w:val="24"/>
          <w:szCs w:val="24"/>
        </w:rPr>
        <w:fldChar w:fldCharType="begin"/>
      </w:r>
      <w:r w:rsidR="00A95EF0">
        <w:rPr>
          <w:rFonts w:asciiTheme="majorBidi" w:hAnsiTheme="majorBidi" w:cstheme="majorBidi"/>
          <w:color w:val="000000" w:themeColor="text1"/>
          <w:sz w:val="24"/>
          <w:szCs w:val="24"/>
        </w:rPr>
        <w:instrText xml:space="preserve"> ADDIN EN.CITE &lt;EndNote&gt;&lt;Cite&gt;&lt;Author&gt;Dudchenko&lt;/Author&gt;&lt;Year&gt;2013&lt;/Year&gt;&lt;RecNum&gt;367&lt;/RecNum&gt;&lt;DisplayText&gt;(Dudchenko et al., 2013)&lt;/DisplayText&gt;&lt;record&gt;&lt;rec-number&gt;367&lt;/rec-number&gt;&lt;foreign-keys&gt;&lt;key app="EN" db-id="2ptrtps0adr9vke22dn5tpwzrsfaxtxrfwet" timestamp="1760529158"&gt;367&lt;/key&gt;&lt;/foreign-keys&gt;&lt;ref-type name="Journal Article"&gt;17&lt;/ref-type&gt;&lt;contributors&gt;&lt;authors&gt;&lt;author&gt;Dudchenko, P. A.&lt;/author&gt;&lt;author&gt;Talpos, J.&lt;/author&gt;&lt;author&gt;Young, J.&lt;/author&gt;&lt;author&gt;Baxter, M. G.&lt;/author&gt;&lt;/authors&gt;&lt;/contributors&gt;&lt;auth-address&gt;University of Stirling, Psychology, School of Natural Sciences, Cottrell Building, Stirling FK9 4LA, United Kingdom. Electronic address: p.a.dudchenko@stir.ac.uk.&lt;/auth-address&gt;&lt;titles&gt;&lt;title&gt;Animal models of working memory: a review of tasks that might be used in screening drug treatments for the memory impairments found in schizophrenia&lt;/title&gt;&lt;secondary-title&gt;Neurosci Biobehav Rev&lt;/secondary-title&gt;&lt;/titles&gt;&lt;periodical&gt;&lt;full-title&gt;Neurosci Biobehav Rev&lt;/full-title&gt;&lt;/periodical&gt;&lt;pages&gt;2111-24&lt;/pages&gt;&lt;volume&gt;37&lt;/volume&gt;&lt;number&gt;9 Pt B&lt;/number&gt;&lt;edition&gt;2012/04/03&lt;/edition&gt;&lt;keywords&gt;&lt;keyword&gt;Animals&lt;/keyword&gt;&lt;keyword&gt;Disease Models, Animal&lt;/keyword&gt;&lt;keyword&gt;Drug Evaluation, Preclinical/*methods&lt;/keyword&gt;&lt;keyword&gt;Humans&lt;/keyword&gt;&lt;keyword&gt;Memory Disorders/*drug therapy/*etiology&lt;/keyword&gt;&lt;keyword&gt;Memory, Short-Term/*drug effects&lt;/keyword&gt;&lt;keyword&gt;Schizophrenia/*complications&lt;/keyword&gt;&lt;keyword&gt;Animal models&lt;/keyword&gt;&lt;keyword&gt;Delayed non-matching to position&lt;/keyword&gt;&lt;keyword&gt;Odour span&lt;/keyword&gt;&lt;keyword&gt;Schizophrenia&lt;/keyword&gt;&lt;keyword&gt;Working memory&lt;/keyword&gt;&lt;keyword&gt;n-Back&lt;/keyword&gt;&lt;/keywords&gt;&lt;dates&gt;&lt;year&gt;2013&lt;/year&gt;&lt;pub-dates&gt;&lt;date&gt;Nov&lt;/date&gt;&lt;/pub-dates&gt;&lt;/dates&gt;&lt;isbn&gt;0149-7634&lt;/isbn&gt;&lt;accession-num&gt;22464948&lt;/accession-num&gt;&lt;urls&gt;&lt;/urls&gt;&lt;electronic-resource-num&gt;10.1016/j.neubiorev.2012.03.003&lt;/electronic-resource-num&gt;&lt;remote-database-provider&gt;NLM&lt;/remote-database-provider&gt;&lt;language&gt;eng&lt;/language&gt;&lt;/record&gt;&lt;/Cite&gt;&lt;/EndNote&gt;</w:instrText>
      </w:r>
      <w:r w:rsidR="00A95EF0">
        <w:rPr>
          <w:rFonts w:asciiTheme="majorBidi" w:hAnsiTheme="majorBidi" w:cstheme="majorBidi"/>
          <w:color w:val="000000" w:themeColor="text1"/>
          <w:sz w:val="24"/>
          <w:szCs w:val="24"/>
        </w:rPr>
        <w:fldChar w:fldCharType="separate"/>
      </w:r>
      <w:r w:rsidR="00A95EF0">
        <w:rPr>
          <w:rFonts w:asciiTheme="majorBidi" w:hAnsiTheme="majorBidi" w:cstheme="majorBidi"/>
          <w:noProof/>
          <w:color w:val="000000" w:themeColor="text1"/>
          <w:sz w:val="24"/>
          <w:szCs w:val="24"/>
        </w:rPr>
        <w:t>(</w:t>
      </w:r>
      <w:hyperlink w:anchor="_ENREF_67" w:tooltip="Dudchenko, 2013 #367" w:history="1">
        <w:r w:rsidR="00DE113E">
          <w:rPr>
            <w:rFonts w:asciiTheme="majorBidi" w:hAnsiTheme="majorBidi" w:cstheme="majorBidi"/>
            <w:noProof/>
            <w:color w:val="000000" w:themeColor="text1"/>
            <w:sz w:val="24"/>
            <w:szCs w:val="24"/>
          </w:rPr>
          <w:t>Dudchenko et al., 2013</w:t>
        </w:r>
      </w:hyperlink>
      <w:r w:rsidR="00A95EF0">
        <w:rPr>
          <w:rFonts w:asciiTheme="majorBidi" w:hAnsiTheme="majorBidi" w:cstheme="majorBidi"/>
          <w:noProof/>
          <w:color w:val="000000" w:themeColor="text1"/>
          <w:sz w:val="24"/>
          <w:szCs w:val="24"/>
        </w:rPr>
        <w:t>)</w:t>
      </w:r>
      <w:r w:rsidR="00A95EF0">
        <w:rPr>
          <w:rFonts w:asciiTheme="majorBidi" w:hAnsiTheme="majorBidi" w:cstheme="majorBidi"/>
          <w:color w:val="000000" w:themeColor="text1"/>
          <w:sz w:val="24"/>
          <w:szCs w:val="24"/>
        </w:rPr>
        <w:fldChar w:fldCharType="end"/>
      </w:r>
      <w:r w:rsidR="00A95EF0" w:rsidRPr="00A95EF0">
        <w:rPr>
          <w:rFonts w:asciiTheme="majorBidi" w:hAnsiTheme="majorBidi" w:cstheme="majorBidi"/>
          <w:color w:val="000000" w:themeColor="text1"/>
          <w:sz w:val="24"/>
          <w:szCs w:val="24"/>
        </w:rPr>
        <w:t xml:space="preserve">. However, the successful translation of innovative therapies into clinical use relies on the animal behavioral models' reliability in assessing cognitive deficits in preclinical tests of possible treatments </w:t>
      </w:r>
      <w:r w:rsidR="00AA605C">
        <w:rPr>
          <w:rFonts w:asciiTheme="majorBidi" w:hAnsiTheme="majorBidi" w:cstheme="majorBidi"/>
          <w:color w:val="000000" w:themeColor="text1"/>
          <w:sz w:val="24"/>
          <w:szCs w:val="24"/>
        </w:rPr>
        <w:fldChar w:fldCharType="begin"/>
      </w:r>
      <w:r w:rsidR="00AA605C">
        <w:rPr>
          <w:rFonts w:asciiTheme="majorBidi" w:hAnsiTheme="majorBidi" w:cstheme="majorBidi"/>
          <w:color w:val="000000" w:themeColor="text1"/>
          <w:sz w:val="24"/>
          <w:szCs w:val="24"/>
        </w:rPr>
        <w:instrText xml:space="preserve"> ADDIN EN.CITE &lt;EndNote&gt;&lt;Cite&gt;&lt;Author&gt;Pound&lt;/Author&gt;&lt;Year&gt;2018&lt;/Year&gt;&lt;RecNum&gt;368&lt;/RecNum&gt;&lt;DisplayText&gt;(Pound &amp;amp; Ritskes-Hoitinga, 2018)&lt;/DisplayText&gt;&lt;record&gt;&lt;rec-number&gt;368&lt;/rec-number&gt;&lt;foreign-keys&gt;&lt;key app="EN" db-id="2ptrtps0adr9vke22dn5tpwzrsfaxtxrfwet" timestamp="1760529583"&gt;368&lt;/key&gt;&lt;/foreign-keys&gt;&lt;ref-type name="Journal Article"&gt;17&lt;/ref-type&gt;&lt;contributors&gt;&lt;authors&gt;&lt;author&gt;Pound, P.&lt;/author&gt;&lt;author&gt;Ritskes-Hoitinga, M.&lt;/author&gt;&lt;/authors&gt;&lt;/contributors&gt;&lt;auth-address&gt;Safer Medicines Trust, PO Box 122, Kingsbridge, TQ7 9AX, UK. pandora@safermedicines.org.&amp;#xD;SYRCLE, Department for Health Evidence, Radboud University Medical Center, PO Box 9101, Route 133, 6500 HB, Nijmegen, The Netherlands.&lt;/auth-address&gt;&lt;titles&gt;&lt;title&gt;Is it possible to overcome issues of external validity in preclinical animal research? Why most animal models are bound to fail&lt;/title&gt;&lt;secondary-title&gt;J Transl Med&lt;/secondary-title&gt;&lt;/titles&gt;&lt;periodical&gt;&lt;full-title&gt;J Transl Med&lt;/full-title&gt;&lt;/periodical&gt;&lt;pages&gt;304&lt;/pages&gt;&lt;volume&gt;16&lt;/volume&gt;&lt;number&gt;1&lt;/number&gt;&lt;edition&gt;2018/11/09&lt;/edition&gt;&lt;keywords&gt;&lt;keyword&gt;Animals&lt;/keyword&gt;&lt;keyword&gt;*Disease Models, Animal&lt;/keyword&gt;&lt;keyword&gt;*Drug Evaluation, Preclinical&lt;/keyword&gt;&lt;keyword&gt;Reproducibility of Results&lt;/keyword&gt;&lt;keyword&gt;Species Specificity&lt;/keyword&gt;&lt;keyword&gt;External validity&lt;/keyword&gt;&lt;keyword&gt;Human-relevant methods&lt;/keyword&gt;&lt;keyword&gt;Preclinical animal models&lt;/keyword&gt;&lt;keyword&gt;Translation&lt;/keyword&gt;&lt;/keywords&gt;&lt;dates&gt;&lt;year&gt;2018&lt;/year&gt;&lt;pub-dates&gt;&lt;date&gt;Nov 7&lt;/date&gt;&lt;/pub-dates&gt;&lt;/dates&gt;&lt;isbn&gt;1479-5876&lt;/isbn&gt;&lt;accession-num&gt;30404629&lt;/accession-num&gt;&lt;urls&gt;&lt;/urls&gt;&lt;custom2&gt;PMC6223056&lt;/custom2&gt;&lt;electronic-resource-num&gt;10.1186/s12967-018-1678-1&lt;/electronic-resource-num&gt;&lt;remote-database-provider&gt;NLM&lt;/remote-database-provider&gt;&lt;language&gt;eng&lt;/language&gt;&lt;/record&gt;&lt;/Cite&gt;&lt;/EndNote&gt;</w:instrText>
      </w:r>
      <w:r w:rsidR="00AA605C">
        <w:rPr>
          <w:rFonts w:asciiTheme="majorBidi" w:hAnsiTheme="majorBidi" w:cstheme="majorBidi"/>
          <w:color w:val="000000" w:themeColor="text1"/>
          <w:sz w:val="24"/>
          <w:szCs w:val="24"/>
        </w:rPr>
        <w:fldChar w:fldCharType="separate"/>
      </w:r>
      <w:r w:rsidR="00AA605C">
        <w:rPr>
          <w:rFonts w:asciiTheme="majorBidi" w:hAnsiTheme="majorBidi" w:cstheme="majorBidi"/>
          <w:noProof/>
          <w:color w:val="000000" w:themeColor="text1"/>
          <w:sz w:val="24"/>
          <w:szCs w:val="24"/>
        </w:rPr>
        <w:t>(</w:t>
      </w:r>
      <w:hyperlink w:anchor="_ENREF_185" w:tooltip="Pound, 2018 #368" w:history="1">
        <w:r w:rsidR="00DE113E">
          <w:rPr>
            <w:rFonts w:asciiTheme="majorBidi" w:hAnsiTheme="majorBidi" w:cstheme="majorBidi"/>
            <w:noProof/>
            <w:color w:val="000000" w:themeColor="text1"/>
            <w:sz w:val="24"/>
            <w:szCs w:val="24"/>
          </w:rPr>
          <w:t>Pound &amp; Ritskes-Hoitinga, 2018</w:t>
        </w:r>
      </w:hyperlink>
      <w:r w:rsidR="00AA605C">
        <w:rPr>
          <w:rFonts w:asciiTheme="majorBidi" w:hAnsiTheme="majorBidi" w:cstheme="majorBidi"/>
          <w:noProof/>
          <w:color w:val="000000" w:themeColor="text1"/>
          <w:sz w:val="24"/>
          <w:szCs w:val="24"/>
        </w:rPr>
        <w:t>)</w:t>
      </w:r>
      <w:r w:rsidR="00AA605C">
        <w:rPr>
          <w:rFonts w:asciiTheme="majorBidi" w:hAnsiTheme="majorBidi" w:cstheme="majorBidi"/>
          <w:color w:val="000000" w:themeColor="text1"/>
          <w:sz w:val="24"/>
          <w:szCs w:val="24"/>
        </w:rPr>
        <w:fldChar w:fldCharType="end"/>
      </w:r>
      <w:r w:rsidR="00AA605C">
        <w:rPr>
          <w:rFonts w:asciiTheme="majorBidi" w:hAnsiTheme="majorBidi" w:cstheme="majorBidi"/>
          <w:color w:val="000000" w:themeColor="text1"/>
          <w:sz w:val="24"/>
          <w:szCs w:val="24"/>
        </w:rPr>
        <w:t xml:space="preserve">. </w:t>
      </w:r>
    </w:p>
    <w:p w14:paraId="17331BF5" w14:textId="77777777" w:rsidR="00E51D37" w:rsidRDefault="00E51D37" w:rsidP="00241658">
      <w:pPr>
        <w:ind w:left="720"/>
        <w:jc w:val="both"/>
        <w:rPr>
          <w:rFonts w:asciiTheme="majorBidi" w:hAnsiTheme="majorBidi" w:cstheme="majorBidi"/>
          <w:b/>
          <w:bCs/>
          <w:color w:val="000000" w:themeColor="text1"/>
          <w:sz w:val="24"/>
          <w:szCs w:val="24"/>
        </w:rPr>
      </w:pPr>
    </w:p>
    <w:p w14:paraId="4E96E321" w14:textId="044CF3D6" w:rsidR="00DE3230" w:rsidRDefault="00DE3230" w:rsidP="00D623DE">
      <w:pPr>
        <w:pStyle w:val="Heading2"/>
        <w:ind w:left="720"/>
      </w:pPr>
      <w:bookmarkStart w:id="75" w:name="_Toc214875879"/>
      <w:r w:rsidRPr="00DE3230">
        <w:t xml:space="preserve">4.5 </w:t>
      </w:r>
      <w:r w:rsidR="00E803D8" w:rsidRPr="00DE3230">
        <w:t>Vigilance in Action: Evaluating Continuous Performance and Attentional Stability</w:t>
      </w:r>
      <w:r w:rsidR="00E803D8">
        <w:t xml:space="preserve"> </w:t>
      </w:r>
      <w:r w:rsidR="007A68B5">
        <w:t>(</w:t>
      </w:r>
      <w:r w:rsidR="00153AC9">
        <w:t>rCPT)</w:t>
      </w:r>
      <w:bookmarkEnd w:id="75"/>
    </w:p>
    <w:p w14:paraId="4F3DF61E" w14:textId="097BD134" w:rsidR="00A73F01" w:rsidRDefault="00930DED" w:rsidP="00241658">
      <w:pPr>
        <w:spacing w:line="360" w:lineRule="auto"/>
        <w:ind w:left="720"/>
        <w:jc w:val="both"/>
        <w:rPr>
          <w:rFonts w:asciiTheme="majorBidi" w:hAnsiTheme="majorBidi" w:cstheme="majorBidi"/>
          <w:color w:val="000000" w:themeColor="text1"/>
          <w:sz w:val="24"/>
          <w:szCs w:val="24"/>
        </w:rPr>
      </w:pPr>
      <w:r w:rsidRPr="00930DED">
        <w:rPr>
          <w:rFonts w:asciiTheme="majorBidi" w:hAnsiTheme="majorBidi" w:cstheme="majorBidi"/>
          <w:color w:val="000000" w:themeColor="text1"/>
          <w:sz w:val="24"/>
          <w:szCs w:val="24"/>
        </w:rPr>
        <w:t>The rodent continuous performance task (rCPT) is a recently developed paradigm that uses briefly presented visual stimuli, resembling the 5-CSRTT. Unlike the 5-CSRTT, the rCPT displays stimuli in a fixed central location and incorporates both target and non-target cues. Rather than measuring spatially divided attention, the rCPT evaluates the animal’s ability to distinguish between target and non-target stimuli and serves as a rodent equivalent of the human continuous performance test (CPT)</w:t>
      </w:r>
      <w:r w:rsidR="00DD2539">
        <w:rPr>
          <w:rFonts w:asciiTheme="majorBidi" w:hAnsiTheme="majorBidi" w:cstheme="majorBidi"/>
          <w:color w:val="000000" w:themeColor="text1"/>
          <w:sz w:val="24"/>
          <w:szCs w:val="24"/>
        </w:rPr>
        <w:t xml:space="preserve"> </w:t>
      </w:r>
      <w:r w:rsidR="00DD2539">
        <w:rPr>
          <w:rFonts w:asciiTheme="majorBidi" w:hAnsiTheme="majorBidi" w:cstheme="majorBidi"/>
          <w:color w:val="000000" w:themeColor="text1"/>
          <w:sz w:val="24"/>
          <w:szCs w:val="24"/>
        </w:rPr>
        <w:fldChar w:fldCharType="begin"/>
      </w:r>
      <w:r w:rsidR="00DD2539">
        <w:rPr>
          <w:rFonts w:asciiTheme="majorBidi" w:hAnsiTheme="majorBidi" w:cstheme="majorBidi"/>
          <w:color w:val="000000" w:themeColor="text1"/>
          <w:sz w:val="24"/>
          <w:szCs w:val="24"/>
        </w:rPr>
        <w:instrText xml:space="preserve"> ADDIN EN.CITE &lt;EndNote&gt;&lt;Cite&gt;&lt;Author&gt;Kim&lt;/Author&gt;&lt;Year&gt;2016&lt;/Year&gt;&lt;RecNum&gt;370&lt;/RecNum&gt;&lt;DisplayText&gt;(Kim et al., 2016)&lt;/DisplayText&gt;&lt;record&gt;&lt;rec-number&gt;370&lt;/rec-number&gt;&lt;foreign-keys&gt;&lt;key app="EN" db-id="2ptrtps0adr9vke22dn5tpwzrsfaxtxrfwet" timestamp="1760946460"&gt;370&lt;/key&gt;&lt;/foreign-keys&gt;&lt;ref-type name="Journal Article"&gt;17&lt;/ref-type&gt;&lt;contributors&gt;&lt;authors&gt;&lt;author&gt;Kim, Chi Hun&lt;/author&gt;&lt;author&gt;Hvoslef-Eide, Martha&lt;/author&gt;&lt;author&gt;Nilsson, Simon R. O.&lt;/author&gt;&lt;author&gt;Johnson, Mark R.&lt;/author&gt;&lt;author&gt;Herbert, Bronwen R.&lt;/author&gt;&lt;author&gt;Robbins, Trevor W.&lt;/author&gt;&lt;author&gt;Saksida, Lisa M.&lt;/author&gt;&lt;author&gt;Bussey, Timothy J.&lt;/author&gt;&lt;author&gt;Mar, Adam C.&lt;/author&gt;&lt;/authors&gt;&lt;/contributors&gt;&lt;titles&gt;&lt;title&gt;Erratum to: The continuous performance test (rCPT) for mice: a novel operant touchscreen test of attentional function&lt;/title&gt;&lt;secondary-title&gt;Psychopharmacology&lt;/secondary-title&gt;&lt;/titles&gt;&lt;periodical&gt;&lt;full-title&gt;Psychopharmacology&lt;/full-title&gt;&lt;/periodical&gt;&lt;pages&gt;3471-3471&lt;/pages&gt;&lt;volume&gt;233&lt;/volume&gt;&lt;number&gt;18&lt;/number&gt;&lt;dates&gt;&lt;year&gt;2016&lt;/year&gt;&lt;pub-dates&gt;&lt;date&gt;2016/09/01&lt;/date&gt;&lt;/pub-dates&gt;&lt;/dates&gt;&lt;isbn&gt;1432-2072&lt;/isbn&gt;&lt;urls&gt;&lt;related-urls&gt;&lt;url&gt;https://doi.org/10.1007/s00213-016-4400-0&lt;/url&gt;&lt;/related-urls&gt;&lt;/urls&gt;&lt;electronic-resource-num&gt;10.1007/s00213-016-4400-0&lt;/electronic-resource-num&gt;&lt;/record&gt;&lt;/Cite&gt;&lt;/EndNote&gt;</w:instrText>
      </w:r>
      <w:r w:rsidR="00DD2539">
        <w:rPr>
          <w:rFonts w:asciiTheme="majorBidi" w:hAnsiTheme="majorBidi" w:cstheme="majorBidi"/>
          <w:color w:val="000000" w:themeColor="text1"/>
          <w:sz w:val="24"/>
          <w:szCs w:val="24"/>
        </w:rPr>
        <w:fldChar w:fldCharType="separate"/>
      </w:r>
      <w:r w:rsidR="00DD2539">
        <w:rPr>
          <w:rFonts w:asciiTheme="majorBidi" w:hAnsiTheme="majorBidi" w:cstheme="majorBidi"/>
          <w:noProof/>
          <w:color w:val="000000" w:themeColor="text1"/>
          <w:sz w:val="24"/>
          <w:szCs w:val="24"/>
        </w:rPr>
        <w:t>(</w:t>
      </w:r>
      <w:hyperlink w:anchor="_ENREF_129" w:tooltip="Kim, 2016 #370" w:history="1">
        <w:r w:rsidR="00DE113E">
          <w:rPr>
            <w:rFonts w:asciiTheme="majorBidi" w:hAnsiTheme="majorBidi" w:cstheme="majorBidi"/>
            <w:noProof/>
            <w:color w:val="000000" w:themeColor="text1"/>
            <w:sz w:val="24"/>
            <w:szCs w:val="24"/>
          </w:rPr>
          <w:t>Kim et al., 2016</w:t>
        </w:r>
      </w:hyperlink>
      <w:r w:rsidR="00DD2539">
        <w:rPr>
          <w:rFonts w:asciiTheme="majorBidi" w:hAnsiTheme="majorBidi" w:cstheme="majorBidi"/>
          <w:noProof/>
          <w:color w:val="000000" w:themeColor="text1"/>
          <w:sz w:val="24"/>
          <w:szCs w:val="24"/>
        </w:rPr>
        <w:t>)</w:t>
      </w:r>
      <w:r w:rsidR="00DD2539">
        <w:rPr>
          <w:rFonts w:asciiTheme="majorBidi" w:hAnsiTheme="majorBidi" w:cstheme="majorBidi"/>
          <w:color w:val="000000" w:themeColor="text1"/>
          <w:sz w:val="24"/>
          <w:szCs w:val="24"/>
        </w:rPr>
        <w:fldChar w:fldCharType="end"/>
      </w:r>
      <w:r w:rsidRPr="00930DED">
        <w:rPr>
          <w:rFonts w:asciiTheme="majorBidi" w:hAnsiTheme="majorBidi" w:cstheme="majorBidi"/>
          <w:color w:val="000000" w:themeColor="text1"/>
          <w:sz w:val="24"/>
          <w:szCs w:val="24"/>
        </w:rPr>
        <w:t>.</w:t>
      </w:r>
    </w:p>
    <w:p w14:paraId="6BEBEA0C" w14:textId="5EE71540" w:rsidR="009B3915" w:rsidRPr="009B3915" w:rsidRDefault="00AB69E8" w:rsidP="00241658">
      <w:pPr>
        <w:spacing w:line="360" w:lineRule="auto"/>
        <w:ind w:left="72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Our results from stage1 to stage 4 showed that as the difficulty of each stage increased the sessions which is needed to reach the criterion will be increased. This data is in line with the results of the </w:t>
      </w:r>
      <w:r w:rsidR="00C03E6A">
        <w:rPr>
          <w:rFonts w:asciiTheme="majorBidi" w:hAnsiTheme="majorBidi" w:cstheme="majorBidi"/>
          <w:color w:val="000000" w:themeColor="text1"/>
          <w:sz w:val="24"/>
          <w:szCs w:val="24"/>
        </w:rPr>
        <w:t>K</w:t>
      </w:r>
      <w:r>
        <w:rPr>
          <w:rFonts w:asciiTheme="majorBidi" w:hAnsiTheme="majorBidi" w:cstheme="majorBidi"/>
          <w:color w:val="000000" w:themeColor="text1"/>
          <w:sz w:val="24"/>
          <w:szCs w:val="24"/>
        </w:rPr>
        <w:t>im et al when they test the same task with C57 mice</w:t>
      </w:r>
      <w:r w:rsidR="006F6800" w:rsidRPr="006F6800">
        <w:t xml:space="preserve"> </w:t>
      </w:r>
      <w:r w:rsidR="006F6800">
        <w:rPr>
          <w:rFonts w:asciiTheme="majorBidi" w:hAnsiTheme="majorBidi" w:cstheme="majorBidi"/>
          <w:color w:val="000000" w:themeColor="text1"/>
          <w:sz w:val="24"/>
          <w:szCs w:val="24"/>
        </w:rPr>
        <w:fldChar w:fldCharType="begin"/>
      </w:r>
      <w:r w:rsidR="006F6800">
        <w:rPr>
          <w:rFonts w:asciiTheme="majorBidi" w:hAnsiTheme="majorBidi" w:cstheme="majorBidi"/>
          <w:color w:val="000000" w:themeColor="text1"/>
          <w:sz w:val="24"/>
          <w:szCs w:val="24"/>
        </w:rPr>
        <w:instrText xml:space="preserve"> ADDIN EN.CITE &lt;EndNote&gt;&lt;Cite&gt;&lt;Author&gt;Kim&lt;/Author&gt;&lt;Year&gt;2015&lt;/Year&gt;&lt;RecNum&gt;371&lt;/RecNum&gt;&lt;DisplayText&gt;(Kim, Hvoslef-Eide, et al., 2015)&lt;/DisplayText&gt;&lt;record&gt;&lt;rec-number&gt;371&lt;/rec-number&gt;&lt;foreign-keys&gt;&lt;key app="EN" db-id="2ptrtps0adr9vke22dn5tpwzrsfaxtxrfwet" timestamp="1760950981"&gt;371&lt;/key&gt;&lt;/foreign-keys&gt;&lt;ref-type name="Journal Article"&gt;17&lt;/ref-type&gt;&lt;contributors&gt;&lt;authors&gt;&lt;author&gt;Kim, Chi Hun&lt;/author&gt;&lt;author&gt;Hvoslef-Eide, Martha&lt;/author&gt;&lt;author&gt;Nilsson, Simon R. O.&lt;/author&gt;&lt;author&gt;Johnson, Mark R.&lt;/author&gt;&lt;author&gt;Herbert, Bronwen R.&lt;/author&gt;&lt;author&gt;Robbins, Trevor W.&lt;/author&gt;&lt;author&gt;Saksida, Lisa M.&lt;/author&gt;&lt;author&gt;Bussey, Timothy J.&lt;/author&gt;&lt;author&gt;Mar, Adam C.&lt;/author&gt;&lt;/authors&gt;&lt;/contributors&gt;&lt;titles&gt;&lt;title&gt;The continuous performance test (rCPT) for mice: a novel operant touchscreen test of attentional function&lt;/title&gt;&lt;secondary-title&gt;Psychopharmacology&lt;/secondary-title&gt;&lt;/titles&gt;&lt;periodical&gt;&lt;full-title&gt;Psychopharmacology&lt;/full-title&gt;&lt;/periodical&gt;&lt;pages&gt;3947-3966&lt;/pages&gt;&lt;volume&gt;232&lt;/volume&gt;&lt;number&gt;21&lt;/number&gt;&lt;dates&gt;&lt;year&gt;2015&lt;/year&gt;&lt;pub-dates&gt;&lt;date&gt;2015/11/01&lt;/date&gt;&lt;/pub-dates&gt;&lt;/dates&gt;&lt;isbn&gt;1432-2072&lt;/isbn&gt;&lt;urls&gt;&lt;related-urls&gt;&lt;url&gt;https://doi.org/10.1007/s00213-015-4081-0&lt;/url&gt;&lt;/related-urls&gt;&lt;/urls&gt;&lt;electronic-resource-num&gt;10.1007/s00213-015-4081-0&lt;/electronic-resource-num&gt;&lt;/record&gt;&lt;/Cite&gt;&lt;/EndNote&gt;</w:instrText>
      </w:r>
      <w:r w:rsidR="006F6800">
        <w:rPr>
          <w:rFonts w:asciiTheme="majorBidi" w:hAnsiTheme="majorBidi" w:cstheme="majorBidi"/>
          <w:color w:val="000000" w:themeColor="text1"/>
          <w:sz w:val="24"/>
          <w:szCs w:val="24"/>
        </w:rPr>
        <w:fldChar w:fldCharType="separate"/>
      </w:r>
      <w:r w:rsidR="006F6800">
        <w:rPr>
          <w:rFonts w:asciiTheme="majorBidi" w:hAnsiTheme="majorBidi" w:cstheme="majorBidi"/>
          <w:noProof/>
          <w:color w:val="000000" w:themeColor="text1"/>
          <w:sz w:val="24"/>
          <w:szCs w:val="24"/>
        </w:rPr>
        <w:t>(</w:t>
      </w:r>
      <w:hyperlink w:anchor="_ENREF_128" w:tooltip="Kim, 2015 #382" w:history="1">
        <w:r w:rsidR="00DE113E">
          <w:rPr>
            <w:rFonts w:asciiTheme="majorBidi" w:hAnsiTheme="majorBidi" w:cstheme="majorBidi"/>
            <w:noProof/>
            <w:color w:val="000000" w:themeColor="text1"/>
            <w:sz w:val="24"/>
            <w:szCs w:val="24"/>
          </w:rPr>
          <w:t>Kim, Hvoslef-Eide, et al., 2015</w:t>
        </w:r>
      </w:hyperlink>
      <w:r w:rsidR="006F6800">
        <w:rPr>
          <w:rFonts w:asciiTheme="majorBidi" w:hAnsiTheme="majorBidi" w:cstheme="majorBidi"/>
          <w:noProof/>
          <w:color w:val="000000" w:themeColor="text1"/>
          <w:sz w:val="24"/>
          <w:szCs w:val="24"/>
        </w:rPr>
        <w:t>)</w:t>
      </w:r>
      <w:r w:rsidR="006F6800">
        <w:rPr>
          <w:rFonts w:asciiTheme="majorBidi" w:hAnsiTheme="majorBidi" w:cstheme="majorBidi"/>
          <w:color w:val="000000" w:themeColor="text1"/>
          <w:sz w:val="24"/>
          <w:szCs w:val="24"/>
        </w:rPr>
        <w:fldChar w:fldCharType="end"/>
      </w:r>
      <w:r>
        <w:rPr>
          <w:rFonts w:asciiTheme="majorBidi" w:hAnsiTheme="majorBidi" w:cstheme="majorBidi"/>
          <w:color w:val="000000" w:themeColor="text1"/>
          <w:sz w:val="24"/>
          <w:szCs w:val="24"/>
        </w:rPr>
        <w:t xml:space="preserve">. </w:t>
      </w:r>
      <w:r w:rsidR="00FE3655">
        <w:rPr>
          <w:rFonts w:asciiTheme="majorBidi" w:hAnsiTheme="majorBidi" w:cstheme="majorBidi"/>
          <w:color w:val="000000" w:themeColor="text1"/>
          <w:sz w:val="24"/>
          <w:szCs w:val="24"/>
        </w:rPr>
        <w:t>Also</w:t>
      </w:r>
      <w:r w:rsidR="00044810">
        <w:rPr>
          <w:rFonts w:asciiTheme="majorBidi" w:hAnsiTheme="majorBidi" w:cstheme="majorBidi"/>
          <w:color w:val="000000" w:themeColor="text1"/>
          <w:sz w:val="24"/>
          <w:szCs w:val="24"/>
        </w:rPr>
        <w:t>, in stage 3</w:t>
      </w:r>
      <w:r w:rsidR="00D91A92">
        <w:rPr>
          <w:rFonts w:asciiTheme="majorBidi" w:hAnsiTheme="majorBidi" w:cstheme="majorBidi"/>
          <w:color w:val="000000" w:themeColor="text1"/>
          <w:sz w:val="24"/>
          <w:szCs w:val="24"/>
        </w:rPr>
        <w:t xml:space="preserve"> </w:t>
      </w:r>
      <w:r w:rsidR="00812694">
        <w:rPr>
          <w:rFonts w:asciiTheme="majorBidi" w:hAnsiTheme="majorBidi" w:cstheme="majorBidi"/>
          <w:color w:val="000000" w:themeColor="text1"/>
          <w:sz w:val="24"/>
          <w:szCs w:val="24"/>
        </w:rPr>
        <w:t>that</w:t>
      </w:r>
      <w:r w:rsidR="00D91A92">
        <w:rPr>
          <w:rFonts w:asciiTheme="majorBidi" w:hAnsiTheme="majorBidi" w:cstheme="majorBidi"/>
          <w:color w:val="000000" w:themeColor="text1"/>
          <w:sz w:val="24"/>
          <w:szCs w:val="24"/>
        </w:rPr>
        <w:t xml:space="preserve"> mice should discriminate between the two stimuli</w:t>
      </w:r>
      <w:r w:rsidR="00812694">
        <w:rPr>
          <w:rFonts w:asciiTheme="majorBidi" w:hAnsiTheme="majorBidi" w:cstheme="majorBidi"/>
          <w:color w:val="000000" w:themeColor="text1"/>
          <w:sz w:val="24"/>
          <w:szCs w:val="24"/>
        </w:rPr>
        <w:t xml:space="preserve"> (one S+ and one S-)</w:t>
      </w:r>
      <w:r w:rsidR="00044810">
        <w:rPr>
          <w:rFonts w:asciiTheme="majorBidi" w:hAnsiTheme="majorBidi" w:cstheme="majorBidi"/>
          <w:color w:val="000000" w:themeColor="text1"/>
          <w:sz w:val="24"/>
          <w:szCs w:val="24"/>
        </w:rPr>
        <w:t xml:space="preserve"> the results of the different parameters like hit rate which </w:t>
      </w:r>
      <w:r w:rsidR="00044810" w:rsidRPr="00044810">
        <w:rPr>
          <w:rFonts w:asciiTheme="majorBidi" w:hAnsiTheme="majorBidi" w:cstheme="majorBidi"/>
          <w:color w:val="000000" w:themeColor="text1"/>
          <w:sz w:val="24"/>
          <w:szCs w:val="24"/>
        </w:rPr>
        <w:t>reflects the subject's ability to detect and respond to target stimuli (S⁺) and is commonly used as an index of sustained attention</w:t>
      </w:r>
      <w:r w:rsidR="00C03E6A">
        <w:rPr>
          <w:rFonts w:asciiTheme="majorBidi" w:hAnsiTheme="majorBidi" w:cstheme="majorBidi"/>
          <w:color w:val="000000" w:themeColor="text1"/>
          <w:sz w:val="24"/>
          <w:szCs w:val="24"/>
        </w:rPr>
        <w:t xml:space="preserve">, increased gradually during the sessions, also false alarm rate decreased which show that good attention and perceptual discrimination. As well as d’(d-prime) results which </w:t>
      </w:r>
      <w:r w:rsidR="00C03E6A" w:rsidRPr="00C03E6A">
        <w:rPr>
          <w:rFonts w:asciiTheme="majorBidi" w:hAnsiTheme="majorBidi" w:cstheme="majorBidi"/>
          <w:color w:val="000000" w:themeColor="text1"/>
          <w:sz w:val="24"/>
          <w:szCs w:val="24"/>
        </w:rPr>
        <w:t>is a measure of perceptual sensitivity that quantifies how well a subject can discriminate between target and non-target stimuli, independent of response bias</w:t>
      </w:r>
      <w:r w:rsidR="00C03E6A">
        <w:rPr>
          <w:rFonts w:asciiTheme="majorBidi" w:hAnsiTheme="majorBidi" w:cstheme="majorBidi"/>
          <w:color w:val="000000" w:themeColor="text1"/>
          <w:sz w:val="24"/>
          <w:szCs w:val="24"/>
        </w:rPr>
        <w:t xml:space="preserve">, showed increasing trend during the sessions, showed </w:t>
      </w:r>
      <w:r w:rsidR="006C7299">
        <w:rPr>
          <w:rFonts w:asciiTheme="majorBidi" w:hAnsiTheme="majorBidi" w:cstheme="majorBidi"/>
          <w:color w:val="000000" w:themeColor="text1"/>
          <w:sz w:val="24"/>
          <w:szCs w:val="24"/>
        </w:rPr>
        <w:t xml:space="preserve">that </w:t>
      </w:r>
      <w:r w:rsidR="00C03E6A">
        <w:rPr>
          <w:rFonts w:asciiTheme="majorBidi" w:hAnsiTheme="majorBidi" w:cstheme="majorBidi"/>
          <w:color w:val="000000" w:themeColor="text1"/>
          <w:sz w:val="24"/>
          <w:szCs w:val="24"/>
        </w:rPr>
        <w:t xml:space="preserve">mice effectively can </w:t>
      </w:r>
      <w:r w:rsidR="006C7299">
        <w:rPr>
          <w:rFonts w:asciiTheme="majorBidi" w:hAnsiTheme="majorBidi" w:cstheme="majorBidi"/>
          <w:color w:val="000000" w:themeColor="text1"/>
          <w:sz w:val="24"/>
          <w:szCs w:val="24"/>
        </w:rPr>
        <w:t>respond to the target stimulus while inhibiting responses to the non-target.</w:t>
      </w:r>
      <w:r w:rsidR="00D91A92">
        <w:rPr>
          <w:rFonts w:asciiTheme="majorBidi" w:hAnsiTheme="majorBidi" w:cstheme="majorBidi"/>
          <w:color w:val="000000" w:themeColor="text1"/>
          <w:sz w:val="24"/>
          <w:szCs w:val="24"/>
        </w:rPr>
        <w:t xml:space="preserve"> </w:t>
      </w:r>
      <w:r w:rsidR="00D91A92" w:rsidRPr="00D91A92">
        <w:rPr>
          <w:rFonts w:asciiTheme="majorBidi" w:hAnsiTheme="majorBidi" w:cstheme="majorBidi"/>
          <w:color w:val="000000" w:themeColor="text1"/>
          <w:sz w:val="24"/>
          <w:szCs w:val="24"/>
        </w:rPr>
        <w:t xml:space="preserve">The response bias index (c) reflects the subject's decision-making strategy—specifically, the tendency to respond liberally or conservatively </w:t>
      </w:r>
      <w:r w:rsidR="00D91A92" w:rsidRPr="00D91A92">
        <w:rPr>
          <w:rFonts w:asciiTheme="majorBidi" w:hAnsiTheme="majorBidi" w:cstheme="majorBidi"/>
          <w:color w:val="000000" w:themeColor="text1"/>
          <w:sz w:val="24"/>
          <w:szCs w:val="24"/>
        </w:rPr>
        <w:lastRenderedPageBreak/>
        <w:t>to stimuli. In signal detection theory, a lower c value indicates a liberal bias, meaning the subject is more likely to respond regardless of stimulus type, which may reflect impulsivity or high motivation. A higher c value indicates a conservative bias, suggesting the subject is more cautious and less likely to respond unless confident the stimulus is a target. In our data, the relatively stable c across Stage 3 suggests that the mice maintained a consistent response strategy while learning the discrimination task. This stability implies that improvements in performance (e.g., increased d′) were due to enhanced perceptual sensitivity rather than shifts in response bias.</w:t>
      </w:r>
      <w:r w:rsidR="00812694">
        <w:rPr>
          <w:rFonts w:asciiTheme="majorBidi" w:hAnsiTheme="majorBidi" w:cstheme="majorBidi"/>
          <w:color w:val="000000" w:themeColor="text1"/>
          <w:sz w:val="24"/>
          <w:szCs w:val="24"/>
        </w:rPr>
        <w:t xml:space="preserve"> </w:t>
      </w:r>
      <w:r w:rsidR="00812694" w:rsidRPr="00812694">
        <w:rPr>
          <w:rFonts w:asciiTheme="majorBidi" w:hAnsiTheme="majorBidi" w:cstheme="majorBidi"/>
          <w:color w:val="000000" w:themeColor="text1"/>
          <w:sz w:val="24"/>
          <w:szCs w:val="24"/>
        </w:rPr>
        <w:t>The sensitivity index (SI) in our data increased sharply, indicating that the mice became better at distinguishing target from non-target stimuli, reflecting improved attention and perceptual accuracy. Alongside this, the responsivity index (RI) showed a steady rise, suggesting that the mice grew more engaged in responding, without becoming impulsive. Blank touches remained low and stable across stages, further supporting that the animals maintained good inhibitory control and were not responding indiscriminately during non-stimulus periods.</w:t>
      </w:r>
      <w:r w:rsidR="00DB7C5A">
        <w:rPr>
          <w:rFonts w:asciiTheme="majorBidi" w:hAnsiTheme="majorBidi" w:cstheme="majorBidi"/>
          <w:color w:val="000000" w:themeColor="text1"/>
          <w:sz w:val="24"/>
          <w:szCs w:val="24"/>
        </w:rPr>
        <w:t xml:space="preserve"> After the stage 3, the stage 4 started with the five stimuli discrimination (one S+ and four S-) </w:t>
      </w:r>
      <w:r w:rsidR="00DB7C5A" w:rsidRPr="00DB7C5A">
        <w:rPr>
          <w:rFonts w:asciiTheme="majorBidi" w:hAnsiTheme="majorBidi" w:cstheme="majorBidi"/>
          <w:color w:val="000000" w:themeColor="text1"/>
          <w:sz w:val="24"/>
          <w:szCs w:val="24"/>
        </w:rPr>
        <w:t>the increased task complexity</w:t>
      </w:r>
      <w:r w:rsidR="00DB7C5A">
        <w:rPr>
          <w:rFonts w:asciiTheme="majorBidi" w:hAnsiTheme="majorBidi" w:cstheme="majorBidi"/>
          <w:color w:val="000000" w:themeColor="text1"/>
          <w:sz w:val="24"/>
          <w:szCs w:val="24"/>
        </w:rPr>
        <w:t>. In stage 4 the same parameters examined as the stage 3. T</w:t>
      </w:r>
      <w:r w:rsidR="00DB7C5A" w:rsidRPr="00DB7C5A">
        <w:rPr>
          <w:rFonts w:asciiTheme="majorBidi" w:hAnsiTheme="majorBidi" w:cstheme="majorBidi"/>
          <w:color w:val="000000" w:themeColor="text1"/>
          <w:sz w:val="24"/>
          <w:szCs w:val="24"/>
        </w:rPr>
        <w:t>he hit rate remained high, showing that the mice consistently recognized and responded to target stimuli. The false alarm rate decreased, indicating improved inhibitory control. Sensitivity index (d′) and its non-parametric counterpart (SI) both stabilized at high levels, reflecting strong discrimination between targets and non-targets. The response bias (c) stayed relatively stable, suggesting a balanced decision strategy, while the responsivity index (RI) increased, showing growing confidence and engagement. Blank touches remained low, confirming that the mice were focused and not responding impulsively during non-stimulus periods.</w:t>
      </w:r>
      <w:r w:rsidR="00E51D37">
        <w:rPr>
          <w:rFonts w:asciiTheme="majorBidi" w:hAnsiTheme="majorBidi" w:cstheme="majorBidi"/>
          <w:color w:val="000000" w:themeColor="text1"/>
          <w:sz w:val="24"/>
          <w:szCs w:val="24"/>
        </w:rPr>
        <w:t xml:space="preserve"> </w:t>
      </w:r>
      <w:r w:rsidR="00C813EF" w:rsidRPr="00C813EF">
        <w:rPr>
          <w:rFonts w:asciiTheme="majorBidi" w:hAnsiTheme="majorBidi" w:cstheme="majorBidi"/>
          <w:color w:val="000000" w:themeColor="text1"/>
          <w:sz w:val="24"/>
          <w:szCs w:val="24"/>
        </w:rPr>
        <w:t xml:space="preserve">The (CPT) is one of the most widely used clinical tools for assessing attention and vigilance. In this test, omission errors—when a person fails to respond to a target—are seen as indicators of inattention, while commission errors—responding to non-targets—reflect impulsivity. CPT results are often </w:t>
      </w:r>
      <w:r w:rsidR="00C813EF" w:rsidRPr="00C813EF">
        <w:rPr>
          <w:rFonts w:asciiTheme="majorBidi" w:hAnsiTheme="majorBidi" w:cstheme="majorBidi"/>
          <w:color w:val="000000" w:themeColor="text1"/>
          <w:sz w:val="24"/>
          <w:szCs w:val="24"/>
        </w:rPr>
        <w:lastRenderedPageBreak/>
        <w:t xml:space="preserve">interpreted through the lens of signal detection theory, which provides more refined performance metrics. Specifically, the indices of detectability (d′) and response bias (beta) are viewed as more sensitive indicators of performance changes than simple omission or commission counts </w:t>
      </w:r>
      <w:r w:rsidR="00C813EF">
        <w:rPr>
          <w:rFonts w:asciiTheme="majorBidi" w:hAnsiTheme="majorBidi" w:cstheme="majorBidi"/>
          <w:color w:val="000000" w:themeColor="text1"/>
          <w:sz w:val="24"/>
          <w:szCs w:val="24"/>
        </w:rPr>
        <w:fldChar w:fldCharType="begin"/>
      </w:r>
      <w:r w:rsidR="00C813EF">
        <w:rPr>
          <w:rFonts w:asciiTheme="majorBidi" w:hAnsiTheme="majorBidi" w:cstheme="majorBidi"/>
          <w:color w:val="000000" w:themeColor="text1"/>
          <w:sz w:val="24"/>
          <w:szCs w:val="24"/>
        </w:rPr>
        <w:instrText xml:space="preserve"> ADDIN EN.CITE &lt;EndNote&gt;&lt;Cite&gt;&lt;Author&gt;Riccio&lt;/Author&gt;&lt;Year&gt;2001&lt;/Year&gt;&lt;RecNum&gt;372&lt;/RecNum&gt;&lt;DisplayText&gt;(Riccio et al., 2001)&lt;/DisplayText&gt;&lt;record&gt;&lt;rec-number&gt;372&lt;/rec-number&gt;&lt;foreign-keys&gt;&lt;key app="EN" db-id="2ptrtps0adr9vke22dn5tpwzrsfaxtxrfwet" timestamp="1760953717"&gt;372&lt;/key&gt;&lt;/foreign-keys&gt;&lt;ref-type name="Journal Article"&gt;17&lt;/ref-type&gt;&lt;contributors&gt;&lt;authors&gt;&lt;author&gt;Cynthia A. Riccio&lt;/author&gt;&lt;author&gt;Jennifer J.M. Waldrop&lt;/author&gt;&lt;author&gt;Cecil R. Reynolds&lt;/author&gt;&lt;author&gt;Patricia Lowe&lt;/author&gt;&lt;/authors&gt;&lt;/contributors&gt;&lt;titles&gt;&lt;title&gt;Effects of Stimulants on the Continuous Performance Test (CPT)&lt;/title&gt;&lt;secondary-title&gt;The Journal of Neuropsychiatry and Clinical Neurosciences&lt;/secondary-title&gt;&lt;/titles&gt;&lt;periodical&gt;&lt;full-title&gt;The Journal of Neuropsychiatry and Clinical Neurosciences&lt;/full-title&gt;&lt;/periodical&gt;&lt;pages&gt;326-335&lt;/pages&gt;&lt;volume&gt;13&lt;/volume&gt;&lt;number&gt;3&lt;/number&gt;&lt;dates&gt;&lt;year&gt;2001&lt;/year&gt;&lt;/dates&gt;&lt;accession-num&gt;11514638&lt;/accession-num&gt;&lt;urls&gt;&lt;related-urls&gt;&lt;url&gt;https://psychiatryonline.org/doi/abs/10.1176/jnp.13.3.326&lt;/url&gt;&lt;/related-urls&gt;&lt;/urls&gt;&lt;electronic-resource-num&gt;10.1176/jnp.13.3.326&lt;/electronic-resource-num&gt;&lt;/record&gt;&lt;/Cite&gt;&lt;/EndNote&gt;</w:instrText>
      </w:r>
      <w:r w:rsidR="00C813EF">
        <w:rPr>
          <w:rFonts w:asciiTheme="majorBidi" w:hAnsiTheme="majorBidi" w:cstheme="majorBidi"/>
          <w:color w:val="000000" w:themeColor="text1"/>
          <w:sz w:val="24"/>
          <w:szCs w:val="24"/>
        </w:rPr>
        <w:fldChar w:fldCharType="separate"/>
      </w:r>
      <w:r w:rsidR="00C813EF">
        <w:rPr>
          <w:rFonts w:asciiTheme="majorBidi" w:hAnsiTheme="majorBidi" w:cstheme="majorBidi"/>
          <w:noProof/>
          <w:color w:val="000000" w:themeColor="text1"/>
          <w:sz w:val="24"/>
          <w:szCs w:val="24"/>
        </w:rPr>
        <w:t>(</w:t>
      </w:r>
      <w:hyperlink w:anchor="_ENREF_198" w:tooltip="Riccio, 2001 #372" w:history="1">
        <w:r w:rsidR="00DE113E">
          <w:rPr>
            <w:rFonts w:asciiTheme="majorBidi" w:hAnsiTheme="majorBidi" w:cstheme="majorBidi"/>
            <w:noProof/>
            <w:color w:val="000000" w:themeColor="text1"/>
            <w:sz w:val="24"/>
            <w:szCs w:val="24"/>
          </w:rPr>
          <w:t>Riccio et al., 2001</w:t>
        </w:r>
      </w:hyperlink>
      <w:r w:rsidR="00C813EF">
        <w:rPr>
          <w:rFonts w:asciiTheme="majorBidi" w:hAnsiTheme="majorBidi" w:cstheme="majorBidi"/>
          <w:noProof/>
          <w:color w:val="000000" w:themeColor="text1"/>
          <w:sz w:val="24"/>
          <w:szCs w:val="24"/>
        </w:rPr>
        <w:t>)</w:t>
      </w:r>
      <w:r w:rsidR="00C813EF">
        <w:rPr>
          <w:rFonts w:asciiTheme="majorBidi" w:hAnsiTheme="majorBidi" w:cstheme="majorBidi"/>
          <w:color w:val="000000" w:themeColor="text1"/>
          <w:sz w:val="24"/>
          <w:szCs w:val="24"/>
        </w:rPr>
        <w:fldChar w:fldCharType="end"/>
      </w:r>
      <w:r w:rsidR="009B3915">
        <w:rPr>
          <w:rFonts w:asciiTheme="majorBidi" w:hAnsiTheme="majorBidi" w:cstheme="majorBidi"/>
          <w:color w:val="000000" w:themeColor="text1"/>
          <w:sz w:val="24"/>
          <w:szCs w:val="24"/>
        </w:rPr>
        <w:t>.</w:t>
      </w:r>
      <w:r w:rsidR="00E51D37">
        <w:rPr>
          <w:rFonts w:asciiTheme="majorBidi" w:hAnsiTheme="majorBidi" w:cstheme="majorBidi"/>
          <w:color w:val="000000" w:themeColor="text1"/>
          <w:sz w:val="24"/>
          <w:szCs w:val="24"/>
        </w:rPr>
        <w:t xml:space="preserve"> </w:t>
      </w:r>
      <w:r w:rsidR="009B3915" w:rsidRPr="009B3915">
        <w:rPr>
          <w:rFonts w:asciiTheme="majorBidi" w:hAnsiTheme="majorBidi" w:cstheme="majorBidi"/>
          <w:color w:val="000000" w:themeColor="text1"/>
          <w:sz w:val="24"/>
          <w:szCs w:val="24"/>
        </w:rPr>
        <w:t>After achieving stable baseline performance, probe sessions were conducted to assess how manipulations of visual parameters influenced attention and discrimination. In the Stimulus Duration Probe, as the duration of stimulus presentation decreased, both hit rate and sensitivity index (d′) declined, indicating that shorter exposure times made accurate detection more difficult. However, false alarm rates remained largely unchanged, suggesting that impulsivity was not affected. These findings reflect the expected pattern reported by Kim et al. (2015), showing that reduced stimulus duration primarily impairs perceptual sensitivity rather than response control.</w:t>
      </w:r>
      <w:r w:rsidR="009B3915">
        <w:rPr>
          <w:rFonts w:asciiTheme="majorBidi" w:hAnsiTheme="majorBidi" w:cstheme="majorBidi"/>
          <w:color w:val="000000" w:themeColor="text1"/>
          <w:sz w:val="24"/>
          <w:szCs w:val="24"/>
        </w:rPr>
        <w:t xml:space="preserve"> </w:t>
      </w:r>
      <w:r w:rsidR="009B3915" w:rsidRPr="009B3915">
        <w:rPr>
          <w:rFonts w:asciiTheme="majorBidi" w:hAnsiTheme="majorBidi" w:cstheme="majorBidi"/>
          <w:color w:val="000000" w:themeColor="text1"/>
          <w:sz w:val="24"/>
          <w:szCs w:val="24"/>
        </w:rPr>
        <w:t xml:space="preserve">Similarly, in the Stimulus Contrast Probe, lowering the contrast of visual stimuli led to a marked reduction in hit rate and d′, while response criterion (c) increased, indicating that mice adopted a more conservative strategy under visually demanding conditions. These results are consistent with </w:t>
      </w:r>
      <w:r w:rsidR="009B3915">
        <w:rPr>
          <w:rFonts w:asciiTheme="majorBidi" w:hAnsiTheme="majorBidi" w:cstheme="majorBidi"/>
          <w:color w:val="000000" w:themeColor="text1"/>
          <w:sz w:val="24"/>
          <w:szCs w:val="24"/>
        </w:rPr>
        <w:fldChar w:fldCharType="begin"/>
      </w:r>
      <w:r w:rsidR="009B3915">
        <w:rPr>
          <w:rFonts w:asciiTheme="majorBidi" w:hAnsiTheme="majorBidi" w:cstheme="majorBidi"/>
          <w:color w:val="000000" w:themeColor="text1"/>
          <w:sz w:val="24"/>
          <w:szCs w:val="24"/>
        </w:rPr>
        <w:instrText xml:space="preserve"> ADDIN EN.CITE &lt;EndNote&gt;&lt;Cite&gt;&lt;Author&gt;Kim&lt;/Author&gt;&lt;Year&gt;2015&lt;/Year&gt;&lt;RecNum&gt;382&lt;/RecNum&gt;&lt;DisplayText&gt;(Kim, Hvoslef-Eide, et al., 2015)&lt;/DisplayText&gt;&lt;record&gt;&lt;rec-number&gt;382&lt;/rec-number&gt;&lt;foreign-keys&gt;&lt;key app="EN" db-id="2ptrtps0adr9vke22dn5tpwzrsfaxtxrfwet" timestamp="1761570675"&gt;382&lt;/key&gt;&lt;/foreign-keys&gt;&lt;ref-type name="Journal Article"&gt;17&lt;/ref-type&gt;&lt;contributors&gt;&lt;authors&gt;&lt;author&gt;Kim, Chi Hun&lt;/author&gt;&lt;author&gt;Hvoslef-Eide, Martha&lt;/author&gt;&lt;author&gt;Nilsson, Simon R. O.&lt;/author&gt;&lt;author&gt;Johnson, Mark R.&lt;/author&gt;&lt;author&gt;Herbert, Bronwen R.&lt;/author&gt;&lt;author&gt;Robbins, Trevor W.&lt;/author&gt;&lt;author&gt;Saksida, Lisa M.&lt;/author&gt;&lt;author&gt;Bussey, Timothy J.&lt;/author&gt;&lt;author&gt;Mar, Adam C.&lt;/author&gt;&lt;/authors&gt;&lt;/contributors&gt;&lt;titles&gt;&lt;title&gt;The continuous performance test (rCPT) for mice: a novel operant touchscreen test of attentional function&lt;/title&gt;&lt;secondary-title&gt;Psychopharmacology&lt;/secondary-title&gt;&lt;/titles&gt;&lt;periodical&gt;&lt;full-title&gt;Psychopharmacology&lt;/full-title&gt;&lt;/periodical&gt;&lt;pages&gt;3947-3966&lt;/pages&gt;&lt;volume&gt;232&lt;/volume&gt;&lt;number&gt;21&lt;/number&gt;&lt;dates&gt;&lt;year&gt;2015&lt;/year&gt;&lt;pub-dates&gt;&lt;date&gt;2015/11/01&lt;/date&gt;&lt;/pub-dates&gt;&lt;/dates&gt;&lt;isbn&gt;1432-2072&lt;/isbn&gt;&lt;urls&gt;&lt;related-urls&gt;&lt;url&gt;https://doi.org/10.1007/s00213-015-4081-0&lt;/url&gt;&lt;/related-urls&gt;&lt;/urls&gt;&lt;electronic-resource-num&gt;10.1007/s00213-015-4081-0&lt;/electronic-resource-num&gt;&lt;/record&gt;&lt;/Cite&gt;&lt;/EndNote&gt;</w:instrText>
      </w:r>
      <w:r w:rsidR="009B3915">
        <w:rPr>
          <w:rFonts w:asciiTheme="majorBidi" w:hAnsiTheme="majorBidi" w:cstheme="majorBidi"/>
          <w:color w:val="000000" w:themeColor="text1"/>
          <w:sz w:val="24"/>
          <w:szCs w:val="24"/>
        </w:rPr>
        <w:fldChar w:fldCharType="separate"/>
      </w:r>
      <w:r w:rsidR="009B3915">
        <w:rPr>
          <w:rFonts w:asciiTheme="majorBidi" w:hAnsiTheme="majorBidi" w:cstheme="majorBidi"/>
          <w:noProof/>
          <w:color w:val="000000" w:themeColor="text1"/>
          <w:sz w:val="24"/>
          <w:szCs w:val="24"/>
        </w:rPr>
        <w:t>(</w:t>
      </w:r>
      <w:hyperlink w:anchor="_ENREF_128" w:tooltip="Kim, 2015 #382" w:history="1">
        <w:r w:rsidR="00DE113E">
          <w:rPr>
            <w:rFonts w:asciiTheme="majorBidi" w:hAnsiTheme="majorBidi" w:cstheme="majorBidi"/>
            <w:noProof/>
            <w:color w:val="000000" w:themeColor="text1"/>
            <w:sz w:val="24"/>
            <w:szCs w:val="24"/>
          </w:rPr>
          <w:t>Kim, Hvoslef-Eide, et al., 2015</w:t>
        </w:r>
      </w:hyperlink>
      <w:r w:rsidR="009B3915">
        <w:rPr>
          <w:rFonts w:asciiTheme="majorBidi" w:hAnsiTheme="majorBidi" w:cstheme="majorBidi"/>
          <w:noProof/>
          <w:color w:val="000000" w:themeColor="text1"/>
          <w:sz w:val="24"/>
          <w:szCs w:val="24"/>
        </w:rPr>
        <w:t>)</w:t>
      </w:r>
      <w:r w:rsidR="009B3915">
        <w:rPr>
          <w:rFonts w:asciiTheme="majorBidi" w:hAnsiTheme="majorBidi" w:cstheme="majorBidi"/>
          <w:color w:val="000000" w:themeColor="text1"/>
          <w:sz w:val="24"/>
          <w:szCs w:val="24"/>
        </w:rPr>
        <w:fldChar w:fldCharType="end"/>
      </w:r>
      <w:r w:rsidR="009B3915" w:rsidRPr="009B3915">
        <w:rPr>
          <w:rFonts w:asciiTheme="majorBidi" w:hAnsiTheme="majorBidi" w:cstheme="majorBidi"/>
          <w:color w:val="000000" w:themeColor="text1"/>
          <w:sz w:val="24"/>
          <w:szCs w:val="24"/>
        </w:rPr>
        <w:t>, supporting the idea that stimulus contrast directly modulates perceptual sensitivity in the rCPT.</w:t>
      </w:r>
      <w:r w:rsidR="009B3915">
        <w:rPr>
          <w:rFonts w:asciiTheme="majorBidi" w:hAnsiTheme="majorBidi" w:cstheme="majorBidi"/>
          <w:color w:val="000000" w:themeColor="text1"/>
          <w:sz w:val="24"/>
          <w:szCs w:val="24"/>
        </w:rPr>
        <w:t xml:space="preserve"> </w:t>
      </w:r>
      <w:r w:rsidR="009B3915" w:rsidRPr="009B3915">
        <w:rPr>
          <w:rFonts w:asciiTheme="majorBidi" w:hAnsiTheme="majorBidi" w:cstheme="majorBidi"/>
          <w:color w:val="000000" w:themeColor="text1"/>
          <w:sz w:val="24"/>
          <w:szCs w:val="24"/>
        </w:rPr>
        <w:t>In contrast, the Flanker Distractor Probe did not reveal significant differences across non-distractor, congruent, and incongruent conditions. Unlike the Kim et al. findings, which reported reduced sensitivity when distractors were presented, our mice maintained stable performance. This discrepancy may stem from factors such as greater task familiarity, reduced distractor salience, or possible strain-related resistance to peripheral interference.</w:t>
      </w:r>
      <w:r w:rsidR="009B3915">
        <w:rPr>
          <w:rFonts w:asciiTheme="majorBidi" w:hAnsiTheme="majorBidi" w:cstheme="majorBidi"/>
          <w:color w:val="000000" w:themeColor="text1"/>
          <w:sz w:val="24"/>
          <w:szCs w:val="24"/>
        </w:rPr>
        <w:t xml:space="preserve"> </w:t>
      </w:r>
      <w:r w:rsidR="009B3915" w:rsidRPr="009B3915">
        <w:rPr>
          <w:rFonts w:asciiTheme="majorBidi" w:hAnsiTheme="majorBidi" w:cstheme="majorBidi"/>
          <w:color w:val="000000" w:themeColor="text1"/>
          <w:sz w:val="24"/>
          <w:szCs w:val="24"/>
        </w:rPr>
        <w:t>Overall, the probe data from our study align well with previous reports regarding the effects of stimulus duration and contrast, further validating the rCPT as a sensitive measure of attentional performance in mice. However, the lack of a flanker distractor effect suggests that under our testing parameters, the distractors may not have been sufficiently salient to interfere with focused attention.</w:t>
      </w:r>
      <w:r w:rsidR="007A0D0C">
        <w:rPr>
          <w:rFonts w:asciiTheme="majorBidi" w:hAnsiTheme="majorBidi" w:cstheme="majorBidi"/>
          <w:color w:val="000000" w:themeColor="text1"/>
          <w:sz w:val="24"/>
          <w:szCs w:val="24"/>
        </w:rPr>
        <w:t xml:space="preserve"> O</w:t>
      </w:r>
      <w:r w:rsidR="00754259" w:rsidRPr="00754259">
        <w:rPr>
          <w:rFonts w:asciiTheme="majorBidi" w:hAnsiTheme="majorBidi" w:cstheme="majorBidi"/>
          <w:color w:val="000000" w:themeColor="text1"/>
          <w:sz w:val="24"/>
          <w:szCs w:val="24"/>
        </w:rPr>
        <w:t xml:space="preserve">ur findings support the translational value of the rCPT as a rodent model of human sustained attention. As also </w:t>
      </w:r>
      <w:r w:rsidR="00754259" w:rsidRPr="00754259">
        <w:rPr>
          <w:rFonts w:asciiTheme="majorBidi" w:hAnsiTheme="majorBidi" w:cstheme="majorBidi"/>
          <w:color w:val="000000" w:themeColor="text1"/>
          <w:sz w:val="24"/>
          <w:szCs w:val="24"/>
        </w:rPr>
        <w:lastRenderedPageBreak/>
        <w:t xml:space="preserve">shown by </w:t>
      </w:r>
      <w:r w:rsidR="007A0D0C">
        <w:rPr>
          <w:rFonts w:asciiTheme="majorBidi" w:hAnsiTheme="majorBidi" w:cstheme="majorBidi"/>
          <w:color w:val="000000" w:themeColor="text1"/>
          <w:sz w:val="24"/>
          <w:szCs w:val="24"/>
        </w:rPr>
        <w:fldChar w:fldCharType="begin"/>
      </w:r>
      <w:r w:rsidR="007A0D0C">
        <w:rPr>
          <w:rFonts w:asciiTheme="majorBidi" w:hAnsiTheme="majorBidi" w:cstheme="majorBidi"/>
          <w:color w:val="000000" w:themeColor="text1"/>
          <w:sz w:val="24"/>
          <w:szCs w:val="24"/>
        </w:rPr>
        <w:instrText xml:space="preserve"> ADDIN EN.CITE &lt;EndNote&gt;&lt;Cite&gt;&lt;Author&gt;Salmon&lt;/Author&gt;&lt;Year&gt;2024&lt;/Year&gt;&lt;RecNum&gt;385&lt;/RecNum&gt;&lt;DisplayText&gt;(Salmon et al., 2024)&lt;/DisplayText&gt;&lt;record&gt;&lt;rec-number&gt;385&lt;/rec-number&gt;&lt;foreign-keys&gt;&lt;key app="EN" db-id="2ptrtps0adr9vke22dn5tpwzrsfaxtxrfwet" timestamp="1761640970"&gt;385&lt;/key&gt;&lt;/foreign-keys&gt;&lt;ref-type name="Journal Article"&gt;17&lt;/ref-type&gt;&lt;contributors&gt;&lt;authors&gt;&lt;author&gt;Salmon, Claire&lt;/author&gt;&lt;author&gt;Li, Shuting&lt;/author&gt;&lt;author&gt;Burrows, Emma L.&lt;/author&gt;&lt;author&gt;Johnson, Katherine A.&lt;/author&gt;&lt;/authors&gt;&lt;/contributors&gt;&lt;titles&gt;&lt;title&gt;Translational validity of neuropsychological tasks of sustained attention between rodents and humans: A systematic review of three rodent tasks&lt;/title&gt;&lt;secondary-title&gt;Journal of Neurochemistry&lt;/secondary-title&gt;&lt;/titles&gt;&lt;periodical&gt;&lt;full-title&gt;Journal of Neurochemistry&lt;/full-title&gt;&lt;/periodical&gt;&lt;pages&gt;2170-2189&lt;/pages&gt;&lt;volume&gt;168&lt;/volume&gt;&lt;number&gt;9&lt;/number&gt;&lt;dates&gt;&lt;year&gt;2024&lt;/year&gt;&lt;/dates&gt;&lt;isbn&gt;0022-3042&lt;/isbn&gt;&lt;urls&gt;&lt;related-urls&gt;&lt;url&gt;https://onlinelibrary.wiley.com/doi/abs/10.1111/jnc.16117&lt;/url&gt;&lt;/related-urls&gt;&lt;/urls&gt;&lt;electronic-resource-num&gt;https://doi.org/10.1111/jnc.16117&lt;/electronic-resource-num&gt;&lt;/record&gt;&lt;/Cite&gt;&lt;/EndNote&gt;</w:instrText>
      </w:r>
      <w:r w:rsidR="007A0D0C">
        <w:rPr>
          <w:rFonts w:asciiTheme="majorBidi" w:hAnsiTheme="majorBidi" w:cstheme="majorBidi"/>
          <w:color w:val="000000" w:themeColor="text1"/>
          <w:sz w:val="24"/>
          <w:szCs w:val="24"/>
        </w:rPr>
        <w:fldChar w:fldCharType="separate"/>
      </w:r>
      <w:r w:rsidR="007A0D0C">
        <w:rPr>
          <w:rFonts w:asciiTheme="majorBidi" w:hAnsiTheme="majorBidi" w:cstheme="majorBidi"/>
          <w:noProof/>
          <w:color w:val="000000" w:themeColor="text1"/>
          <w:sz w:val="24"/>
          <w:szCs w:val="24"/>
        </w:rPr>
        <w:t>(</w:t>
      </w:r>
      <w:hyperlink w:anchor="_ENREF_212" w:tooltip="Salmon, 2024 #272" w:history="1">
        <w:r w:rsidR="00DE113E">
          <w:rPr>
            <w:rFonts w:asciiTheme="majorBidi" w:hAnsiTheme="majorBidi" w:cstheme="majorBidi"/>
            <w:noProof/>
            <w:color w:val="000000" w:themeColor="text1"/>
            <w:sz w:val="24"/>
            <w:szCs w:val="24"/>
          </w:rPr>
          <w:t>Salmon et al., 2024</w:t>
        </w:r>
      </w:hyperlink>
      <w:r w:rsidR="007A0D0C">
        <w:rPr>
          <w:rFonts w:asciiTheme="majorBidi" w:hAnsiTheme="majorBidi" w:cstheme="majorBidi"/>
          <w:noProof/>
          <w:color w:val="000000" w:themeColor="text1"/>
          <w:sz w:val="24"/>
          <w:szCs w:val="24"/>
        </w:rPr>
        <w:t>)</w:t>
      </w:r>
      <w:r w:rsidR="007A0D0C">
        <w:rPr>
          <w:rFonts w:asciiTheme="majorBidi" w:hAnsiTheme="majorBidi" w:cstheme="majorBidi"/>
          <w:color w:val="000000" w:themeColor="text1"/>
          <w:sz w:val="24"/>
          <w:szCs w:val="24"/>
        </w:rPr>
        <w:fldChar w:fldCharType="end"/>
      </w:r>
      <w:r w:rsidR="00754259" w:rsidRPr="00754259">
        <w:rPr>
          <w:rFonts w:asciiTheme="majorBidi" w:hAnsiTheme="majorBidi" w:cstheme="majorBidi"/>
          <w:color w:val="000000" w:themeColor="text1"/>
          <w:sz w:val="24"/>
          <w:szCs w:val="24"/>
        </w:rPr>
        <w:t>, the rCPT closely mirrors human CPT performance patterns, especially in touchscreen-based designs. Although some differences remain in how rodents and humans respond to certain task manipulations, the task still captures the essential features of attentional control across species, making it a useful bridge between animal and human research.</w:t>
      </w:r>
      <w:r w:rsidR="00BA522B">
        <w:rPr>
          <w:rFonts w:asciiTheme="majorBidi" w:hAnsiTheme="majorBidi" w:cstheme="majorBidi"/>
          <w:color w:val="000000" w:themeColor="text1"/>
          <w:sz w:val="24"/>
          <w:szCs w:val="24"/>
        </w:rPr>
        <w:t xml:space="preserve"> </w:t>
      </w:r>
      <w:r w:rsidR="00BA522B" w:rsidRPr="00BA522B">
        <w:rPr>
          <w:rFonts w:asciiTheme="majorBidi" w:hAnsiTheme="majorBidi" w:cstheme="majorBidi"/>
          <w:color w:val="000000" w:themeColor="text1"/>
          <w:sz w:val="24"/>
          <w:szCs w:val="24"/>
        </w:rPr>
        <w:t xml:space="preserve">The results from large human studies, such as the Consortium on the Genetics of Schizophrenia (COGS), have shown that deficits in continuous performance tasks are reliable and strongly associated with impaired vigilance and functional capacity in schizophrenia, independent of symptom severity </w:t>
      </w:r>
      <w:r w:rsidR="00BA522B">
        <w:rPr>
          <w:rFonts w:asciiTheme="majorBidi" w:hAnsiTheme="majorBidi" w:cstheme="majorBidi"/>
          <w:color w:val="000000" w:themeColor="text1"/>
          <w:sz w:val="24"/>
          <w:szCs w:val="24"/>
        </w:rPr>
        <w:fldChar w:fldCharType="begin"/>
      </w:r>
      <w:r w:rsidR="00BA522B">
        <w:rPr>
          <w:rFonts w:asciiTheme="majorBidi" w:hAnsiTheme="majorBidi" w:cstheme="majorBidi"/>
          <w:color w:val="000000" w:themeColor="text1"/>
          <w:sz w:val="24"/>
          <w:szCs w:val="24"/>
        </w:rPr>
        <w:instrText xml:space="preserve"> ADDIN EN.CITE &lt;EndNote&gt;&lt;Cite&gt;&lt;Author&gt;Nuechterlein&lt;/Author&gt;&lt;Year&gt;2015&lt;/Year&gt;&lt;RecNum&gt;386&lt;/RecNum&gt;&lt;DisplayText&gt;(Nuechterlein et al., 2015)&lt;/DisplayText&gt;&lt;record&gt;&lt;rec-number&gt;386&lt;/rec-number&gt;&lt;foreign-keys&gt;&lt;key app="EN" db-id="2ptrtps0adr9vke22dn5tpwzrsfaxtxrfwet" timestamp="1761641947"&gt;386&lt;/key&gt;&lt;/foreign-keys&gt;&lt;ref-type name="Journal Article"&gt;17&lt;/ref-type&gt;&lt;contributors&gt;&lt;authors&gt;&lt;author&gt;Nuechterlein, Keith H.&lt;/author&gt;&lt;author&gt;Green, Michael F.&lt;/author&gt;&lt;author&gt;Calkins, Monica E.&lt;/author&gt;&lt;author&gt;Greenwood, Tiffany A.&lt;/author&gt;&lt;author&gt;Gur, Raquel E.&lt;/author&gt;&lt;author&gt;Gur, Ruben C.&lt;/author&gt;&lt;author&gt;Lazzeroni, Laura C.&lt;/author&gt;&lt;author&gt;Light, Gregory A.&lt;/author&gt;&lt;author&gt;Radant, Allen D.&lt;/author&gt;&lt;author&gt;Seidman, Larry J.&lt;/author&gt;&lt;author&gt;Siever, Larry J.&lt;/author&gt;&lt;author&gt;Silverman, Jeremy M.&lt;/author&gt;&lt;author&gt;Sprock, Joyce&lt;/author&gt;&lt;author&gt;Stone, William S.&lt;/author&gt;&lt;author&gt;Sugar, Catherine A.&lt;/author&gt;&lt;author&gt;Swerdlow, Neal R.&lt;/author&gt;&lt;author&gt;Tsuang, Debby W.&lt;/author&gt;&lt;author&gt;Tsuang, Ming T.&lt;/author&gt;&lt;author&gt;Turetsky, Bruce I.&lt;/author&gt;&lt;author&gt;Braff, David L.&lt;/author&gt;&lt;/authors&gt;&lt;/contributors&gt;&lt;titles&gt;&lt;title&gt;Attention/vigilance in schizophrenia: Performance results from a large multi-site study of the Consortium on the Genetics of Schizophrenia (COGS)&lt;/title&gt;&lt;secondary-title&gt;Schizophrenia Research&lt;/secondary-title&gt;&lt;/titles&gt;&lt;periodical&gt;&lt;full-title&gt;Schizophrenia Research&lt;/full-title&gt;&lt;/periodical&gt;&lt;pages&gt;38-46&lt;/pages&gt;&lt;volume&gt;163&lt;/volume&gt;&lt;number&gt;1&lt;/number&gt;&lt;keywords&gt;&lt;keyword&gt;Schizophrenia&lt;/keyword&gt;&lt;keyword&gt;Endophenotype&lt;/keyword&gt;&lt;keyword&gt;Attention&lt;/keyword&gt;&lt;keyword&gt;Continuous Performance Test&lt;/keyword&gt;&lt;keyword&gt;Cognition&lt;/keyword&gt;&lt;keyword&gt;Functional capacity&lt;/keyword&gt;&lt;keyword&gt;Genetics&lt;/keyword&gt;&lt;/keywords&gt;&lt;dates&gt;&lt;year&gt;2015&lt;/year&gt;&lt;pub-dates&gt;&lt;date&gt;2015/04/01/&lt;/date&gt;&lt;/pub-dates&gt;&lt;/dates&gt;&lt;isbn&gt;0920-9964&lt;/isbn&gt;&lt;urls&gt;&lt;related-urls&gt;&lt;url&gt;https://www.sciencedirect.com/science/article/pii/S0920996415000213&lt;/url&gt;&lt;/related-urls&gt;&lt;/urls&gt;&lt;electronic-resource-num&gt;https://doi.org/10.1016/j.schres.2015.01.017&lt;/electronic-resource-num&gt;&lt;/record&gt;&lt;/Cite&gt;&lt;/EndNote&gt;</w:instrText>
      </w:r>
      <w:r w:rsidR="00BA522B">
        <w:rPr>
          <w:rFonts w:asciiTheme="majorBidi" w:hAnsiTheme="majorBidi" w:cstheme="majorBidi"/>
          <w:color w:val="000000" w:themeColor="text1"/>
          <w:sz w:val="24"/>
          <w:szCs w:val="24"/>
        </w:rPr>
        <w:fldChar w:fldCharType="separate"/>
      </w:r>
      <w:r w:rsidR="00BA522B">
        <w:rPr>
          <w:rFonts w:asciiTheme="majorBidi" w:hAnsiTheme="majorBidi" w:cstheme="majorBidi"/>
          <w:noProof/>
          <w:color w:val="000000" w:themeColor="text1"/>
          <w:sz w:val="24"/>
          <w:szCs w:val="24"/>
        </w:rPr>
        <w:t>(</w:t>
      </w:r>
      <w:hyperlink w:anchor="_ENREF_170" w:tooltip="Nuechterlein, 2015 #386" w:history="1">
        <w:r w:rsidR="00DE113E">
          <w:rPr>
            <w:rFonts w:asciiTheme="majorBidi" w:hAnsiTheme="majorBidi" w:cstheme="majorBidi"/>
            <w:noProof/>
            <w:color w:val="000000" w:themeColor="text1"/>
            <w:sz w:val="24"/>
            <w:szCs w:val="24"/>
          </w:rPr>
          <w:t>Nuechterlein et al., 2015</w:t>
        </w:r>
      </w:hyperlink>
      <w:r w:rsidR="00BA522B">
        <w:rPr>
          <w:rFonts w:asciiTheme="majorBidi" w:hAnsiTheme="majorBidi" w:cstheme="majorBidi"/>
          <w:noProof/>
          <w:color w:val="000000" w:themeColor="text1"/>
          <w:sz w:val="24"/>
          <w:szCs w:val="24"/>
        </w:rPr>
        <w:t>)</w:t>
      </w:r>
      <w:r w:rsidR="00BA522B">
        <w:rPr>
          <w:rFonts w:asciiTheme="majorBidi" w:hAnsiTheme="majorBidi" w:cstheme="majorBidi"/>
          <w:color w:val="000000" w:themeColor="text1"/>
          <w:sz w:val="24"/>
          <w:szCs w:val="24"/>
        </w:rPr>
        <w:fldChar w:fldCharType="end"/>
      </w:r>
      <w:r w:rsidR="00BA522B">
        <w:rPr>
          <w:rFonts w:asciiTheme="majorBidi" w:hAnsiTheme="majorBidi" w:cstheme="majorBidi"/>
          <w:color w:val="000000" w:themeColor="text1"/>
          <w:sz w:val="24"/>
          <w:szCs w:val="24"/>
        </w:rPr>
        <w:t xml:space="preserve">. </w:t>
      </w:r>
    </w:p>
    <w:p w14:paraId="05E3FE06" w14:textId="77777777" w:rsidR="009B3915" w:rsidRPr="00B40A12" w:rsidRDefault="009B3915" w:rsidP="00241658">
      <w:pPr>
        <w:spacing w:line="360" w:lineRule="auto"/>
        <w:ind w:left="720"/>
        <w:jc w:val="both"/>
        <w:rPr>
          <w:rFonts w:asciiTheme="majorBidi" w:hAnsiTheme="majorBidi" w:cstheme="majorBidi"/>
          <w:color w:val="000000" w:themeColor="text1"/>
          <w:sz w:val="24"/>
          <w:szCs w:val="24"/>
        </w:rPr>
      </w:pPr>
    </w:p>
    <w:p w14:paraId="0D943FE9" w14:textId="2DC60F82" w:rsidR="00DE3230" w:rsidRDefault="00DE3230" w:rsidP="007C2132">
      <w:pPr>
        <w:pStyle w:val="Heading2"/>
        <w:ind w:left="720"/>
      </w:pPr>
      <w:bookmarkStart w:id="76" w:name="_Toc214875880"/>
      <w:r w:rsidRPr="00DE3230">
        <w:t>4.6 Decisions Under Uncertainty: Cognitive Risk and Choice Behavior</w:t>
      </w:r>
      <w:r w:rsidR="00DC24B8">
        <w:t xml:space="preserve"> (4-CGT)</w:t>
      </w:r>
      <w:bookmarkEnd w:id="76"/>
    </w:p>
    <w:p w14:paraId="1162D7A7" w14:textId="739CF75D" w:rsidR="00B67228" w:rsidRPr="00BA522B" w:rsidRDefault="005B79B8" w:rsidP="00241658">
      <w:pPr>
        <w:spacing w:line="360" w:lineRule="auto"/>
        <w:ind w:left="720"/>
        <w:jc w:val="both"/>
        <w:rPr>
          <w:rFonts w:asciiTheme="majorBidi" w:hAnsiTheme="majorBidi" w:cstheme="majorBidi"/>
          <w:color w:val="000000" w:themeColor="text1"/>
        </w:rPr>
      </w:pPr>
      <w:r w:rsidRPr="005B79B8">
        <w:rPr>
          <w:rFonts w:asciiTheme="majorBidi" w:hAnsiTheme="majorBidi" w:cstheme="majorBidi"/>
          <w:color w:val="000000" w:themeColor="text1"/>
          <w:sz w:val="24"/>
          <w:szCs w:val="24"/>
          <w:lang w:val="en-GB"/>
        </w:rPr>
        <w:t>The four-choice gambling task (4</w:t>
      </w:r>
      <w:r w:rsidR="00676DF9">
        <w:rPr>
          <w:rFonts w:asciiTheme="majorBidi" w:hAnsiTheme="majorBidi" w:cstheme="majorBidi"/>
          <w:color w:val="000000" w:themeColor="text1"/>
          <w:sz w:val="24"/>
          <w:szCs w:val="24"/>
          <w:lang w:val="en-GB"/>
        </w:rPr>
        <w:t>-</w:t>
      </w:r>
      <w:r w:rsidRPr="005B79B8">
        <w:rPr>
          <w:rFonts w:asciiTheme="majorBidi" w:hAnsiTheme="majorBidi" w:cstheme="majorBidi"/>
          <w:color w:val="000000" w:themeColor="text1"/>
          <w:sz w:val="24"/>
          <w:szCs w:val="24"/>
          <w:lang w:val="en-GB"/>
        </w:rPr>
        <w:t xml:space="preserve">CGT) is a rodent analogue of the human Iowa Gambling Task, designed to study how animals balance risk and reward when making decisions under uncertain conditions. The task replicates many aspects of the human version using a touchscreen system, providing a </w:t>
      </w:r>
      <w:r w:rsidR="007839F1" w:rsidRPr="005B79B8">
        <w:rPr>
          <w:rFonts w:asciiTheme="majorBidi" w:hAnsiTheme="majorBidi" w:cstheme="majorBidi"/>
          <w:color w:val="000000" w:themeColor="text1"/>
          <w:sz w:val="24"/>
          <w:szCs w:val="24"/>
          <w:lang w:val="en-GB"/>
        </w:rPr>
        <w:t>favourable</w:t>
      </w:r>
      <w:r w:rsidRPr="005B79B8">
        <w:rPr>
          <w:rFonts w:asciiTheme="majorBidi" w:hAnsiTheme="majorBidi" w:cstheme="majorBidi"/>
          <w:color w:val="000000" w:themeColor="text1"/>
          <w:sz w:val="24"/>
          <w:szCs w:val="24"/>
          <w:lang w:val="en-GB"/>
        </w:rPr>
        <w:t xml:space="preserve"> translational model for studying decision-making processes across species. It permits researchers to measure choice preference and related behaviours, for example, impulsivity, compulsivity, and attentional control. It offers a comprehensive picture of cognitive and motivational factors involved in adaptive </w:t>
      </w:r>
      <w:r w:rsidR="007839F1" w:rsidRPr="005B79B8">
        <w:rPr>
          <w:rFonts w:asciiTheme="majorBidi" w:hAnsiTheme="majorBidi" w:cstheme="majorBidi"/>
          <w:color w:val="000000" w:themeColor="text1"/>
          <w:sz w:val="24"/>
          <w:szCs w:val="24"/>
          <w:lang w:val="en-GB"/>
        </w:rPr>
        <w:t>behaviour</w:t>
      </w:r>
      <w:r w:rsidRPr="005B79B8">
        <w:rPr>
          <w:rFonts w:asciiTheme="majorBidi" w:hAnsiTheme="majorBidi" w:cstheme="majorBidi"/>
          <w:color w:val="000000" w:themeColor="text1"/>
          <w:sz w:val="24"/>
          <w:szCs w:val="24"/>
          <w:lang w:val="en-GB"/>
        </w:rPr>
        <w:t>. The 4</w:t>
      </w:r>
      <w:r w:rsidR="00676DF9">
        <w:rPr>
          <w:rFonts w:asciiTheme="majorBidi" w:hAnsiTheme="majorBidi" w:cstheme="majorBidi"/>
          <w:color w:val="000000" w:themeColor="text1"/>
          <w:sz w:val="24"/>
          <w:szCs w:val="24"/>
          <w:lang w:val="en-GB"/>
        </w:rPr>
        <w:t>-</w:t>
      </w:r>
      <w:r w:rsidRPr="005B79B8">
        <w:rPr>
          <w:rFonts w:asciiTheme="majorBidi" w:hAnsiTheme="majorBidi" w:cstheme="majorBidi"/>
          <w:color w:val="000000" w:themeColor="text1"/>
          <w:sz w:val="24"/>
          <w:szCs w:val="24"/>
          <w:lang w:val="en-GB"/>
        </w:rPr>
        <w:t>CGT confronts cortico-striato-thalamo-cortical circuits, which are also implicated in human reward-based learning and psychiatric illnesses, making it a powerful tool to link behavioral outcomes to underlying neural mechanisms. Combining accuracy, automation, and cross-species comparability, the 4</w:t>
      </w:r>
      <w:r w:rsidR="00676DF9">
        <w:rPr>
          <w:rFonts w:asciiTheme="majorBidi" w:hAnsiTheme="majorBidi" w:cstheme="majorBidi"/>
          <w:color w:val="000000" w:themeColor="text1"/>
          <w:sz w:val="24"/>
          <w:szCs w:val="24"/>
          <w:lang w:val="en-GB"/>
        </w:rPr>
        <w:t>-</w:t>
      </w:r>
      <w:r w:rsidRPr="005B79B8">
        <w:rPr>
          <w:rFonts w:asciiTheme="majorBidi" w:hAnsiTheme="majorBidi" w:cstheme="majorBidi"/>
          <w:color w:val="000000" w:themeColor="text1"/>
          <w:sz w:val="24"/>
          <w:szCs w:val="24"/>
          <w:lang w:val="en-GB"/>
        </w:rPr>
        <w:t>CGT helps bridge the gap between preclinical models and human studies in decision-making and cognitive health research</w:t>
      </w:r>
      <w:r>
        <w:rPr>
          <w:rFonts w:asciiTheme="majorBidi" w:hAnsiTheme="majorBidi" w:cstheme="majorBidi"/>
          <w:color w:val="000000" w:themeColor="text1"/>
          <w:sz w:val="24"/>
          <w:szCs w:val="24"/>
          <w:lang w:val="en-GB"/>
        </w:rPr>
        <w:t xml:space="preserve"> </w:t>
      </w:r>
      <w:r>
        <w:rPr>
          <w:rFonts w:asciiTheme="majorBidi" w:hAnsiTheme="majorBidi" w:cstheme="majorBidi"/>
          <w:color w:val="000000" w:themeColor="text1"/>
          <w:sz w:val="24"/>
          <w:szCs w:val="24"/>
          <w:lang w:val="en-GB"/>
        </w:rPr>
        <w:fldChar w:fldCharType="begin"/>
      </w:r>
      <w:r>
        <w:rPr>
          <w:rFonts w:asciiTheme="majorBidi" w:hAnsiTheme="majorBidi" w:cstheme="majorBidi"/>
          <w:color w:val="000000" w:themeColor="text1"/>
          <w:sz w:val="24"/>
          <w:szCs w:val="24"/>
          <w:lang w:val="en-GB"/>
        </w:rPr>
        <w:instrText xml:space="preserve"> ADDIN EN.CITE &lt;EndNote&gt;&lt;Cite&gt;&lt;Author&gt;Pratt&lt;/Author&gt;&lt;Year&gt;2025&lt;/Year&gt;&lt;RecNum&gt;383&lt;/RecNum&gt;&lt;DisplayText&gt;(Pratt &amp;amp; Morris, 2025)&lt;/DisplayText&gt;&lt;record&gt;&lt;rec-number&gt;383&lt;/rec-number&gt;&lt;foreign-keys&gt;&lt;key app="EN" db-id="2ptrtps0adr9vke22dn5tpwzrsfaxtxrfwet" timestamp="1761573866"&gt;383&lt;/key&gt;&lt;/foreign-keys&gt;&lt;ref-type name="Journal Article"&gt;17&lt;/ref-type&gt;&lt;contributors&gt;&lt;authors&gt;&lt;author&gt;Pratt,Judith A.&lt;/author&gt;&lt;author&gt;Morris,Brian J.&lt;/author&gt;&lt;/authors&gt;&lt;/contributors&gt;&lt;auth-address&gt;Brian J. Morris,School of Psychology and Neuroscience, College of Medical, Veterinary and Life Sciences, University of Glasgow,United Kingdom,brian.morris@glasgow.ac.uk&lt;/auth-address&gt;&lt;titles&gt;&lt;title&gt;Maximising translational value of the Iowa gambling task in preclinical studies through the use of the rodent touchscreen&lt;/title&gt;&lt;secondary-title&gt;Frontiers in Psychiatry&lt;/secondary-title&gt;&lt;short-title&gt;Rodent touchscreen gambling task applications&lt;/short-title&gt;&lt;/titles&gt;&lt;periodical&gt;&lt;full-title&gt;Frontiers in Psychiatry&lt;/full-title&gt;&lt;/periodical&gt;&lt;volume&gt;Volume 16 - 2025&lt;/volume&gt;&lt;keywords&gt;&lt;keyword&gt;dopamine,gambling,impulsivity,touchscreen,risk-reward&lt;/keyword&gt;&lt;/keywords&gt;&lt;dates&gt;&lt;year&gt;2025&lt;/year&gt;&lt;pub-dates&gt;&lt;date&gt;2025-January-27&lt;/date&gt;&lt;/pub-dates&gt;&lt;/dates&gt;&lt;isbn&gt;1664-0640&lt;/isbn&gt;&lt;work-type&gt;Review&lt;/work-type&gt;&lt;urls&gt;&lt;related-urls&gt;&lt;url&gt;https://www.frontiersin.org/journals/psychiatry/articles/10.3389/fpsyt.2025.1518435&lt;/url&gt;&lt;/related-urls&gt;&lt;/urls&gt;&lt;electronic-resource-num&gt;10.3389/fpsyt.2025.1518435&lt;/electronic-resource-num&gt;&lt;language&gt;English&lt;/language&gt;&lt;/record&gt;&lt;/Cite&gt;&lt;/EndNote&gt;</w:instrText>
      </w:r>
      <w:r>
        <w:rPr>
          <w:rFonts w:asciiTheme="majorBidi" w:hAnsiTheme="majorBidi" w:cstheme="majorBidi"/>
          <w:color w:val="000000" w:themeColor="text1"/>
          <w:sz w:val="24"/>
          <w:szCs w:val="24"/>
          <w:lang w:val="en-GB"/>
        </w:rPr>
        <w:fldChar w:fldCharType="separate"/>
      </w:r>
      <w:r>
        <w:rPr>
          <w:rFonts w:asciiTheme="majorBidi" w:hAnsiTheme="majorBidi" w:cstheme="majorBidi"/>
          <w:noProof/>
          <w:color w:val="000000" w:themeColor="text1"/>
          <w:sz w:val="24"/>
          <w:szCs w:val="24"/>
          <w:lang w:val="en-GB"/>
        </w:rPr>
        <w:t>(</w:t>
      </w:r>
      <w:hyperlink w:anchor="_ENREF_186" w:tooltip="Pratt, 2025 #383" w:history="1">
        <w:r w:rsidR="00DE113E">
          <w:rPr>
            <w:rFonts w:asciiTheme="majorBidi" w:hAnsiTheme="majorBidi" w:cstheme="majorBidi"/>
            <w:noProof/>
            <w:color w:val="000000" w:themeColor="text1"/>
            <w:sz w:val="24"/>
            <w:szCs w:val="24"/>
            <w:lang w:val="en-GB"/>
          </w:rPr>
          <w:t>Pratt &amp; Morris, 2025</w:t>
        </w:r>
      </w:hyperlink>
      <w:r>
        <w:rPr>
          <w:rFonts w:asciiTheme="majorBidi" w:hAnsiTheme="majorBidi" w:cstheme="majorBidi"/>
          <w:noProof/>
          <w:color w:val="000000" w:themeColor="text1"/>
          <w:sz w:val="24"/>
          <w:szCs w:val="24"/>
          <w:lang w:val="en-GB"/>
        </w:rPr>
        <w:t>)</w:t>
      </w:r>
      <w:r>
        <w:rPr>
          <w:rFonts w:asciiTheme="majorBidi" w:hAnsiTheme="majorBidi" w:cstheme="majorBidi"/>
          <w:color w:val="000000" w:themeColor="text1"/>
          <w:sz w:val="24"/>
          <w:szCs w:val="24"/>
          <w:lang w:val="en-GB"/>
        </w:rPr>
        <w:fldChar w:fldCharType="end"/>
      </w:r>
      <w:r w:rsidRPr="005B79B8">
        <w:rPr>
          <w:rFonts w:asciiTheme="majorBidi" w:hAnsiTheme="majorBidi" w:cstheme="majorBidi"/>
          <w:color w:val="000000" w:themeColor="text1"/>
          <w:sz w:val="24"/>
          <w:szCs w:val="24"/>
          <w:lang w:val="en-GB"/>
        </w:rPr>
        <w:t>.</w:t>
      </w:r>
      <w:r w:rsidR="00B67228">
        <w:rPr>
          <w:rFonts w:asciiTheme="majorBidi" w:hAnsiTheme="majorBidi" w:cstheme="majorBidi"/>
          <w:color w:val="000000" w:themeColor="text1"/>
          <w:sz w:val="24"/>
          <w:szCs w:val="24"/>
          <w:lang w:val="en-GB"/>
        </w:rPr>
        <w:t xml:space="preserve"> </w:t>
      </w:r>
      <w:r w:rsidR="00B67228" w:rsidRPr="00BA522B">
        <w:rPr>
          <w:rFonts w:asciiTheme="majorBidi" w:hAnsiTheme="majorBidi" w:cstheme="majorBidi"/>
          <w:color w:val="000000" w:themeColor="text1"/>
          <w:sz w:val="24"/>
          <w:szCs w:val="24"/>
        </w:rPr>
        <w:t>Our results showed that C57BL/6J</w:t>
      </w:r>
      <w:r w:rsidR="002D4100">
        <w:rPr>
          <w:rFonts w:asciiTheme="majorBidi" w:hAnsiTheme="majorBidi" w:cstheme="majorBidi"/>
          <w:color w:val="000000" w:themeColor="text1"/>
          <w:sz w:val="24"/>
          <w:szCs w:val="24"/>
        </w:rPr>
        <w:t xml:space="preserve"> male</w:t>
      </w:r>
      <w:r w:rsidR="00B67228" w:rsidRPr="00BA522B">
        <w:rPr>
          <w:rFonts w:asciiTheme="majorBidi" w:hAnsiTheme="majorBidi" w:cstheme="majorBidi"/>
          <w:color w:val="000000" w:themeColor="text1"/>
          <w:sz w:val="24"/>
          <w:szCs w:val="24"/>
        </w:rPr>
        <w:t xml:space="preserve"> mice demonstrated a stable preference for advantageous choices (P1 + P2) across the seven days of the free-choice phase, indicating that the animals effectively learned and maintained the optimal decision strategy. This pattern is consistent with the findings </w:t>
      </w:r>
      <w:r w:rsidR="00B67228" w:rsidRPr="00BA522B">
        <w:rPr>
          <w:rFonts w:asciiTheme="majorBidi" w:hAnsiTheme="majorBidi" w:cstheme="majorBidi"/>
          <w:color w:val="000000" w:themeColor="text1"/>
          <w:sz w:val="24"/>
          <w:szCs w:val="24"/>
        </w:rPr>
        <w:lastRenderedPageBreak/>
        <w:t xml:space="preserve">reported by </w:t>
      </w:r>
      <w:r w:rsidR="00C35418" w:rsidRPr="00BA522B">
        <w:rPr>
          <w:rFonts w:asciiTheme="majorBidi" w:hAnsiTheme="majorBidi" w:cstheme="majorBidi"/>
          <w:color w:val="000000" w:themeColor="text1"/>
          <w:sz w:val="24"/>
          <w:szCs w:val="24"/>
        </w:rPr>
        <w:fldChar w:fldCharType="begin"/>
      </w:r>
      <w:r w:rsidR="00C35418" w:rsidRPr="00BA522B">
        <w:rPr>
          <w:rFonts w:asciiTheme="majorBidi" w:hAnsiTheme="majorBidi" w:cstheme="majorBidi"/>
          <w:color w:val="000000" w:themeColor="text1"/>
          <w:sz w:val="24"/>
          <w:szCs w:val="24"/>
        </w:rPr>
        <w:instrText xml:space="preserve"> ADDIN EN.CITE &lt;EndNote&gt;&lt;Cite&gt;&lt;Author&gt;Thomson&lt;/Author&gt;&lt;Year&gt;2021&lt;/Year&gt;&lt;RecNum&gt;384&lt;/RecNum&gt;&lt;DisplayText&gt;(Thomson et al., 2021)&lt;/DisplayText&gt;&lt;record&gt;&lt;rec-number&gt;384&lt;/rec-number&gt;&lt;foreign-keys&gt;&lt;key app="EN" db-id="2ptrtps0adr9vke22dn5tpwzrsfaxtxrfwet" timestamp="1761575825"&gt;384&lt;/key&gt;&lt;/foreign-keys&gt;&lt;ref-type name="Journal Article"&gt;17&lt;/ref-type&gt;&lt;contributors&gt;&lt;authors&gt;&lt;author&gt;Thomson, David M.&lt;/author&gt;&lt;author&gt;Openshaw, Rebecca L.&lt;/author&gt;&lt;author&gt;Mitchell, Emma J.&lt;/author&gt;&lt;author&gt;Kouskou, Marianna&lt;/author&gt;&lt;author&gt;Millan, Mark J.&lt;/author&gt;&lt;author&gt;Mannoury la Cour, Clotilde&lt;/author&gt;&lt;author&gt;Morris, Brian J.&lt;/author&gt;&lt;author&gt;Pratt, Judith A.&lt;/author&gt;&lt;/authors&gt;&lt;/contributors&gt;&lt;titles&gt;&lt;title&gt;Impaired working memory, cognitive flexibility and reward processing in mice genetically lacking Gpr88: Evidence for a key role for Gpr88 in multiple cortico-striatal-thalamic circuits&lt;/title&gt;&lt;secondary-title&gt;Genes, Brain and Behavior&lt;/secondary-title&gt;&lt;/titles&gt;&lt;periodical&gt;&lt;full-title&gt;Genes, Brain and Behavior&lt;/full-title&gt;&lt;/periodical&gt;&lt;pages&gt;e12710&lt;/pages&gt;&lt;volume&gt;20&lt;/volume&gt;&lt;number&gt;2&lt;/number&gt;&lt;dates&gt;&lt;year&gt;2021&lt;/year&gt;&lt;/dates&gt;&lt;isbn&gt;1601-1848&lt;/isbn&gt;&lt;urls&gt;&lt;related-urls&gt;&lt;url&gt;https://onlinelibrary.wiley.com/doi/abs/10.1111/gbb.12710&lt;/url&gt;&lt;/related-urls&gt;&lt;/urls&gt;&lt;electronic-resource-num&gt;https://doi.org/10.1111/gbb.12710&lt;/electronic-resource-num&gt;&lt;/record&gt;&lt;/Cite&gt;&lt;/EndNote&gt;</w:instrText>
      </w:r>
      <w:r w:rsidR="00C35418" w:rsidRPr="00BA522B">
        <w:rPr>
          <w:rFonts w:asciiTheme="majorBidi" w:hAnsiTheme="majorBidi" w:cstheme="majorBidi"/>
          <w:color w:val="000000" w:themeColor="text1"/>
          <w:sz w:val="24"/>
          <w:szCs w:val="24"/>
        </w:rPr>
        <w:fldChar w:fldCharType="separate"/>
      </w:r>
      <w:r w:rsidR="00C35418" w:rsidRPr="00BA522B">
        <w:rPr>
          <w:rFonts w:asciiTheme="majorBidi" w:hAnsiTheme="majorBidi" w:cstheme="majorBidi"/>
          <w:noProof/>
          <w:color w:val="000000" w:themeColor="text1"/>
          <w:sz w:val="24"/>
          <w:szCs w:val="24"/>
        </w:rPr>
        <w:t>(</w:t>
      </w:r>
      <w:hyperlink w:anchor="_ENREF_249" w:tooltip="Thomson, 2021 #384" w:history="1">
        <w:r w:rsidR="00DE113E" w:rsidRPr="00BA522B">
          <w:rPr>
            <w:rFonts w:asciiTheme="majorBidi" w:hAnsiTheme="majorBidi" w:cstheme="majorBidi"/>
            <w:noProof/>
            <w:color w:val="000000" w:themeColor="text1"/>
            <w:sz w:val="24"/>
            <w:szCs w:val="24"/>
          </w:rPr>
          <w:t>Thomson et al., 2021</w:t>
        </w:r>
      </w:hyperlink>
      <w:r w:rsidR="00C35418" w:rsidRPr="00BA522B">
        <w:rPr>
          <w:rFonts w:asciiTheme="majorBidi" w:hAnsiTheme="majorBidi" w:cstheme="majorBidi"/>
          <w:noProof/>
          <w:color w:val="000000" w:themeColor="text1"/>
          <w:sz w:val="24"/>
          <w:szCs w:val="24"/>
        </w:rPr>
        <w:t>)</w:t>
      </w:r>
      <w:r w:rsidR="00C35418" w:rsidRPr="00BA522B">
        <w:rPr>
          <w:rFonts w:asciiTheme="majorBidi" w:hAnsiTheme="majorBidi" w:cstheme="majorBidi"/>
          <w:color w:val="000000" w:themeColor="text1"/>
          <w:sz w:val="24"/>
          <w:szCs w:val="24"/>
        </w:rPr>
        <w:fldChar w:fldCharType="end"/>
      </w:r>
      <w:r w:rsidR="00B67228" w:rsidRPr="00BA522B">
        <w:rPr>
          <w:rFonts w:asciiTheme="majorBidi" w:hAnsiTheme="majorBidi" w:cstheme="majorBidi"/>
          <w:color w:val="000000" w:themeColor="text1"/>
          <w:sz w:val="24"/>
          <w:szCs w:val="24"/>
        </w:rPr>
        <w:t>, where C57BL/6J mice similarly exhibited strong selection of low-risk, high-reward options and avoided disadvantageous choices throughout testing. In both studies, the persistence of this preference over multiple sessions reflects intact cognitive control and an ability to evaluate and adapt to reward–punishment contingencies efficiently.</w:t>
      </w:r>
      <w:r w:rsidR="00BA522B">
        <w:rPr>
          <w:rFonts w:asciiTheme="majorBidi" w:hAnsiTheme="majorBidi" w:cstheme="majorBidi"/>
          <w:color w:val="000000" w:themeColor="text1"/>
        </w:rPr>
        <w:t xml:space="preserve"> </w:t>
      </w:r>
      <w:r w:rsidR="00B67228" w:rsidRPr="00B67228">
        <w:rPr>
          <w:rFonts w:asciiTheme="majorBidi" w:hAnsiTheme="majorBidi" w:cstheme="majorBidi"/>
          <w:color w:val="000000" w:themeColor="text1"/>
          <w:sz w:val="24"/>
          <w:szCs w:val="24"/>
        </w:rPr>
        <w:t>Furthermore</w:t>
      </w:r>
      <w:r w:rsidR="00C41E3C">
        <w:rPr>
          <w:rFonts w:asciiTheme="majorBidi" w:hAnsiTheme="majorBidi" w:cstheme="majorBidi"/>
          <w:color w:val="000000" w:themeColor="text1"/>
          <w:sz w:val="24"/>
          <w:szCs w:val="24"/>
        </w:rPr>
        <w:t xml:space="preserve">, </w:t>
      </w:r>
      <w:r w:rsidR="00B67228" w:rsidRPr="00B67228">
        <w:rPr>
          <w:rFonts w:asciiTheme="majorBidi" w:hAnsiTheme="majorBidi" w:cstheme="majorBidi"/>
          <w:color w:val="000000" w:themeColor="text1"/>
          <w:sz w:val="24"/>
          <w:szCs w:val="24"/>
        </w:rPr>
        <w:t xml:space="preserve">the number of premature responses in our mice remained low and stable, suggesting good inhibitory control and attentional regulation during task performance. Together, these results confirm that C57BL/6J mice perform reliably in the 4-choice gambling task, showing consistent decision-making under </w:t>
      </w:r>
      <w:r w:rsidR="00BA522B" w:rsidRPr="00B67228">
        <w:rPr>
          <w:rFonts w:asciiTheme="majorBidi" w:hAnsiTheme="majorBidi" w:cstheme="majorBidi"/>
          <w:color w:val="000000" w:themeColor="text1"/>
          <w:sz w:val="24"/>
          <w:szCs w:val="24"/>
        </w:rPr>
        <w:t>uncertainty,</w:t>
      </w:r>
      <w:r w:rsidR="00B67228" w:rsidRPr="00B67228">
        <w:rPr>
          <w:rFonts w:asciiTheme="majorBidi" w:hAnsiTheme="majorBidi" w:cstheme="majorBidi"/>
          <w:color w:val="000000" w:themeColor="text1"/>
          <w:sz w:val="24"/>
          <w:szCs w:val="24"/>
        </w:rPr>
        <w:t xml:space="preserve"> and serving as an appropriate baseline model for assessing cognitive and motivational processes in risk-related behavior.</w:t>
      </w:r>
      <w:r w:rsidR="00C41E3C">
        <w:rPr>
          <w:rFonts w:asciiTheme="majorBidi" w:hAnsiTheme="majorBidi" w:cstheme="majorBidi"/>
          <w:color w:val="000000" w:themeColor="text1"/>
          <w:sz w:val="24"/>
          <w:szCs w:val="24"/>
        </w:rPr>
        <w:t xml:space="preserve"> </w:t>
      </w:r>
      <w:r w:rsidR="00C41E3C" w:rsidRPr="00C41E3C">
        <w:rPr>
          <w:rFonts w:asciiTheme="majorBidi" w:hAnsiTheme="majorBidi" w:cstheme="majorBidi"/>
          <w:color w:val="000000" w:themeColor="text1"/>
          <w:sz w:val="24"/>
          <w:szCs w:val="24"/>
        </w:rPr>
        <w:t>The findings indicated that both dopamine and serotonin pathways were important for controlling risky decision-making in the rodent gamble task. Increasing either dopaminergic or serotonergic functions caused an increase in risky and suboptimal decisions, whereas D2 receptor blockade improved it by favoring healthy decision-making. These findings emphasized that properly coordinated monoaminergic functions of the cortico-striatal circuit were critical for healthy risk-reward assessment based on the neurobiological validity of 4</w:t>
      </w:r>
      <w:r w:rsidR="00676DF9">
        <w:rPr>
          <w:rFonts w:asciiTheme="majorBidi" w:hAnsiTheme="majorBidi" w:cstheme="majorBidi"/>
          <w:color w:val="000000" w:themeColor="text1"/>
          <w:sz w:val="24"/>
          <w:szCs w:val="24"/>
        </w:rPr>
        <w:t>-</w:t>
      </w:r>
      <w:r w:rsidR="00C41E3C" w:rsidRPr="00C41E3C">
        <w:rPr>
          <w:rFonts w:asciiTheme="majorBidi" w:hAnsiTheme="majorBidi" w:cstheme="majorBidi"/>
          <w:color w:val="000000" w:themeColor="text1"/>
          <w:sz w:val="24"/>
          <w:szCs w:val="24"/>
        </w:rPr>
        <w:t>CGT</w:t>
      </w:r>
      <w:r w:rsidR="00C41E3C">
        <w:rPr>
          <w:rFonts w:asciiTheme="majorBidi" w:hAnsiTheme="majorBidi" w:cstheme="majorBidi"/>
          <w:color w:val="000000" w:themeColor="text1"/>
          <w:sz w:val="24"/>
          <w:szCs w:val="24"/>
        </w:rPr>
        <w:t xml:space="preserve"> </w:t>
      </w:r>
      <w:r w:rsidR="00C41E3C">
        <w:rPr>
          <w:rFonts w:asciiTheme="majorBidi" w:hAnsiTheme="majorBidi" w:cstheme="majorBidi"/>
          <w:color w:val="000000" w:themeColor="text1"/>
          <w:sz w:val="24"/>
          <w:szCs w:val="24"/>
        </w:rPr>
        <w:fldChar w:fldCharType="begin"/>
      </w:r>
      <w:r w:rsidR="00C41E3C">
        <w:rPr>
          <w:rFonts w:asciiTheme="majorBidi" w:hAnsiTheme="majorBidi" w:cstheme="majorBidi"/>
          <w:color w:val="000000" w:themeColor="text1"/>
          <w:sz w:val="24"/>
          <w:szCs w:val="24"/>
        </w:rPr>
        <w:instrText xml:space="preserve"> ADDIN EN.CITE &lt;EndNote&gt;&lt;Cite&gt;&lt;Author&gt;Zeeb&lt;/Author&gt;&lt;Year&gt;2009&lt;/Year&gt;&lt;RecNum&gt;388&lt;/RecNum&gt;&lt;DisplayText&gt;(Zeeb et al., 2009)&lt;/DisplayText&gt;&lt;record&gt;&lt;rec-number&gt;388&lt;/rec-number&gt;&lt;foreign-keys&gt;&lt;key app="EN" db-id="2ptrtps0adr9vke22dn5tpwzrsfaxtxrfwet" timestamp="1761643993"&gt;388&lt;/key&gt;&lt;/foreign-keys&gt;&lt;ref-type name="Journal Article"&gt;17&lt;/ref-type&gt;&lt;contributors&gt;&lt;authors&gt;&lt;author&gt;Zeeb, Fiona D.&lt;/author&gt;&lt;author&gt;Robbins, Trevor W.&lt;/author&gt;&lt;author&gt;Winstanley, Catharine A.&lt;/author&gt;&lt;/authors&gt;&lt;/contributors&gt;&lt;titles&gt;&lt;title&gt;Serotonergic and Dopaminergic Modulation of Gambling Behavior as Assessed Using a Novel Rat Gambling Task&lt;/title&gt;&lt;secondary-title&gt;Neuropsychopharmacology&lt;/secondary-title&gt;&lt;/titles&gt;&lt;periodical&gt;&lt;full-title&gt;Neuropsychopharmacology&lt;/full-title&gt;&lt;/periodical&gt;&lt;pages&gt;2329-2343&lt;/pages&gt;&lt;volume&gt;34&lt;/volume&gt;&lt;number&gt;10&lt;/number&gt;&lt;dates&gt;&lt;year&gt;2009&lt;/year&gt;&lt;pub-dates&gt;&lt;date&gt;2009/09/01&lt;/date&gt;&lt;/pub-dates&gt;&lt;/dates&gt;&lt;isbn&gt;1740-634X&lt;/isbn&gt;&lt;urls&gt;&lt;related-urls&gt;&lt;url&gt;https://doi.org/10.1038/npp.2009.62&lt;/url&gt;&lt;/related-urls&gt;&lt;/urls&gt;&lt;electronic-resource-num&gt;10.1038/npp.2009.62&lt;/electronic-resource-num&gt;&lt;/record&gt;&lt;/Cite&gt;&lt;/EndNote&gt;</w:instrText>
      </w:r>
      <w:r w:rsidR="00C41E3C">
        <w:rPr>
          <w:rFonts w:asciiTheme="majorBidi" w:hAnsiTheme="majorBidi" w:cstheme="majorBidi"/>
          <w:color w:val="000000" w:themeColor="text1"/>
          <w:sz w:val="24"/>
          <w:szCs w:val="24"/>
        </w:rPr>
        <w:fldChar w:fldCharType="separate"/>
      </w:r>
      <w:r w:rsidR="00C41E3C">
        <w:rPr>
          <w:rFonts w:asciiTheme="majorBidi" w:hAnsiTheme="majorBidi" w:cstheme="majorBidi"/>
          <w:noProof/>
          <w:color w:val="000000" w:themeColor="text1"/>
          <w:sz w:val="24"/>
          <w:szCs w:val="24"/>
        </w:rPr>
        <w:t>(</w:t>
      </w:r>
      <w:hyperlink w:anchor="_ENREF_267" w:tooltip="Zeeb, 2009 #388" w:history="1">
        <w:r w:rsidR="00DE113E">
          <w:rPr>
            <w:rFonts w:asciiTheme="majorBidi" w:hAnsiTheme="majorBidi" w:cstheme="majorBidi"/>
            <w:noProof/>
            <w:color w:val="000000" w:themeColor="text1"/>
            <w:sz w:val="24"/>
            <w:szCs w:val="24"/>
          </w:rPr>
          <w:t>Zeeb et al., 2009</w:t>
        </w:r>
      </w:hyperlink>
      <w:r w:rsidR="00C41E3C">
        <w:rPr>
          <w:rFonts w:asciiTheme="majorBidi" w:hAnsiTheme="majorBidi" w:cstheme="majorBidi"/>
          <w:noProof/>
          <w:color w:val="000000" w:themeColor="text1"/>
          <w:sz w:val="24"/>
          <w:szCs w:val="24"/>
        </w:rPr>
        <w:t>)</w:t>
      </w:r>
      <w:r w:rsidR="00C41E3C">
        <w:rPr>
          <w:rFonts w:asciiTheme="majorBidi" w:hAnsiTheme="majorBidi" w:cstheme="majorBidi"/>
          <w:color w:val="000000" w:themeColor="text1"/>
          <w:sz w:val="24"/>
          <w:szCs w:val="24"/>
        </w:rPr>
        <w:fldChar w:fldCharType="end"/>
      </w:r>
      <w:r w:rsidR="00C41E3C" w:rsidRPr="00C41E3C">
        <w:rPr>
          <w:rFonts w:asciiTheme="majorBidi" w:hAnsiTheme="majorBidi" w:cstheme="majorBidi"/>
          <w:color w:val="000000" w:themeColor="text1"/>
          <w:sz w:val="24"/>
          <w:szCs w:val="24"/>
        </w:rPr>
        <w:t>.</w:t>
      </w:r>
    </w:p>
    <w:p w14:paraId="224DB1E4" w14:textId="37D848B1" w:rsidR="006B74E8" w:rsidRDefault="006B74E8" w:rsidP="00241658">
      <w:pPr>
        <w:spacing w:line="360" w:lineRule="auto"/>
        <w:ind w:left="720"/>
        <w:jc w:val="both"/>
        <w:rPr>
          <w:rFonts w:asciiTheme="majorBidi" w:hAnsiTheme="majorBidi" w:cstheme="majorBidi"/>
          <w:color w:val="000000" w:themeColor="text1"/>
          <w:sz w:val="24"/>
          <w:szCs w:val="24"/>
          <w:rtl/>
        </w:rPr>
      </w:pPr>
    </w:p>
    <w:p w14:paraId="78A93852" w14:textId="1E88FFD8" w:rsidR="00D322D9" w:rsidRPr="00D322D9" w:rsidRDefault="00D322D9" w:rsidP="007C2132">
      <w:pPr>
        <w:pStyle w:val="Heading2"/>
        <w:ind w:left="720"/>
      </w:pPr>
      <w:bookmarkStart w:id="77" w:name="_Toc214875881"/>
      <w:r w:rsidRPr="00D322D9">
        <w:t>4.9 Conclusion</w:t>
      </w:r>
      <w:bookmarkEnd w:id="77"/>
    </w:p>
    <w:p w14:paraId="7F696D63" w14:textId="1EFB2334" w:rsidR="00D322D9" w:rsidRPr="00D322D9" w:rsidRDefault="00D322D9" w:rsidP="00241658">
      <w:pPr>
        <w:spacing w:line="360" w:lineRule="auto"/>
        <w:ind w:left="720"/>
        <w:jc w:val="both"/>
        <w:rPr>
          <w:rFonts w:asciiTheme="majorBidi" w:hAnsiTheme="majorBidi" w:cstheme="majorBidi"/>
          <w:color w:val="000000" w:themeColor="text1"/>
          <w:sz w:val="24"/>
          <w:szCs w:val="24"/>
        </w:rPr>
      </w:pPr>
      <w:r w:rsidRPr="00D322D9">
        <w:rPr>
          <w:rFonts w:asciiTheme="majorBidi" w:hAnsiTheme="majorBidi" w:cstheme="majorBidi"/>
          <w:color w:val="000000" w:themeColor="text1"/>
          <w:sz w:val="24"/>
          <w:szCs w:val="24"/>
        </w:rPr>
        <w:t>We performed a series of behavioral experiments using the touchscreen in healthy mice. Because we know that many cognitive impairments can be seen in healthy humans without symptoms, and with a baseline for examining such behaviors, we can compare these data across species and find a logical connection between animal and human data. For this reason, it is important that before we test any drug or treatment for cognitive impairment, whether in the early stages or in the advanced stages, in species that share the same neurochemical pathways as humans.</w:t>
      </w:r>
      <w:r>
        <w:rPr>
          <w:rFonts w:asciiTheme="majorBidi" w:hAnsiTheme="majorBidi" w:cstheme="majorBidi"/>
          <w:color w:val="000000" w:themeColor="text1"/>
          <w:sz w:val="24"/>
          <w:szCs w:val="24"/>
        </w:rPr>
        <w:t xml:space="preserve"> </w:t>
      </w:r>
      <w:r w:rsidRPr="00D322D9">
        <w:rPr>
          <w:rFonts w:asciiTheme="majorBidi" w:hAnsiTheme="majorBidi" w:cstheme="majorBidi"/>
          <w:color w:val="000000" w:themeColor="text1"/>
          <w:sz w:val="24"/>
          <w:szCs w:val="24"/>
        </w:rPr>
        <w:t>Through the rCPT, we saw how attention can be trained and maintained, how perception sharpens with experience, and how control is preserved even when tasks become more demanding. In the 4</w:t>
      </w:r>
      <w:r w:rsidR="00950589">
        <w:rPr>
          <w:rFonts w:asciiTheme="majorBidi" w:hAnsiTheme="majorBidi" w:cstheme="majorBidi"/>
          <w:color w:val="000000" w:themeColor="text1"/>
          <w:sz w:val="24"/>
          <w:szCs w:val="24"/>
        </w:rPr>
        <w:t>-CGT</w:t>
      </w:r>
      <w:r w:rsidRPr="00D322D9">
        <w:rPr>
          <w:rFonts w:asciiTheme="majorBidi" w:hAnsiTheme="majorBidi" w:cstheme="majorBidi"/>
          <w:color w:val="000000" w:themeColor="text1"/>
          <w:sz w:val="24"/>
          <w:szCs w:val="24"/>
        </w:rPr>
        <w:t xml:space="preserve">, we saw the animals learn to </w:t>
      </w:r>
      <w:r w:rsidRPr="00D322D9">
        <w:rPr>
          <w:rFonts w:asciiTheme="majorBidi" w:hAnsiTheme="majorBidi" w:cstheme="majorBidi"/>
          <w:color w:val="000000" w:themeColor="text1"/>
          <w:sz w:val="24"/>
          <w:szCs w:val="24"/>
        </w:rPr>
        <w:lastRenderedPageBreak/>
        <w:t xml:space="preserve">balance risk and reward—choosing carefully, adjusting to consequences, and developing strategies that mirror human decision-making. These patterns </w:t>
      </w:r>
      <w:r w:rsidR="001248E3">
        <w:rPr>
          <w:rFonts w:asciiTheme="majorBidi" w:hAnsiTheme="majorBidi" w:cstheme="majorBidi"/>
          <w:color w:val="000000" w:themeColor="text1"/>
          <w:sz w:val="24"/>
          <w:szCs w:val="24"/>
        </w:rPr>
        <w:t>showed</w:t>
      </w:r>
      <w:r w:rsidRPr="00D322D9">
        <w:rPr>
          <w:rFonts w:asciiTheme="majorBidi" w:hAnsiTheme="majorBidi" w:cstheme="majorBidi"/>
          <w:color w:val="000000" w:themeColor="text1"/>
          <w:sz w:val="24"/>
          <w:szCs w:val="24"/>
        </w:rPr>
        <w:t xml:space="preserve"> that cognition, whether in humans or animals, depends on a shared biological language of adaptation, control, and learning from feedback. </w:t>
      </w:r>
      <w:r w:rsidR="000736D2">
        <w:rPr>
          <w:rFonts w:asciiTheme="majorBidi" w:hAnsiTheme="majorBidi" w:cstheme="majorBidi"/>
          <w:color w:val="000000" w:themeColor="text1"/>
          <w:sz w:val="24"/>
          <w:szCs w:val="24"/>
        </w:rPr>
        <w:t xml:space="preserve"> </w:t>
      </w:r>
      <w:r w:rsidRPr="00D322D9">
        <w:rPr>
          <w:rFonts w:asciiTheme="majorBidi" w:hAnsiTheme="majorBidi" w:cstheme="majorBidi"/>
          <w:color w:val="000000" w:themeColor="text1"/>
          <w:sz w:val="24"/>
          <w:szCs w:val="24"/>
        </w:rPr>
        <w:t>Beyond the results themselves, this work reinforced the idea that animal models can be more than tools—they are bridges. When designed with care, tasks like the rCPT and 4</w:t>
      </w:r>
      <w:r w:rsidR="00676DF9">
        <w:rPr>
          <w:rFonts w:asciiTheme="majorBidi" w:hAnsiTheme="majorBidi" w:cstheme="majorBidi"/>
          <w:color w:val="000000" w:themeColor="text1"/>
          <w:sz w:val="24"/>
          <w:szCs w:val="24"/>
        </w:rPr>
        <w:t>-</w:t>
      </w:r>
      <w:r w:rsidRPr="00D322D9">
        <w:rPr>
          <w:rFonts w:asciiTheme="majorBidi" w:hAnsiTheme="majorBidi" w:cstheme="majorBidi"/>
          <w:color w:val="000000" w:themeColor="text1"/>
          <w:sz w:val="24"/>
          <w:szCs w:val="24"/>
        </w:rPr>
        <w:t xml:space="preserve">CGT can connect the laboratory to the clinic, offering insight into the neural and psychological foundations of attention and decision-making. </w:t>
      </w:r>
      <w:r w:rsidR="001248E3">
        <w:rPr>
          <w:rFonts w:asciiTheme="majorBidi" w:hAnsiTheme="majorBidi" w:cstheme="majorBidi"/>
          <w:color w:val="000000" w:themeColor="text1"/>
          <w:sz w:val="24"/>
          <w:szCs w:val="24"/>
        </w:rPr>
        <w:t>Our</w:t>
      </w:r>
      <w:r w:rsidRPr="00D322D9">
        <w:rPr>
          <w:rFonts w:asciiTheme="majorBidi" w:hAnsiTheme="majorBidi" w:cstheme="majorBidi"/>
          <w:color w:val="000000" w:themeColor="text1"/>
          <w:sz w:val="24"/>
          <w:szCs w:val="24"/>
        </w:rPr>
        <w:t xml:space="preserve"> findings provide a behavioral and conceptual framework that can be used to explore how brain systems guide adaptive behavior</w:t>
      </w:r>
      <w:r w:rsidR="001248E3">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w:t>
      </w:r>
      <w:r w:rsidR="00950589">
        <w:rPr>
          <w:rFonts w:asciiTheme="majorBidi" w:hAnsiTheme="majorBidi" w:cstheme="majorBidi"/>
          <w:color w:val="000000" w:themeColor="text1"/>
          <w:sz w:val="24"/>
          <w:szCs w:val="24"/>
        </w:rPr>
        <w:t>As well as</w:t>
      </w:r>
      <w:r w:rsidRPr="00D322D9">
        <w:rPr>
          <w:rFonts w:asciiTheme="majorBidi" w:hAnsiTheme="majorBidi" w:cstheme="majorBidi"/>
          <w:color w:val="000000" w:themeColor="text1"/>
          <w:sz w:val="24"/>
          <w:szCs w:val="24"/>
        </w:rPr>
        <w:t xml:space="preserve"> this research is a step toward understanding cognition as a dynamic, flexible process—rooted in </w:t>
      </w:r>
      <w:r w:rsidR="001248E3">
        <w:rPr>
          <w:rFonts w:asciiTheme="majorBidi" w:hAnsiTheme="majorBidi" w:cstheme="majorBidi"/>
          <w:color w:val="000000" w:themeColor="text1"/>
          <w:sz w:val="24"/>
          <w:szCs w:val="24"/>
        </w:rPr>
        <w:t>neurocognitive</w:t>
      </w:r>
      <w:r w:rsidRPr="00D322D9">
        <w:rPr>
          <w:rFonts w:asciiTheme="majorBidi" w:hAnsiTheme="majorBidi" w:cstheme="majorBidi"/>
          <w:color w:val="000000" w:themeColor="text1"/>
          <w:sz w:val="24"/>
          <w:szCs w:val="24"/>
        </w:rPr>
        <w:t xml:space="preserve"> but shaped by experience. </w:t>
      </w:r>
      <w:r w:rsidR="00A32E65" w:rsidRPr="00A32E65">
        <w:rPr>
          <w:rFonts w:asciiTheme="majorBidi" w:hAnsiTheme="majorBidi" w:cstheme="majorBidi"/>
          <w:color w:val="000000" w:themeColor="text1"/>
          <w:sz w:val="24"/>
          <w:szCs w:val="24"/>
        </w:rPr>
        <w:t>Finally, it should be noted that the plant-based component was not included in this study due to the limited availability of data at the time of writing. In future work, this foundational dataset can be used to investigate the effects of plant-derived extracts with potential neuroprotective or therapeutic properties, further exploring their role in modulating cognitive functions.</w:t>
      </w:r>
    </w:p>
    <w:p w14:paraId="70B46F0C" w14:textId="77777777" w:rsidR="005B79B8" w:rsidRPr="005B79B8" w:rsidRDefault="005B79B8" w:rsidP="005B79B8">
      <w:pPr>
        <w:spacing w:line="360" w:lineRule="auto"/>
        <w:ind w:left="1440"/>
        <w:jc w:val="both"/>
        <w:rPr>
          <w:rFonts w:asciiTheme="majorBidi" w:hAnsiTheme="majorBidi" w:cstheme="majorBidi"/>
          <w:color w:val="000000" w:themeColor="text1"/>
          <w:sz w:val="24"/>
          <w:szCs w:val="24"/>
          <w:lang w:val="en-GB"/>
        </w:rPr>
      </w:pPr>
    </w:p>
    <w:p w14:paraId="3B48F839" w14:textId="77777777" w:rsidR="00DE3230" w:rsidRPr="005C68A0" w:rsidRDefault="00DE3230" w:rsidP="003F43FB">
      <w:pPr>
        <w:ind w:left="1440"/>
        <w:jc w:val="both"/>
        <w:rPr>
          <w:rFonts w:asciiTheme="majorBidi" w:hAnsiTheme="majorBidi" w:cstheme="majorBidi"/>
          <w:color w:val="000000" w:themeColor="text1"/>
          <w:sz w:val="24"/>
          <w:szCs w:val="24"/>
          <w:lang w:val="en-GB"/>
        </w:rPr>
      </w:pPr>
    </w:p>
    <w:p w14:paraId="7357DD2D" w14:textId="77777777" w:rsidR="009424FA" w:rsidRDefault="009424FA" w:rsidP="00FD137A">
      <w:pPr>
        <w:ind w:left="1440"/>
        <w:rPr>
          <w:rFonts w:asciiTheme="majorBidi" w:hAnsiTheme="majorBidi" w:cstheme="majorBidi"/>
          <w:sz w:val="24"/>
          <w:szCs w:val="24"/>
          <w:lang w:val="en-GB"/>
        </w:rPr>
      </w:pPr>
    </w:p>
    <w:p w14:paraId="057AE8F2" w14:textId="77777777" w:rsidR="009424FA" w:rsidRPr="00F71F57" w:rsidRDefault="009424FA" w:rsidP="00FD137A">
      <w:pPr>
        <w:ind w:left="1440"/>
        <w:rPr>
          <w:rFonts w:asciiTheme="majorBidi" w:hAnsiTheme="majorBidi" w:cstheme="majorBidi"/>
          <w:sz w:val="24"/>
          <w:szCs w:val="24"/>
          <w:lang w:val="en-GB"/>
        </w:rPr>
      </w:pPr>
    </w:p>
    <w:p w14:paraId="5496A83A" w14:textId="31C3FC2D" w:rsidR="00D16A99" w:rsidRDefault="00D16A99" w:rsidP="00261EAC">
      <w:pPr>
        <w:rPr>
          <w:rFonts w:asciiTheme="majorBidi" w:hAnsiTheme="majorBidi" w:cstheme="majorBidi"/>
          <w:b/>
          <w:bCs/>
          <w:sz w:val="24"/>
          <w:szCs w:val="24"/>
          <w:lang w:val="en-GB"/>
        </w:rPr>
      </w:pPr>
    </w:p>
    <w:p w14:paraId="46AE0730" w14:textId="1D56A929" w:rsidR="00261EAC" w:rsidRDefault="00261EAC" w:rsidP="00261EAC">
      <w:pPr>
        <w:rPr>
          <w:rFonts w:asciiTheme="majorBidi" w:hAnsiTheme="majorBidi" w:cstheme="majorBidi"/>
          <w:b/>
          <w:bCs/>
          <w:sz w:val="24"/>
          <w:szCs w:val="24"/>
          <w:lang w:val="en-GB"/>
        </w:rPr>
      </w:pPr>
    </w:p>
    <w:p w14:paraId="0BE6F34F" w14:textId="69D78FBC" w:rsidR="007B5A89" w:rsidRDefault="007B5A89" w:rsidP="00261EAC">
      <w:pPr>
        <w:rPr>
          <w:rFonts w:asciiTheme="majorBidi" w:hAnsiTheme="majorBidi" w:cstheme="majorBidi"/>
          <w:b/>
          <w:bCs/>
          <w:sz w:val="24"/>
          <w:szCs w:val="24"/>
          <w:lang w:val="en-GB"/>
        </w:rPr>
      </w:pPr>
    </w:p>
    <w:p w14:paraId="0DB20E3B" w14:textId="02D8B106" w:rsidR="00EF5663" w:rsidRDefault="00EF5663" w:rsidP="00261EAC">
      <w:pPr>
        <w:rPr>
          <w:rFonts w:asciiTheme="majorBidi" w:hAnsiTheme="majorBidi" w:cstheme="majorBidi"/>
          <w:b/>
          <w:bCs/>
          <w:sz w:val="24"/>
          <w:szCs w:val="24"/>
          <w:lang w:val="en-GB"/>
        </w:rPr>
      </w:pPr>
    </w:p>
    <w:p w14:paraId="4E0BE083" w14:textId="38B0D750" w:rsidR="00EF5663" w:rsidRDefault="00EF5663" w:rsidP="00261EAC">
      <w:pPr>
        <w:rPr>
          <w:rFonts w:asciiTheme="majorBidi" w:hAnsiTheme="majorBidi" w:cstheme="majorBidi"/>
          <w:b/>
          <w:bCs/>
          <w:sz w:val="24"/>
          <w:szCs w:val="24"/>
          <w:lang w:val="en-GB"/>
        </w:rPr>
      </w:pPr>
    </w:p>
    <w:p w14:paraId="7340DABF" w14:textId="1A14C48E" w:rsidR="00EF5663" w:rsidRDefault="00EF5663" w:rsidP="00261EAC">
      <w:pPr>
        <w:rPr>
          <w:rFonts w:asciiTheme="majorBidi" w:hAnsiTheme="majorBidi" w:cstheme="majorBidi"/>
          <w:b/>
          <w:bCs/>
          <w:sz w:val="24"/>
          <w:szCs w:val="24"/>
          <w:lang w:val="en-GB"/>
        </w:rPr>
      </w:pPr>
    </w:p>
    <w:p w14:paraId="29C5361B" w14:textId="0DB97E55" w:rsidR="00EF5663" w:rsidRDefault="00EF5663" w:rsidP="00261EAC">
      <w:pPr>
        <w:rPr>
          <w:rFonts w:asciiTheme="majorBidi" w:hAnsiTheme="majorBidi" w:cstheme="majorBidi"/>
          <w:b/>
          <w:bCs/>
          <w:sz w:val="24"/>
          <w:szCs w:val="24"/>
          <w:lang w:val="en-GB"/>
        </w:rPr>
      </w:pPr>
    </w:p>
    <w:p w14:paraId="20303229" w14:textId="740119F8" w:rsidR="00EF5663" w:rsidRDefault="00EF5663" w:rsidP="00261EAC">
      <w:pPr>
        <w:rPr>
          <w:rFonts w:asciiTheme="majorBidi" w:hAnsiTheme="majorBidi" w:cstheme="majorBidi"/>
          <w:b/>
          <w:bCs/>
          <w:sz w:val="24"/>
          <w:szCs w:val="24"/>
          <w:lang w:val="en-GB"/>
        </w:rPr>
      </w:pPr>
    </w:p>
    <w:p w14:paraId="21363281" w14:textId="79E59852" w:rsidR="00CC05E9" w:rsidRPr="00F71F57" w:rsidRDefault="0040230E" w:rsidP="007C2132">
      <w:pPr>
        <w:pStyle w:val="Heading1"/>
        <w:rPr>
          <w:lang w:val="en-GB"/>
        </w:rPr>
      </w:pPr>
      <w:bookmarkStart w:id="78" w:name="_Toc214875882"/>
      <w:r w:rsidRPr="00F71F57">
        <w:rPr>
          <w:lang w:val="en-GB"/>
        </w:rPr>
        <w:lastRenderedPageBreak/>
        <w:t>References</w:t>
      </w:r>
      <w:bookmarkEnd w:id="78"/>
      <w:r w:rsidRPr="00F71F57">
        <w:rPr>
          <w:lang w:val="en-GB"/>
        </w:rPr>
        <w:t xml:space="preserve"> </w:t>
      </w:r>
    </w:p>
    <w:p w14:paraId="1CD9B478" w14:textId="77777777" w:rsidR="00CC05E9" w:rsidRPr="00F71F57" w:rsidRDefault="00CC05E9" w:rsidP="003715CF">
      <w:pPr>
        <w:ind w:left="2160"/>
        <w:rPr>
          <w:rFonts w:asciiTheme="majorBidi" w:hAnsiTheme="majorBidi" w:cstheme="majorBidi"/>
          <w:sz w:val="24"/>
          <w:szCs w:val="24"/>
          <w:lang w:val="en-GB"/>
        </w:rPr>
      </w:pPr>
    </w:p>
    <w:p w14:paraId="0C0056DB" w14:textId="435D43EC" w:rsidR="00DE113E" w:rsidRPr="00DE113E" w:rsidRDefault="00CC05E9" w:rsidP="00DE113E">
      <w:pPr>
        <w:pStyle w:val="EndNoteBibliography"/>
        <w:spacing w:after="0"/>
        <w:ind w:left="720" w:hanging="720"/>
      </w:pPr>
      <w:r w:rsidRPr="00F71F57">
        <w:rPr>
          <w:rFonts w:asciiTheme="majorBidi" w:hAnsiTheme="majorBidi" w:cstheme="majorBidi"/>
          <w:noProof w:val="0"/>
          <w:sz w:val="24"/>
          <w:szCs w:val="24"/>
          <w:lang w:val="en-GB"/>
        </w:rPr>
        <w:fldChar w:fldCharType="begin"/>
      </w:r>
      <w:r w:rsidRPr="006838B7">
        <w:rPr>
          <w:rFonts w:asciiTheme="majorBidi" w:hAnsiTheme="majorBidi" w:cstheme="majorBidi"/>
          <w:noProof w:val="0"/>
          <w:sz w:val="24"/>
          <w:szCs w:val="24"/>
        </w:rPr>
        <w:instrText xml:space="preserve"> ADDIN EN.REFLIST </w:instrText>
      </w:r>
      <w:r w:rsidRPr="00F71F57">
        <w:rPr>
          <w:rFonts w:asciiTheme="majorBidi" w:hAnsiTheme="majorBidi" w:cstheme="majorBidi"/>
          <w:noProof w:val="0"/>
          <w:sz w:val="24"/>
          <w:szCs w:val="24"/>
          <w:lang w:val="en-GB"/>
        </w:rPr>
        <w:fldChar w:fldCharType="separate"/>
      </w:r>
      <w:bookmarkStart w:id="79" w:name="_ENREF_1"/>
      <w:r w:rsidR="00DE113E" w:rsidRPr="006838B7">
        <w:t xml:space="preserve">Ademosun, A. O., Popoola, T. V., Oboh, G., &amp; Fasakin, O. W. (2022). </w:t>
      </w:r>
      <w:r w:rsidR="00DE113E" w:rsidRPr="00DE113E">
        <w:t xml:space="preserve">&lt;i&gt;Parquetina Nigrescens&lt;/I&gt; And &lt;i&gt;Spondias Mombin&lt;/I&gt; Protects Against Neurochemical Alterations in the Scopolamine Model of Cognitive Dysfunction. </w:t>
      </w:r>
      <w:r w:rsidR="00DE113E" w:rsidRPr="00DE113E">
        <w:rPr>
          <w:i/>
        </w:rPr>
        <w:t>Journal of Food Biochemistry</w:t>
      </w:r>
      <w:r w:rsidR="00DE113E" w:rsidRPr="00DE113E">
        <w:t>,</w:t>
      </w:r>
      <w:r w:rsidR="00DE113E" w:rsidRPr="00DE113E">
        <w:rPr>
          <w:i/>
        </w:rPr>
        <w:t xml:space="preserve"> 46</w:t>
      </w:r>
      <w:r w:rsidR="00DE113E" w:rsidRPr="00DE113E">
        <w:t xml:space="preserve">(11). </w:t>
      </w:r>
      <w:hyperlink r:id="rId89" w:history="1">
        <w:r w:rsidR="00DE113E" w:rsidRPr="00DE113E">
          <w:rPr>
            <w:rStyle w:val="Hyperlink"/>
          </w:rPr>
          <w:t>https://doi.org/10.1111/jfbc.14213</w:t>
        </w:r>
      </w:hyperlink>
      <w:r w:rsidR="00DE113E" w:rsidRPr="00DE113E">
        <w:t xml:space="preserve"> </w:t>
      </w:r>
      <w:bookmarkEnd w:id="79"/>
    </w:p>
    <w:p w14:paraId="74200A9D" w14:textId="1BD02975" w:rsidR="00DE113E" w:rsidRPr="00DE113E" w:rsidRDefault="00DE113E" w:rsidP="00DE113E">
      <w:pPr>
        <w:pStyle w:val="EndNoteBibliography"/>
        <w:spacing w:after="0"/>
        <w:ind w:left="720" w:hanging="720"/>
      </w:pPr>
      <w:bookmarkStart w:id="80" w:name="_ENREF_2"/>
      <w:r w:rsidRPr="00DE113E">
        <w:t xml:space="preserve">Akhondzadeh, S., Sabet, M. S., Harirchian, M. H., Togha, M., Cheraghmakani, H., Jahromi, S. R., Hejazi, S. A., Yousefi, M. H., Alimardani, R., Jamshidi, A. H., Rezazadeh, S., Yousefi, A., Zare, F., Moradi, A., &amp; Vossoughi, A. (2009). A 22-Week, Multicenter, Randomized, Double-Blind Controlled Trial of Crocus Sativus in the Treatment of Mild-to-Moderate Alzheimer’s Disease. </w:t>
      </w:r>
      <w:r w:rsidRPr="00DE113E">
        <w:rPr>
          <w:i/>
        </w:rPr>
        <w:t>Psychopharmacology</w:t>
      </w:r>
      <w:r w:rsidRPr="00DE113E">
        <w:t>,</w:t>
      </w:r>
      <w:r w:rsidRPr="00DE113E">
        <w:rPr>
          <w:i/>
        </w:rPr>
        <w:t xml:space="preserve"> 207</w:t>
      </w:r>
      <w:r w:rsidRPr="00DE113E">
        <w:t xml:space="preserve">(4), 637-643. </w:t>
      </w:r>
      <w:hyperlink r:id="rId90" w:history="1">
        <w:r w:rsidRPr="00DE113E">
          <w:rPr>
            <w:rStyle w:val="Hyperlink"/>
          </w:rPr>
          <w:t>https://doi.org/10.1007/s00213-009-1706-1</w:t>
        </w:r>
      </w:hyperlink>
      <w:r w:rsidRPr="00DE113E">
        <w:t xml:space="preserve"> </w:t>
      </w:r>
      <w:bookmarkEnd w:id="80"/>
    </w:p>
    <w:p w14:paraId="544F185D" w14:textId="28C2455D" w:rsidR="00DE113E" w:rsidRPr="00DE113E" w:rsidRDefault="00DE113E" w:rsidP="00DE113E">
      <w:pPr>
        <w:pStyle w:val="EndNoteBibliography"/>
        <w:spacing w:after="0"/>
        <w:ind w:left="720" w:hanging="720"/>
      </w:pPr>
      <w:bookmarkStart w:id="81" w:name="_ENREF_3"/>
      <w:r w:rsidRPr="00DE113E">
        <w:t xml:space="preserve">Albuz, Ö. Y., Acır, İ., Haşimoğlu, O., Suskun, M., Hocaoğlu, E., &amp; Yayla, V. (2024). Cranial Volume Measurement With Artificial Intelligence and Cognitive Scales in Patients With Clinically Isolated Syndrome. </w:t>
      </w:r>
      <w:r w:rsidRPr="00DE113E">
        <w:rPr>
          <w:i/>
        </w:rPr>
        <w:t>Frontiers in Neurology</w:t>
      </w:r>
      <w:r w:rsidRPr="00DE113E">
        <w:t>,</w:t>
      </w:r>
      <w:r w:rsidRPr="00DE113E">
        <w:rPr>
          <w:i/>
        </w:rPr>
        <w:t xml:space="preserve"> 15</w:t>
      </w:r>
      <w:r w:rsidRPr="00DE113E">
        <w:t xml:space="preserve">. </w:t>
      </w:r>
      <w:hyperlink r:id="rId91" w:history="1">
        <w:r w:rsidRPr="00DE113E">
          <w:rPr>
            <w:rStyle w:val="Hyperlink"/>
          </w:rPr>
          <w:t>https://doi.org/10.3389/fneur.2024.1500140</w:t>
        </w:r>
      </w:hyperlink>
      <w:r w:rsidRPr="00DE113E">
        <w:t xml:space="preserve"> </w:t>
      </w:r>
      <w:bookmarkEnd w:id="81"/>
    </w:p>
    <w:p w14:paraId="722AAEE7" w14:textId="0304DB49" w:rsidR="00DE113E" w:rsidRPr="00DE113E" w:rsidRDefault="00DE113E" w:rsidP="00DE113E">
      <w:pPr>
        <w:pStyle w:val="EndNoteBibliography"/>
        <w:spacing w:after="0"/>
        <w:ind w:left="720" w:hanging="720"/>
      </w:pPr>
      <w:bookmarkStart w:id="82" w:name="_ENREF_4"/>
      <w:r w:rsidRPr="00DE113E">
        <w:t xml:space="preserve">Alnasser, M. N., Alboraiy, G. M., Alsowig, E. M., &amp; Alqattan, F. M. (2025). Cholinesterase Inhibitors From Plants and Their Potential in Alzheimer’s Treatment: Systematic Review. </w:t>
      </w:r>
      <w:r w:rsidRPr="00DE113E">
        <w:rPr>
          <w:i/>
        </w:rPr>
        <w:t>Brain Sciences</w:t>
      </w:r>
      <w:r w:rsidRPr="00DE113E">
        <w:t>,</w:t>
      </w:r>
      <w:r w:rsidRPr="00DE113E">
        <w:rPr>
          <w:i/>
        </w:rPr>
        <w:t xml:space="preserve"> 15</w:t>
      </w:r>
      <w:r w:rsidRPr="00DE113E">
        <w:t xml:space="preserve">(2), 215. </w:t>
      </w:r>
      <w:hyperlink r:id="rId92" w:history="1">
        <w:r w:rsidRPr="00DE113E">
          <w:rPr>
            <w:rStyle w:val="Hyperlink"/>
          </w:rPr>
          <w:t>https://doi.org/10.3390/brainsci15020215</w:t>
        </w:r>
      </w:hyperlink>
      <w:r w:rsidRPr="00DE113E">
        <w:t xml:space="preserve"> </w:t>
      </w:r>
      <w:bookmarkEnd w:id="82"/>
    </w:p>
    <w:p w14:paraId="75270162" w14:textId="4EA8C41D" w:rsidR="00DE113E" w:rsidRPr="00DE113E" w:rsidRDefault="00DE113E" w:rsidP="00DE113E">
      <w:pPr>
        <w:pStyle w:val="EndNoteBibliography"/>
        <w:spacing w:after="0"/>
        <w:ind w:left="720" w:hanging="720"/>
      </w:pPr>
      <w:bookmarkStart w:id="83" w:name="_ENREF_5"/>
      <w:r w:rsidRPr="00DE113E">
        <w:t xml:space="preserve">Alum, E. U., Uti, D. E., Egba, S. I., Ugwu, O. P.-C., &amp; Aja, P. M. (2025). The Role of Phytochemicals in Age-Related Cognitive Decline: A Natural Solution for Brain Health. </w:t>
      </w:r>
      <w:r w:rsidRPr="00DE113E">
        <w:rPr>
          <w:i/>
        </w:rPr>
        <w:t>Natural Product Communications</w:t>
      </w:r>
      <w:r w:rsidRPr="00DE113E">
        <w:t>,</w:t>
      </w:r>
      <w:r w:rsidRPr="00DE113E">
        <w:rPr>
          <w:i/>
        </w:rPr>
        <w:t xml:space="preserve"> 20</w:t>
      </w:r>
      <w:r w:rsidRPr="00DE113E">
        <w:t xml:space="preserve">(6). </w:t>
      </w:r>
      <w:hyperlink r:id="rId93" w:history="1">
        <w:r w:rsidRPr="00DE113E">
          <w:rPr>
            <w:rStyle w:val="Hyperlink"/>
          </w:rPr>
          <w:t>https://doi.org/10.1177/1934578x251350761</w:t>
        </w:r>
      </w:hyperlink>
      <w:r w:rsidRPr="00DE113E">
        <w:t xml:space="preserve"> </w:t>
      </w:r>
      <w:bookmarkEnd w:id="83"/>
    </w:p>
    <w:p w14:paraId="51325E85" w14:textId="5C6B1A31" w:rsidR="00DE113E" w:rsidRPr="00DE113E" w:rsidRDefault="00DE113E" w:rsidP="00DE113E">
      <w:pPr>
        <w:pStyle w:val="EndNoteBibliography"/>
        <w:spacing w:after="0"/>
        <w:ind w:left="720" w:hanging="720"/>
      </w:pPr>
      <w:bookmarkStart w:id="84" w:name="_ENREF_6"/>
      <w:r w:rsidRPr="00DE113E">
        <w:t xml:space="preserve">Andrade, S., Nunes, D., Dabur, M., Ramalho, M. J., Pereira, M. d. C., &amp; Loureiro, J. A. (2023). Therapeutic Potential of Natural Compounds in Neurodegenerative Diseases: Insights From Clinical Trials. </w:t>
      </w:r>
      <w:r w:rsidRPr="00DE113E">
        <w:rPr>
          <w:i/>
        </w:rPr>
        <w:t>Pharmaceutics</w:t>
      </w:r>
      <w:r w:rsidRPr="00DE113E">
        <w:t>,</w:t>
      </w:r>
      <w:r w:rsidRPr="00DE113E">
        <w:rPr>
          <w:i/>
        </w:rPr>
        <w:t xml:space="preserve"> 15</w:t>
      </w:r>
      <w:r w:rsidRPr="00DE113E">
        <w:t xml:space="preserve">(1), 212. </w:t>
      </w:r>
      <w:hyperlink r:id="rId94" w:history="1">
        <w:r w:rsidRPr="00DE113E">
          <w:rPr>
            <w:rStyle w:val="Hyperlink"/>
          </w:rPr>
          <w:t>https://doi.org/10.3390/pharmaceutics15010212</w:t>
        </w:r>
      </w:hyperlink>
      <w:r w:rsidRPr="00DE113E">
        <w:t xml:space="preserve"> </w:t>
      </w:r>
      <w:bookmarkEnd w:id="84"/>
    </w:p>
    <w:p w14:paraId="3E530583" w14:textId="666A9CB5" w:rsidR="00DE113E" w:rsidRPr="00DE113E" w:rsidRDefault="00DE113E" w:rsidP="00DE113E">
      <w:pPr>
        <w:pStyle w:val="EndNoteBibliography"/>
        <w:spacing w:after="0"/>
        <w:ind w:left="720" w:hanging="720"/>
      </w:pPr>
      <w:bookmarkStart w:id="85" w:name="_ENREF_7"/>
      <w:r w:rsidRPr="00DE113E">
        <w:t xml:space="preserve">Arbo, B. D., André‐Miral, C., Nasre-Nasser, R. G., Schimith, L. E., Santos, M. G. d., Costa-Silva, D. G. d., Muccillo-Baisch, A. L., &amp; Hort, M. A. (2020). Resveratrol Derivatives as Potential Treatments for Alzheimer’s and Parkinson’s Disease. </w:t>
      </w:r>
      <w:r w:rsidRPr="00DE113E">
        <w:rPr>
          <w:i/>
        </w:rPr>
        <w:t>Frontiers in Aging Neuroscience</w:t>
      </w:r>
      <w:r w:rsidRPr="00DE113E">
        <w:t>,</w:t>
      </w:r>
      <w:r w:rsidRPr="00DE113E">
        <w:rPr>
          <w:i/>
        </w:rPr>
        <w:t xml:space="preserve"> 12</w:t>
      </w:r>
      <w:r w:rsidRPr="00DE113E">
        <w:t xml:space="preserve">. </w:t>
      </w:r>
      <w:hyperlink r:id="rId95" w:history="1">
        <w:r w:rsidRPr="00DE113E">
          <w:rPr>
            <w:rStyle w:val="Hyperlink"/>
          </w:rPr>
          <w:t>https://doi.org/10.3389/fnagi.2020.00103</w:t>
        </w:r>
      </w:hyperlink>
      <w:r w:rsidRPr="00DE113E">
        <w:t xml:space="preserve"> </w:t>
      </w:r>
      <w:bookmarkEnd w:id="85"/>
    </w:p>
    <w:p w14:paraId="58C3F776" w14:textId="243E5FE8" w:rsidR="00DE113E" w:rsidRPr="00DE113E" w:rsidRDefault="00DE113E" w:rsidP="00DE113E">
      <w:pPr>
        <w:pStyle w:val="EndNoteBibliography"/>
        <w:spacing w:after="0"/>
        <w:ind w:left="720" w:hanging="720"/>
      </w:pPr>
      <w:bookmarkStart w:id="86" w:name="_ENREF_8"/>
      <w:r w:rsidRPr="00DE113E">
        <w:t xml:space="preserve">Árgyelán, M., Oltedal, L., Deng, Z. D., Wade, B., Bikson, M., Joanlanne, A., Sanghani, S., Bartsch, H., Cano, M., Dale, A. M., Dannlowski, U., Dols, A., Enneking, V., Espinoza, R., Keßler, U., Narr, K. L., Øedegaard, K. J., Oudega, M. L., Redlich, R., Stek, M. L., Takamiya, A., Emsell, L., Bouckaert, F., Sienaert, P., Pujol, J., Tendolkar, I., Eijndhoven, P. v., Petrides, G., Malhotra, A. K., &amp; Abbott, C. (2019). Electric Field Causes Volumetric Changes in the Human Brain. </w:t>
      </w:r>
      <w:r w:rsidRPr="00DE113E">
        <w:rPr>
          <w:i/>
        </w:rPr>
        <w:t>eLife</w:t>
      </w:r>
      <w:r w:rsidRPr="00DE113E">
        <w:t>,</w:t>
      </w:r>
      <w:r w:rsidRPr="00DE113E">
        <w:rPr>
          <w:i/>
        </w:rPr>
        <w:t xml:space="preserve"> 8</w:t>
      </w:r>
      <w:r w:rsidRPr="00DE113E">
        <w:t xml:space="preserve">. </w:t>
      </w:r>
      <w:hyperlink r:id="rId96" w:history="1">
        <w:r w:rsidRPr="00DE113E">
          <w:rPr>
            <w:rStyle w:val="Hyperlink"/>
          </w:rPr>
          <w:t>https://doi.org/10.7554/elife.49115</w:t>
        </w:r>
      </w:hyperlink>
      <w:r w:rsidRPr="00DE113E">
        <w:t xml:space="preserve"> </w:t>
      </w:r>
      <w:bookmarkEnd w:id="86"/>
    </w:p>
    <w:p w14:paraId="7DAEB8D4" w14:textId="7C83E4DA" w:rsidR="00DE113E" w:rsidRPr="00DE113E" w:rsidRDefault="00DE113E" w:rsidP="00DE113E">
      <w:pPr>
        <w:pStyle w:val="EndNoteBibliography"/>
        <w:spacing w:after="0"/>
        <w:ind w:left="720" w:hanging="720"/>
      </w:pPr>
      <w:bookmarkStart w:id="87" w:name="_ENREF_9"/>
      <w:r w:rsidRPr="00DE113E">
        <w:t xml:space="preserve">Armstrong, R. (2020). What causes neurodegenerative disease? [journal article]. </w:t>
      </w:r>
      <w:r w:rsidRPr="00DE113E">
        <w:rPr>
          <w:i/>
        </w:rPr>
        <w:t>Folia Neuropathologica</w:t>
      </w:r>
      <w:r w:rsidRPr="00DE113E">
        <w:t>,</w:t>
      </w:r>
      <w:r w:rsidRPr="00DE113E">
        <w:rPr>
          <w:i/>
        </w:rPr>
        <w:t xml:space="preserve"> 58</w:t>
      </w:r>
      <w:r w:rsidRPr="00DE113E">
        <w:t xml:space="preserve">(2), 93-112. </w:t>
      </w:r>
      <w:hyperlink r:id="rId97" w:history="1">
        <w:r w:rsidRPr="00DE113E">
          <w:rPr>
            <w:rStyle w:val="Hyperlink"/>
          </w:rPr>
          <w:t>https://doi.org/10.5114/fn.2020.96707</w:t>
        </w:r>
      </w:hyperlink>
      <w:r w:rsidRPr="00DE113E">
        <w:t xml:space="preserve"> </w:t>
      </w:r>
      <w:bookmarkEnd w:id="87"/>
    </w:p>
    <w:p w14:paraId="33FA40A2" w14:textId="12B5E51B" w:rsidR="00DE113E" w:rsidRPr="00EF5663" w:rsidRDefault="00DE113E" w:rsidP="00DE113E">
      <w:pPr>
        <w:pStyle w:val="EndNoteBibliography"/>
        <w:spacing w:after="0"/>
        <w:ind w:left="720" w:hanging="720"/>
        <w:rPr>
          <w:lang w:val="it-IT"/>
        </w:rPr>
      </w:pPr>
      <w:bookmarkStart w:id="88" w:name="_ENREF_10"/>
      <w:r w:rsidRPr="00DE113E">
        <w:t xml:space="preserve">Aschenbrenner, A. J., Gordon, B. A., Benzinger, T. L. S., Morris, J. C., &amp; Hassenstab, J. J. (2018). Influence of Tau PET, Amyloid PET, and Hippocampal Volume on Cognition in Alzheimer Disease. </w:t>
      </w:r>
      <w:r w:rsidRPr="00EF5663">
        <w:rPr>
          <w:i/>
          <w:lang w:val="it-IT"/>
        </w:rPr>
        <w:t>Neurology</w:t>
      </w:r>
      <w:r w:rsidRPr="00EF5663">
        <w:rPr>
          <w:lang w:val="it-IT"/>
        </w:rPr>
        <w:t>,</w:t>
      </w:r>
      <w:r w:rsidRPr="00EF5663">
        <w:rPr>
          <w:i/>
          <w:lang w:val="it-IT"/>
        </w:rPr>
        <w:t xml:space="preserve"> 91</w:t>
      </w:r>
      <w:r w:rsidRPr="00EF5663">
        <w:rPr>
          <w:lang w:val="it-IT"/>
        </w:rPr>
        <w:t xml:space="preserve">(9). </w:t>
      </w:r>
      <w:hyperlink r:id="rId98" w:history="1">
        <w:r w:rsidRPr="00EF5663">
          <w:rPr>
            <w:rStyle w:val="Hyperlink"/>
            <w:lang w:val="it-IT"/>
          </w:rPr>
          <w:t>https://doi.org/10.1212/wnl.0000000000006075</w:t>
        </w:r>
      </w:hyperlink>
      <w:r w:rsidRPr="00EF5663">
        <w:rPr>
          <w:lang w:val="it-IT"/>
        </w:rPr>
        <w:t xml:space="preserve"> </w:t>
      </w:r>
      <w:bookmarkEnd w:id="88"/>
    </w:p>
    <w:p w14:paraId="2E4E5F10" w14:textId="1B741D82" w:rsidR="00DE113E" w:rsidRPr="00DE113E" w:rsidRDefault="00DE113E" w:rsidP="00DE113E">
      <w:pPr>
        <w:pStyle w:val="EndNoteBibliography"/>
        <w:spacing w:after="0"/>
        <w:ind w:left="720" w:hanging="720"/>
      </w:pPr>
      <w:bookmarkStart w:id="89" w:name="_ENREF_11"/>
      <w:r w:rsidRPr="00EF5663">
        <w:rPr>
          <w:lang w:val="it-IT"/>
        </w:rPr>
        <w:t xml:space="preserve">Bahia, V. S., Takada, L. T., Caixeta, L., Lucato, L. T., Porto, C. S., &amp; Nitríni, R. (2013). </w:t>
      </w:r>
      <w:r w:rsidRPr="00DE113E">
        <w:t xml:space="preserve">Prefrontal Damage in Childhood and Changes in the Development of Personality: A Case Report. </w:t>
      </w:r>
      <w:r w:rsidRPr="00DE113E">
        <w:rPr>
          <w:i/>
        </w:rPr>
        <w:t>Dementia &amp; Neuropsychologia</w:t>
      </w:r>
      <w:r w:rsidRPr="00DE113E">
        <w:t>,</w:t>
      </w:r>
      <w:r w:rsidRPr="00DE113E">
        <w:rPr>
          <w:i/>
        </w:rPr>
        <w:t xml:space="preserve"> 7</w:t>
      </w:r>
      <w:r w:rsidRPr="00DE113E">
        <w:t xml:space="preserve">(1), 132-135. </w:t>
      </w:r>
      <w:hyperlink r:id="rId99" w:history="1">
        <w:r w:rsidRPr="00DE113E">
          <w:rPr>
            <w:rStyle w:val="Hyperlink"/>
          </w:rPr>
          <w:t>https://doi.org/10.1590/s1980-57642013dn70100019</w:t>
        </w:r>
      </w:hyperlink>
      <w:r w:rsidRPr="00DE113E">
        <w:t xml:space="preserve"> </w:t>
      </w:r>
      <w:bookmarkEnd w:id="89"/>
    </w:p>
    <w:p w14:paraId="4F8D7B08" w14:textId="5CFB82A9" w:rsidR="00DE113E" w:rsidRPr="00DE113E" w:rsidRDefault="00DE113E" w:rsidP="00DE113E">
      <w:pPr>
        <w:pStyle w:val="EndNoteBibliography"/>
        <w:spacing w:after="0"/>
        <w:ind w:left="720" w:hanging="720"/>
      </w:pPr>
      <w:bookmarkStart w:id="90" w:name="_ENREF_12"/>
      <w:r w:rsidRPr="00DE113E">
        <w:lastRenderedPageBreak/>
        <w:t xml:space="preserve">Bairamian, D., Sha, S., Rolhion, N., Sokol, H., Dorothée, G., Lemere, C. A., &amp; Krantic, S. (2022). Microbiota In neuroinflammation and synaptic Dysfunction: A Focus on Alzheimer’s Disease. </w:t>
      </w:r>
      <w:r w:rsidRPr="00DE113E">
        <w:rPr>
          <w:i/>
        </w:rPr>
        <w:t>Molecular Neurodegeneration</w:t>
      </w:r>
      <w:r w:rsidRPr="00DE113E">
        <w:t>,</w:t>
      </w:r>
      <w:r w:rsidRPr="00DE113E">
        <w:rPr>
          <w:i/>
        </w:rPr>
        <w:t xml:space="preserve"> 17</w:t>
      </w:r>
      <w:r w:rsidRPr="00DE113E">
        <w:t xml:space="preserve">(1). </w:t>
      </w:r>
      <w:hyperlink r:id="rId100" w:history="1">
        <w:r w:rsidRPr="00DE113E">
          <w:rPr>
            <w:rStyle w:val="Hyperlink"/>
          </w:rPr>
          <w:t>https://doi.org/10.1186/s13024-022-00522-2</w:t>
        </w:r>
      </w:hyperlink>
      <w:r w:rsidRPr="00DE113E">
        <w:t xml:space="preserve"> </w:t>
      </w:r>
      <w:bookmarkEnd w:id="90"/>
    </w:p>
    <w:p w14:paraId="78873A06" w14:textId="298D960C" w:rsidR="00DE113E" w:rsidRPr="00DE113E" w:rsidRDefault="00DE113E" w:rsidP="00DE113E">
      <w:pPr>
        <w:pStyle w:val="EndNoteBibliography"/>
        <w:spacing w:after="0"/>
        <w:ind w:left="720" w:hanging="720"/>
      </w:pPr>
      <w:bookmarkStart w:id="91" w:name="_ENREF_13"/>
      <w:r w:rsidRPr="00DE113E">
        <w:t xml:space="preserve">Barinda, A. J., Arozal, W., Hardi, H., Dewi, Y. R., Safutra, M. S., &amp; Lee, H. J. (2024). Water Extracts of &lt;i&gt;Moringa Oleifera&lt;/I&gt; Leaves Alter Oxidative Stress–Induced Neurotoxicity in Human Neuroblastoma SH‐SY5Y Cells. </w:t>
      </w:r>
      <w:r w:rsidRPr="00DE113E">
        <w:rPr>
          <w:i/>
        </w:rPr>
        <w:t>The Scientific World Journal</w:t>
      </w:r>
      <w:r w:rsidRPr="00DE113E">
        <w:t>,</w:t>
      </w:r>
      <w:r w:rsidRPr="00DE113E">
        <w:rPr>
          <w:i/>
        </w:rPr>
        <w:t xml:space="preserve"> 2024</w:t>
      </w:r>
      <w:r w:rsidRPr="00DE113E">
        <w:t xml:space="preserve">(1). </w:t>
      </w:r>
      <w:hyperlink r:id="rId101" w:history="1">
        <w:r w:rsidRPr="00DE113E">
          <w:rPr>
            <w:rStyle w:val="Hyperlink"/>
          </w:rPr>
          <w:t>https://doi.org/10.1155/2024/7652217</w:t>
        </w:r>
      </w:hyperlink>
      <w:r w:rsidRPr="00DE113E">
        <w:t xml:space="preserve"> </w:t>
      </w:r>
      <w:bookmarkEnd w:id="91"/>
    </w:p>
    <w:p w14:paraId="0032F112" w14:textId="31D8AE28" w:rsidR="00DE113E" w:rsidRPr="00DE113E" w:rsidRDefault="00DE113E" w:rsidP="00DE113E">
      <w:pPr>
        <w:pStyle w:val="EndNoteBibliography"/>
        <w:spacing w:after="0"/>
        <w:ind w:left="720" w:hanging="720"/>
      </w:pPr>
      <w:bookmarkStart w:id="92" w:name="_ENREF_14"/>
      <w:r w:rsidRPr="00DE113E">
        <w:t xml:space="preserve">Barnes, S. A., Young, J. W., &amp; Neill, J. C. (2012). Rats Tested After a Washout Period From Sub-Chronic PCP Administration Exhibited Impaired Performance in the 5-Choice Continuous Performance Test (5c-Cpt) When the Attentional Load Was Increased. </w:t>
      </w:r>
      <w:r w:rsidRPr="00DE113E">
        <w:rPr>
          <w:i/>
        </w:rPr>
        <w:t>Neuropharmacology</w:t>
      </w:r>
      <w:r w:rsidRPr="00DE113E">
        <w:t>,</w:t>
      </w:r>
      <w:r w:rsidRPr="00DE113E">
        <w:rPr>
          <w:i/>
        </w:rPr>
        <w:t xml:space="preserve"> 62</w:t>
      </w:r>
      <w:r w:rsidRPr="00DE113E">
        <w:t xml:space="preserve">(3), 1432-1441. </w:t>
      </w:r>
      <w:hyperlink r:id="rId102" w:history="1">
        <w:r w:rsidRPr="00DE113E">
          <w:rPr>
            <w:rStyle w:val="Hyperlink"/>
          </w:rPr>
          <w:t>https://doi.org/10.1016/j.neuropharm.2011.04.024</w:t>
        </w:r>
      </w:hyperlink>
      <w:r w:rsidRPr="00DE113E">
        <w:t xml:space="preserve"> </w:t>
      </w:r>
      <w:bookmarkEnd w:id="92"/>
    </w:p>
    <w:p w14:paraId="79BBC1DD" w14:textId="6007AD89" w:rsidR="00DE113E" w:rsidRPr="00DE113E" w:rsidRDefault="00DE113E" w:rsidP="00DE113E">
      <w:pPr>
        <w:pStyle w:val="EndNoteBibliography"/>
        <w:spacing w:after="0"/>
        <w:ind w:left="720" w:hanging="720"/>
      </w:pPr>
      <w:bookmarkStart w:id="93" w:name="_ENREF_15"/>
      <w:r w:rsidRPr="00DE113E">
        <w:t xml:space="preserve">Barnett, J. H., Blackwell, A. D., Sahakian, B. J., &amp; Robbins, T. W. (2016). The Paired Associates Learning (PAL) Test: 30 Years of CANTAB Translational Neuroscience from Laboratory to Bedside in Dementia Research. In T. W. Robbins &amp; B. J. Sahakian (Eds.), </w:t>
      </w:r>
      <w:r w:rsidRPr="00DE113E">
        <w:rPr>
          <w:i/>
        </w:rPr>
        <w:t>Translational Neuropsychopharmacology</w:t>
      </w:r>
      <w:r w:rsidRPr="00DE113E">
        <w:t xml:space="preserve"> (pp. 449-474). Springer International Publishing. </w:t>
      </w:r>
      <w:hyperlink r:id="rId103" w:history="1">
        <w:r w:rsidRPr="00DE113E">
          <w:rPr>
            <w:rStyle w:val="Hyperlink"/>
          </w:rPr>
          <w:t>https://doi.org/10.1007/7854_2015_5001</w:t>
        </w:r>
      </w:hyperlink>
      <w:r w:rsidRPr="00DE113E">
        <w:t xml:space="preserve"> </w:t>
      </w:r>
      <w:bookmarkEnd w:id="93"/>
    </w:p>
    <w:p w14:paraId="33E6966E" w14:textId="6C78CAD0" w:rsidR="00DE113E" w:rsidRPr="00DE113E" w:rsidRDefault="00DE113E" w:rsidP="00DE113E">
      <w:pPr>
        <w:pStyle w:val="EndNoteBibliography"/>
        <w:spacing w:after="0"/>
        <w:ind w:left="720" w:hanging="720"/>
      </w:pPr>
      <w:bookmarkStart w:id="94" w:name="_ENREF_16"/>
      <w:r w:rsidRPr="00DE113E">
        <w:t xml:space="preserve">Batista, C. R. A., Gomes, G. F., Candelario-Jalil, E., Fiebich, B. L., &amp; de Oliveira, A. C. P. (2019). Lipopolysaccharide-Induced Neuroinflammation as a Bridge to Understand Neurodegeneration. </w:t>
      </w:r>
      <w:r w:rsidRPr="00DE113E">
        <w:rPr>
          <w:i/>
        </w:rPr>
        <w:t>Int J Mol Sci</w:t>
      </w:r>
      <w:r w:rsidRPr="00DE113E">
        <w:t>,</w:t>
      </w:r>
      <w:r w:rsidRPr="00DE113E">
        <w:rPr>
          <w:i/>
        </w:rPr>
        <w:t xml:space="preserve"> 20</w:t>
      </w:r>
      <w:r w:rsidRPr="00DE113E">
        <w:t xml:space="preserve">(9). </w:t>
      </w:r>
      <w:hyperlink r:id="rId104" w:history="1">
        <w:r w:rsidRPr="00DE113E">
          <w:rPr>
            <w:rStyle w:val="Hyperlink"/>
          </w:rPr>
          <w:t>https://doi.org/10.3390/ijms20092293</w:t>
        </w:r>
      </w:hyperlink>
      <w:r w:rsidRPr="00DE113E">
        <w:t xml:space="preserve"> </w:t>
      </w:r>
      <w:bookmarkEnd w:id="94"/>
    </w:p>
    <w:p w14:paraId="47534F75" w14:textId="6F4001C9" w:rsidR="00DE113E" w:rsidRPr="00DE113E" w:rsidRDefault="00DE113E" w:rsidP="00DE113E">
      <w:pPr>
        <w:pStyle w:val="EndNoteBibliography"/>
        <w:spacing w:after="0"/>
        <w:ind w:left="720" w:hanging="720"/>
      </w:pPr>
      <w:bookmarkStart w:id="95" w:name="_ENREF_17"/>
      <w:r w:rsidRPr="00DE113E">
        <w:t xml:space="preserve">Baumgartner, N. W., Capuano, A. W., Barnes, L. L., Bennett, D. A., &amp; Arvanitakis, Z. (2025). Sex Differences in the Association Between Age-Related Decline in Blood Pressure and Decline in Cognition: A Prospective Cohort Study. </w:t>
      </w:r>
      <w:hyperlink r:id="rId105" w:history="1">
        <w:r w:rsidRPr="00DE113E">
          <w:rPr>
            <w:rStyle w:val="Hyperlink"/>
          </w:rPr>
          <w:t>https://doi.org/10.1101/2025.01.08.25320209</w:t>
        </w:r>
      </w:hyperlink>
      <w:r w:rsidRPr="00DE113E">
        <w:t xml:space="preserve"> </w:t>
      </w:r>
      <w:bookmarkEnd w:id="95"/>
    </w:p>
    <w:p w14:paraId="46251170" w14:textId="038B0CD1" w:rsidR="00DE113E" w:rsidRPr="00DE113E" w:rsidRDefault="00DE113E" w:rsidP="00DE113E">
      <w:pPr>
        <w:pStyle w:val="EndNoteBibliography"/>
        <w:spacing w:after="0"/>
        <w:ind w:left="720" w:hanging="720"/>
      </w:pPr>
      <w:bookmarkStart w:id="96" w:name="_ENREF_18"/>
      <w:r w:rsidRPr="00DE113E">
        <w:t xml:space="preserve">Bennett, D., Nakamura, J., Vinnakota, C., Sokolenko, E., Nithianantharajah, J., van den Buuse, M., Jones, N. C., Sundram, S., &amp; Hill, R. (2023). Mouse Behavior on the Trial-Unique Nonmatching-to-Location (TUNL) Touchscreen Task Reflects a Mixture of Distinct Working Memory Codes and Response Biases. </w:t>
      </w:r>
      <w:r w:rsidRPr="00DE113E">
        <w:rPr>
          <w:i/>
        </w:rPr>
        <w:t>J Neurosci</w:t>
      </w:r>
      <w:r w:rsidRPr="00DE113E">
        <w:t>,</w:t>
      </w:r>
      <w:r w:rsidRPr="00DE113E">
        <w:rPr>
          <w:i/>
        </w:rPr>
        <w:t xml:space="preserve"> 43</w:t>
      </w:r>
      <w:r w:rsidRPr="00DE113E">
        <w:t xml:space="preserve">(31), 5693-5709. </w:t>
      </w:r>
      <w:hyperlink r:id="rId106" w:history="1">
        <w:r w:rsidRPr="00DE113E">
          <w:rPr>
            <w:rStyle w:val="Hyperlink"/>
          </w:rPr>
          <w:t>https://doi.org/10.1523/jneurosci.2101-22.2023</w:t>
        </w:r>
      </w:hyperlink>
      <w:r w:rsidRPr="00DE113E">
        <w:t xml:space="preserve"> </w:t>
      </w:r>
      <w:bookmarkEnd w:id="96"/>
    </w:p>
    <w:p w14:paraId="03C32001" w14:textId="0AD3006B" w:rsidR="00DE113E" w:rsidRPr="00DE113E" w:rsidRDefault="00DE113E" w:rsidP="00DE113E">
      <w:pPr>
        <w:pStyle w:val="EndNoteBibliography"/>
        <w:spacing w:after="0"/>
        <w:ind w:left="720" w:hanging="720"/>
      </w:pPr>
      <w:bookmarkStart w:id="97" w:name="_ENREF_19"/>
      <w:r w:rsidRPr="00DE113E">
        <w:t xml:space="preserve">Beraldo, F. H., Palmer, D. D., Memar, S., Wasserman, D., Lee, W.-J. V., Liang, S., Creighton, S. D., Kolisnyk, B., Cowan, M. F., Mels, J., Masood, T., Fodor, C., Al‐Onaizi, M., Bartha, R., Gee, T., Saksida, L. M., Bussey, T. J., Strother, S. C., Winters, B. D., &amp; Prado, M. A. M. (2019). MouseBytes, an Open-Access High-Throughput Pipeline and Database for Rodent Touchscreen-Based Cognitive Assessment. </w:t>
      </w:r>
      <w:r w:rsidRPr="00DE113E">
        <w:rPr>
          <w:i/>
        </w:rPr>
        <w:t>eLife</w:t>
      </w:r>
      <w:r w:rsidRPr="00DE113E">
        <w:t>,</w:t>
      </w:r>
      <w:r w:rsidRPr="00DE113E">
        <w:rPr>
          <w:i/>
        </w:rPr>
        <w:t xml:space="preserve"> 8</w:t>
      </w:r>
      <w:r w:rsidRPr="00DE113E">
        <w:t xml:space="preserve">. </w:t>
      </w:r>
      <w:hyperlink r:id="rId107" w:history="1">
        <w:r w:rsidRPr="00DE113E">
          <w:rPr>
            <w:rStyle w:val="Hyperlink"/>
          </w:rPr>
          <w:t>https://doi.org/10.7554/elife.49630</w:t>
        </w:r>
      </w:hyperlink>
      <w:r w:rsidRPr="00DE113E">
        <w:t xml:space="preserve"> </w:t>
      </w:r>
      <w:bookmarkEnd w:id="97"/>
    </w:p>
    <w:p w14:paraId="3D4E2F60" w14:textId="317062CA" w:rsidR="00DE113E" w:rsidRPr="00DE113E" w:rsidRDefault="00DE113E" w:rsidP="00DE113E">
      <w:pPr>
        <w:pStyle w:val="EndNoteBibliography"/>
        <w:spacing w:after="0"/>
        <w:ind w:left="720" w:hanging="720"/>
      </w:pPr>
      <w:bookmarkStart w:id="98" w:name="_ENREF_20"/>
      <w:r w:rsidRPr="00DE113E">
        <w:t xml:space="preserve">Beresford‐Webb, J., McAllister, C., Sleigh, A., Walpert, M., Holland, A., &amp; Zaman, S. (2025). Mitochondrial Dysfunction Correlates With Brain Amyloid Binding, Memory, and Executive Function in Down Syndrome: Implications for Alzheimer’s Disease in Down Syndrome. </w:t>
      </w:r>
      <w:r w:rsidRPr="00DE113E">
        <w:rPr>
          <w:i/>
        </w:rPr>
        <w:t>Brain Sciences</w:t>
      </w:r>
      <w:r w:rsidRPr="00DE113E">
        <w:t>,</w:t>
      </w:r>
      <w:r w:rsidRPr="00DE113E">
        <w:rPr>
          <w:i/>
        </w:rPr>
        <w:t xml:space="preserve"> 15</w:t>
      </w:r>
      <w:r w:rsidRPr="00DE113E">
        <w:t xml:space="preserve">(2), 130. </w:t>
      </w:r>
      <w:hyperlink r:id="rId108" w:history="1">
        <w:r w:rsidRPr="00DE113E">
          <w:rPr>
            <w:rStyle w:val="Hyperlink"/>
          </w:rPr>
          <w:t>https://doi.org/10.3390/brainsci15020130</w:t>
        </w:r>
      </w:hyperlink>
      <w:r w:rsidRPr="00DE113E">
        <w:t xml:space="preserve"> </w:t>
      </w:r>
      <w:bookmarkEnd w:id="98"/>
    </w:p>
    <w:p w14:paraId="1BCC3D77" w14:textId="523EFA31" w:rsidR="00DE113E" w:rsidRPr="00DE113E" w:rsidRDefault="00DE113E" w:rsidP="00DE113E">
      <w:pPr>
        <w:pStyle w:val="EndNoteBibliography"/>
        <w:spacing w:after="0"/>
        <w:ind w:left="720" w:hanging="720"/>
      </w:pPr>
      <w:bookmarkStart w:id="99" w:name="_ENREF_21"/>
      <w:r w:rsidRPr="00DE113E">
        <w:t xml:space="preserve">Berr, C., Balansard, B., Arnaud, J., Roussel, A. M., &amp; Alpérovitch, A. (2000). Cognitive Decline Is Associated With Systemic Oxidative Stress: The EVA Study. </w:t>
      </w:r>
      <w:r w:rsidRPr="00DE113E">
        <w:rPr>
          <w:i/>
        </w:rPr>
        <w:t>Journal of the American Geriatrics Society</w:t>
      </w:r>
      <w:r w:rsidRPr="00DE113E">
        <w:t>,</w:t>
      </w:r>
      <w:r w:rsidRPr="00DE113E">
        <w:rPr>
          <w:i/>
        </w:rPr>
        <w:t xml:space="preserve"> 48</w:t>
      </w:r>
      <w:r w:rsidRPr="00DE113E">
        <w:t xml:space="preserve">(10), 1285-1291. </w:t>
      </w:r>
      <w:hyperlink r:id="rId109" w:history="1">
        <w:r w:rsidRPr="00DE113E">
          <w:rPr>
            <w:rStyle w:val="Hyperlink"/>
          </w:rPr>
          <w:t>https://doi.org/10.1111/j.1532-5415.2000.tb02603.x</w:t>
        </w:r>
      </w:hyperlink>
      <w:r w:rsidRPr="00DE113E">
        <w:t xml:space="preserve"> </w:t>
      </w:r>
      <w:bookmarkEnd w:id="99"/>
    </w:p>
    <w:p w14:paraId="448673CE" w14:textId="389D7085" w:rsidR="00DE113E" w:rsidRPr="00DE113E" w:rsidRDefault="00DE113E" w:rsidP="00DE113E">
      <w:pPr>
        <w:pStyle w:val="EndNoteBibliography"/>
        <w:spacing w:after="0"/>
        <w:ind w:left="720" w:hanging="720"/>
      </w:pPr>
      <w:bookmarkStart w:id="100" w:name="_ENREF_22"/>
      <w:r w:rsidRPr="00DE113E">
        <w:t xml:space="preserve">Bhakta, S. G., &amp; Young, J. W. (2017). The 5 Choice Continuous Performance Test (5c-Cpt): A Novel Tool to Assess Cognitive Control Across Species. </w:t>
      </w:r>
      <w:r w:rsidRPr="00DE113E">
        <w:rPr>
          <w:i/>
        </w:rPr>
        <w:t>Journal of Neuroscience Methods</w:t>
      </w:r>
      <w:r w:rsidRPr="00DE113E">
        <w:t>,</w:t>
      </w:r>
      <w:r w:rsidRPr="00DE113E">
        <w:rPr>
          <w:i/>
        </w:rPr>
        <w:t xml:space="preserve"> 292</w:t>
      </w:r>
      <w:r w:rsidRPr="00DE113E">
        <w:t xml:space="preserve">, 53-60. </w:t>
      </w:r>
      <w:hyperlink r:id="rId110" w:history="1">
        <w:r w:rsidRPr="00DE113E">
          <w:rPr>
            <w:rStyle w:val="Hyperlink"/>
          </w:rPr>
          <w:t>https://doi.org/10.1016/j.jneumeth.2017.07.011</w:t>
        </w:r>
      </w:hyperlink>
      <w:r w:rsidRPr="00DE113E">
        <w:t xml:space="preserve"> </w:t>
      </w:r>
      <w:bookmarkEnd w:id="100"/>
    </w:p>
    <w:p w14:paraId="14505FC5" w14:textId="3D1419E7" w:rsidR="00DE113E" w:rsidRPr="00DE113E" w:rsidRDefault="00DE113E" w:rsidP="00DE113E">
      <w:pPr>
        <w:pStyle w:val="EndNoteBibliography"/>
        <w:spacing w:after="0"/>
        <w:ind w:left="720" w:hanging="720"/>
      </w:pPr>
      <w:bookmarkStart w:id="101" w:name="_ENREF_23"/>
      <w:r w:rsidRPr="00DE113E">
        <w:lastRenderedPageBreak/>
        <w:t xml:space="preserve">Blekić, W., Bellaert, N., Lecomte, N., Arachchige, K. K., Mélot, H., &amp; Rossignol, M. (2022). Cognitive Flexibility and Attentional Patterns Among Trauma Survivors: Preliminary Evidence From an Eye-Tracking Study. </w:t>
      </w:r>
      <w:r w:rsidRPr="00DE113E">
        <w:rPr>
          <w:i/>
        </w:rPr>
        <w:t>European Journal of Psychotraumatology</w:t>
      </w:r>
      <w:r w:rsidRPr="00DE113E">
        <w:t>,</w:t>
      </w:r>
      <w:r w:rsidRPr="00DE113E">
        <w:rPr>
          <w:i/>
        </w:rPr>
        <w:t xml:space="preserve"> 13</w:t>
      </w:r>
      <w:r w:rsidRPr="00DE113E">
        <w:t xml:space="preserve">(1). </w:t>
      </w:r>
      <w:hyperlink r:id="rId111" w:history="1">
        <w:r w:rsidRPr="00DE113E">
          <w:rPr>
            <w:rStyle w:val="Hyperlink"/>
          </w:rPr>
          <w:t>https://doi.org/10.1080/20008198.2022.2055296</w:t>
        </w:r>
      </w:hyperlink>
      <w:r w:rsidRPr="00DE113E">
        <w:t xml:space="preserve"> </w:t>
      </w:r>
      <w:bookmarkEnd w:id="101"/>
    </w:p>
    <w:p w14:paraId="0925815D" w14:textId="47A9F9EA" w:rsidR="00DE113E" w:rsidRPr="00DE113E" w:rsidRDefault="00DE113E" w:rsidP="00DE113E">
      <w:pPr>
        <w:pStyle w:val="EndNoteBibliography"/>
        <w:spacing w:after="0"/>
        <w:ind w:left="720" w:hanging="720"/>
      </w:pPr>
      <w:bookmarkStart w:id="102" w:name="_ENREF_24"/>
      <w:r w:rsidRPr="00DE113E">
        <w:t xml:space="preserve">Bohbot, V. D., Iaria, G., &amp; Petrides, M. (2004). Hippocampal Function and Spatial Memory: Evidence From Functional Neuroimaging in Healthy Participants and Performance of Patients With Medial Temporal Lobe Resections. </w:t>
      </w:r>
      <w:r w:rsidRPr="00DE113E">
        <w:rPr>
          <w:i/>
        </w:rPr>
        <w:t>Neuropsychology</w:t>
      </w:r>
      <w:r w:rsidRPr="00DE113E">
        <w:t>,</w:t>
      </w:r>
      <w:r w:rsidRPr="00DE113E">
        <w:rPr>
          <w:i/>
        </w:rPr>
        <w:t xml:space="preserve"> 18</w:t>
      </w:r>
      <w:r w:rsidRPr="00DE113E">
        <w:t xml:space="preserve">(3), 418-425. </w:t>
      </w:r>
      <w:hyperlink r:id="rId112" w:history="1">
        <w:r w:rsidRPr="00DE113E">
          <w:rPr>
            <w:rStyle w:val="Hyperlink"/>
          </w:rPr>
          <w:t>https://doi.org/10.1037/0894-4105.18.3.418</w:t>
        </w:r>
      </w:hyperlink>
      <w:r w:rsidRPr="00DE113E">
        <w:t xml:space="preserve"> </w:t>
      </w:r>
      <w:bookmarkEnd w:id="102"/>
    </w:p>
    <w:p w14:paraId="1298C7B9" w14:textId="5F163E9C" w:rsidR="00DE113E" w:rsidRPr="00DE113E" w:rsidRDefault="00DE113E" w:rsidP="00DE113E">
      <w:pPr>
        <w:pStyle w:val="EndNoteBibliography"/>
        <w:spacing w:after="0"/>
        <w:ind w:left="720" w:hanging="720"/>
      </w:pPr>
      <w:bookmarkStart w:id="103" w:name="_ENREF_25"/>
      <w:r w:rsidRPr="00DE113E">
        <w:t xml:space="preserve">Borroni, B., Premi, E., Bozzali, M., &amp; Padovani, A. (2012). Reserve Mechanisms in Neurodegenerative Diseases: From Bench to Bedside and Back Again. </w:t>
      </w:r>
      <w:r w:rsidRPr="00DE113E">
        <w:rPr>
          <w:i/>
        </w:rPr>
        <w:t>Current Medicinal Chemistry</w:t>
      </w:r>
      <w:r w:rsidRPr="00DE113E">
        <w:t>,</w:t>
      </w:r>
      <w:r w:rsidRPr="00DE113E">
        <w:rPr>
          <w:i/>
        </w:rPr>
        <w:t xml:space="preserve"> 19</w:t>
      </w:r>
      <w:r w:rsidRPr="00DE113E">
        <w:t xml:space="preserve">(36), 6112-6118. </w:t>
      </w:r>
      <w:hyperlink r:id="rId113" w:history="1">
        <w:r w:rsidRPr="00DE113E">
          <w:rPr>
            <w:rStyle w:val="Hyperlink"/>
          </w:rPr>
          <w:t>https://doi.org/10.2174/092986712804485737</w:t>
        </w:r>
      </w:hyperlink>
      <w:r w:rsidRPr="00DE113E">
        <w:t xml:space="preserve"> </w:t>
      </w:r>
      <w:bookmarkEnd w:id="103"/>
    </w:p>
    <w:p w14:paraId="7E832EEC" w14:textId="03A70AB5" w:rsidR="00DE113E" w:rsidRPr="00DE113E" w:rsidRDefault="00DE113E" w:rsidP="00DE113E">
      <w:pPr>
        <w:pStyle w:val="EndNoteBibliography"/>
        <w:spacing w:after="0"/>
        <w:ind w:left="720" w:hanging="720"/>
      </w:pPr>
      <w:bookmarkStart w:id="104" w:name="_ENREF_26"/>
      <w:r w:rsidRPr="00DE113E">
        <w:t xml:space="preserve">Boyle, P. A., Yu, L., Wilson, R. J., Gamble, K. J., Buchman, A. S., &amp; Bennett, D. A. (2012). Poor Decision Making Is a Consequence of Cognitive Decline Among Older Persons Without Alzheimer’s Disease or Mild Cognitive Impairment. </w:t>
      </w:r>
      <w:r w:rsidRPr="00DE113E">
        <w:rPr>
          <w:i/>
        </w:rPr>
        <w:t>Plos One</w:t>
      </w:r>
      <w:r w:rsidRPr="00DE113E">
        <w:t>,</w:t>
      </w:r>
      <w:r w:rsidRPr="00DE113E">
        <w:rPr>
          <w:i/>
        </w:rPr>
        <w:t xml:space="preserve"> 7</w:t>
      </w:r>
      <w:r w:rsidRPr="00DE113E">
        <w:t xml:space="preserve">(8), e43647. </w:t>
      </w:r>
      <w:hyperlink r:id="rId114" w:history="1">
        <w:r w:rsidRPr="00DE113E">
          <w:rPr>
            <w:rStyle w:val="Hyperlink"/>
          </w:rPr>
          <w:t>https://doi.org/10.1371/journal.pone.0043647</w:t>
        </w:r>
      </w:hyperlink>
      <w:r w:rsidRPr="00DE113E">
        <w:t xml:space="preserve"> </w:t>
      </w:r>
      <w:bookmarkEnd w:id="104"/>
    </w:p>
    <w:p w14:paraId="63DDA853" w14:textId="20D66CA6" w:rsidR="00DE113E" w:rsidRPr="00DE113E" w:rsidRDefault="00DE113E" w:rsidP="00DE113E">
      <w:pPr>
        <w:pStyle w:val="EndNoteBibliography"/>
        <w:spacing w:after="0"/>
        <w:ind w:left="720" w:hanging="720"/>
      </w:pPr>
      <w:bookmarkStart w:id="105" w:name="_ENREF_27"/>
      <w:r w:rsidRPr="00DE113E">
        <w:t xml:space="preserve">Brigman, J. L., Feyder, M., Saksida, L. M., Bussey, T. J., Mishina, M., &amp; Holmes, A. (2008). Impaired Discrimination Learning in Mice Lacking the NMDA Receptor NR2A Subunit. </w:t>
      </w:r>
      <w:r w:rsidRPr="00DE113E">
        <w:rPr>
          <w:i/>
        </w:rPr>
        <w:t>Learning &amp; Memory</w:t>
      </w:r>
      <w:r w:rsidRPr="00DE113E">
        <w:t>,</w:t>
      </w:r>
      <w:r w:rsidRPr="00DE113E">
        <w:rPr>
          <w:i/>
        </w:rPr>
        <w:t xml:space="preserve"> 15</w:t>
      </w:r>
      <w:r w:rsidRPr="00DE113E">
        <w:t xml:space="preserve">(2), 50-54. </w:t>
      </w:r>
      <w:hyperlink r:id="rId115" w:history="1">
        <w:r w:rsidRPr="00DE113E">
          <w:rPr>
            <w:rStyle w:val="Hyperlink"/>
          </w:rPr>
          <w:t>https://doi.org/10.1101/lm.777308</w:t>
        </w:r>
      </w:hyperlink>
      <w:r w:rsidRPr="00DE113E">
        <w:t xml:space="preserve"> </w:t>
      </w:r>
      <w:bookmarkEnd w:id="105"/>
    </w:p>
    <w:p w14:paraId="0E9EAB12" w14:textId="4B64020E" w:rsidR="00DE113E" w:rsidRPr="00DE113E" w:rsidRDefault="00DE113E" w:rsidP="00DE113E">
      <w:pPr>
        <w:pStyle w:val="EndNoteBibliography"/>
        <w:spacing w:after="0"/>
        <w:ind w:left="720" w:hanging="720"/>
      </w:pPr>
      <w:bookmarkStart w:id="106" w:name="_ENREF_28"/>
      <w:r w:rsidRPr="00DE113E">
        <w:t xml:space="preserve">Brigman, J. L., Graybeal, C., &amp; Holmes, A. (2010). Predictably irrational: assaying cognitive inflexibility in mouse models of schizophrenia. </w:t>
      </w:r>
      <w:r w:rsidRPr="00DE113E">
        <w:rPr>
          <w:i/>
        </w:rPr>
        <w:t>Front Neurosci</w:t>
      </w:r>
      <w:r w:rsidRPr="00DE113E">
        <w:t>,</w:t>
      </w:r>
      <w:r w:rsidRPr="00DE113E">
        <w:rPr>
          <w:i/>
        </w:rPr>
        <w:t xml:space="preserve"> 4</w:t>
      </w:r>
      <w:r w:rsidRPr="00DE113E">
        <w:t xml:space="preserve">. </w:t>
      </w:r>
      <w:hyperlink r:id="rId116" w:history="1">
        <w:r w:rsidRPr="00DE113E">
          <w:rPr>
            <w:rStyle w:val="Hyperlink"/>
          </w:rPr>
          <w:t>https://doi.org/10.3389/neuro.01.013.2010</w:t>
        </w:r>
      </w:hyperlink>
      <w:r w:rsidRPr="00DE113E">
        <w:t xml:space="preserve"> </w:t>
      </w:r>
      <w:bookmarkEnd w:id="106"/>
    </w:p>
    <w:p w14:paraId="02E592CD" w14:textId="15E4A913" w:rsidR="00DE113E" w:rsidRPr="00DE113E" w:rsidRDefault="00DE113E" w:rsidP="00DE113E">
      <w:pPr>
        <w:pStyle w:val="EndNoteBibliography"/>
        <w:spacing w:after="0"/>
        <w:ind w:left="720" w:hanging="720"/>
      </w:pPr>
      <w:bookmarkStart w:id="107" w:name="_ENREF_29"/>
      <w:r w:rsidRPr="00DE113E">
        <w:t xml:space="preserve">Broadstock, M., Ballard, C., &amp; Corbett, A. (2014). Latest treatment options for Alzheimer’s disease, Parkinson’s disease dementia and dementia with Lewy bodies. </w:t>
      </w:r>
      <w:r w:rsidRPr="00DE113E">
        <w:rPr>
          <w:i/>
        </w:rPr>
        <w:t>Expert Opinion on Pharmacotherapy</w:t>
      </w:r>
      <w:r w:rsidRPr="00DE113E">
        <w:t>,</w:t>
      </w:r>
      <w:r w:rsidRPr="00DE113E">
        <w:rPr>
          <w:i/>
        </w:rPr>
        <w:t xml:space="preserve"> 15</w:t>
      </w:r>
      <w:r w:rsidRPr="00DE113E">
        <w:t xml:space="preserve">(13), 1797-1810. </w:t>
      </w:r>
      <w:hyperlink r:id="rId117" w:history="1">
        <w:r w:rsidRPr="00DE113E">
          <w:rPr>
            <w:rStyle w:val="Hyperlink"/>
          </w:rPr>
          <w:t>https://doi.org/10.1517/14656566.2014.936848</w:t>
        </w:r>
      </w:hyperlink>
      <w:r w:rsidRPr="00DE113E">
        <w:t xml:space="preserve"> </w:t>
      </w:r>
      <w:bookmarkEnd w:id="107"/>
    </w:p>
    <w:p w14:paraId="58C6CBDD" w14:textId="2003A712" w:rsidR="00DE113E" w:rsidRPr="00DE113E" w:rsidRDefault="00DE113E" w:rsidP="00DE113E">
      <w:pPr>
        <w:pStyle w:val="EndNoteBibliography"/>
        <w:spacing w:after="0"/>
        <w:ind w:left="720" w:hanging="720"/>
      </w:pPr>
      <w:bookmarkStart w:id="108" w:name="_ENREF_30"/>
      <w:r w:rsidRPr="00DE113E">
        <w:t xml:space="preserve">Broeck, L. V. d., Sierksma, A., Hansquine, P., Thonnard, D., Callaerts‐Vegh, Z., &amp; D’Hooge, R. (2020). Comparison Between Touchscreen Operant Chambers and Water Maze to Detect Early Prefrontal Dysfunction in Mice. </w:t>
      </w:r>
      <w:r w:rsidRPr="00DE113E">
        <w:rPr>
          <w:i/>
        </w:rPr>
        <w:t>Genes Brain &amp; Behavior</w:t>
      </w:r>
      <w:r w:rsidRPr="00DE113E">
        <w:t>,</w:t>
      </w:r>
      <w:r w:rsidRPr="00DE113E">
        <w:rPr>
          <w:i/>
        </w:rPr>
        <w:t xml:space="preserve"> 20</w:t>
      </w:r>
      <w:r w:rsidRPr="00DE113E">
        <w:t xml:space="preserve">(1). </w:t>
      </w:r>
      <w:hyperlink r:id="rId118" w:history="1">
        <w:r w:rsidRPr="00DE113E">
          <w:rPr>
            <w:rStyle w:val="Hyperlink"/>
          </w:rPr>
          <w:t>https://doi.org/10.1111/gbb.12695</w:t>
        </w:r>
      </w:hyperlink>
      <w:r w:rsidRPr="00DE113E">
        <w:t xml:space="preserve"> </w:t>
      </w:r>
      <w:bookmarkEnd w:id="108"/>
    </w:p>
    <w:p w14:paraId="3C43BD21" w14:textId="6BF86F0F" w:rsidR="00DE113E" w:rsidRPr="00DE113E" w:rsidRDefault="00DE113E" w:rsidP="00DE113E">
      <w:pPr>
        <w:pStyle w:val="EndNoteBibliography"/>
        <w:spacing w:after="0"/>
        <w:ind w:left="720" w:hanging="720"/>
      </w:pPr>
      <w:bookmarkStart w:id="109" w:name="_ENREF_31"/>
      <w:r w:rsidRPr="00DE113E">
        <w:t xml:space="preserve">Budiarto, E., &amp; Mustikasari, n. (2024). The Meaning of Family's Adaptation Experiences Among Schizophrenia Caregivers in the Tidal Flood Areas in Indonesia: A Phenomenology Study. </w:t>
      </w:r>
      <w:r w:rsidRPr="00DE113E">
        <w:rPr>
          <w:i/>
        </w:rPr>
        <w:t>SAGE Open Nursing</w:t>
      </w:r>
      <w:r w:rsidRPr="00DE113E">
        <w:t>,</w:t>
      </w:r>
      <w:r w:rsidRPr="00DE113E">
        <w:rPr>
          <w:i/>
        </w:rPr>
        <w:t xml:space="preserve"> 10</w:t>
      </w:r>
      <w:r w:rsidRPr="00DE113E">
        <w:t xml:space="preserve">, 23779608241289099. </w:t>
      </w:r>
      <w:hyperlink r:id="rId119" w:history="1">
        <w:r w:rsidRPr="00DE113E">
          <w:rPr>
            <w:rStyle w:val="Hyperlink"/>
          </w:rPr>
          <w:t>https://doi.org/10.1177/23779608241289099</w:t>
        </w:r>
      </w:hyperlink>
      <w:r w:rsidRPr="00DE113E">
        <w:t xml:space="preserve"> </w:t>
      </w:r>
      <w:bookmarkEnd w:id="109"/>
    </w:p>
    <w:p w14:paraId="12FECEE5" w14:textId="7278C1D1" w:rsidR="00DE113E" w:rsidRPr="00DE113E" w:rsidRDefault="00DE113E" w:rsidP="00DE113E">
      <w:pPr>
        <w:pStyle w:val="EndNoteBibliography"/>
        <w:spacing w:after="0"/>
        <w:ind w:left="720" w:hanging="720"/>
      </w:pPr>
      <w:bookmarkStart w:id="110" w:name="_ENREF_32"/>
      <w:r w:rsidRPr="00DE113E">
        <w:t xml:space="preserve">Burrows, E. L., May, C., Hill, T., Churliov, L., Johnson, K. A., &amp; Hannan, A. J. (2021). Mice With an Autism‐associated &lt;scp&gt;R451C&lt;/Scp&gt; Mutation in Neuroligin‐3 Show a Cautious but Accurate Response Style in Touchscreen Attention Tasks. </w:t>
      </w:r>
      <w:r w:rsidRPr="00DE113E">
        <w:rPr>
          <w:i/>
        </w:rPr>
        <w:t>Genes Brain &amp; Behavior</w:t>
      </w:r>
      <w:r w:rsidRPr="00DE113E">
        <w:t>,</w:t>
      </w:r>
      <w:r w:rsidRPr="00DE113E">
        <w:rPr>
          <w:i/>
        </w:rPr>
        <w:t xml:space="preserve"> 21</w:t>
      </w:r>
      <w:r w:rsidRPr="00DE113E">
        <w:t xml:space="preserve">(1). </w:t>
      </w:r>
      <w:hyperlink r:id="rId120" w:history="1">
        <w:r w:rsidRPr="00DE113E">
          <w:rPr>
            <w:rStyle w:val="Hyperlink"/>
          </w:rPr>
          <w:t>https://doi.org/10.1111/gbb.12757</w:t>
        </w:r>
      </w:hyperlink>
      <w:r w:rsidRPr="00DE113E">
        <w:t xml:space="preserve"> </w:t>
      </w:r>
      <w:bookmarkEnd w:id="110"/>
    </w:p>
    <w:p w14:paraId="272890FF" w14:textId="453CA86F" w:rsidR="00DE113E" w:rsidRPr="00DE113E" w:rsidRDefault="00DE113E" w:rsidP="00DE113E">
      <w:pPr>
        <w:pStyle w:val="EndNoteBibliography"/>
        <w:spacing w:after="0"/>
        <w:ind w:left="720" w:hanging="720"/>
      </w:pPr>
      <w:bookmarkStart w:id="111" w:name="_ENREF_33"/>
      <w:r w:rsidRPr="00DE113E">
        <w:t xml:space="preserve">Bussey, T. J., Holmes, A., Lyon, L., Mar, A. C., McAllister, K. A., Nithianantharajah, J., Oomen, C. A., &amp; Saksida, L. M. (2012a). New translational assays for preclinical modelling of cognition in schizophrenia: the touchscreen testing method for mice and rats. </w:t>
      </w:r>
      <w:r w:rsidRPr="00DE113E">
        <w:rPr>
          <w:i/>
        </w:rPr>
        <w:t>Neuropharmacology</w:t>
      </w:r>
      <w:r w:rsidRPr="00DE113E">
        <w:t>,</w:t>
      </w:r>
      <w:r w:rsidRPr="00DE113E">
        <w:rPr>
          <w:i/>
        </w:rPr>
        <w:t xml:space="preserve"> 62</w:t>
      </w:r>
      <w:r w:rsidRPr="00DE113E">
        <w:t xml:space="preserve">(3), 1191-1203. </w:t>
      </w:r>
      <w:hyperlink r:id="rId121" w:history="1">
        <w:r w:rsidRPr="00DE113E">
          <w:rPr>
            <w:rStyle w:val="Hyperlink"/>
          </w:rPr>
          <w:t>https://doi.org/10.1016/j.neuropharm.2011.04.011</w:t>
        </w:r>
      </w:hyperlink>
      <w:r w:rsidRPr="00DE113E">
        <w:t xml:space="preserve"> </w:t>
      </w:r>
      <w:bookmarkEnd w:id="111"/>
    </w:p>
    <w:p w14:paraId="078A0A3F" w14:textId="3F1D03E6" w:rsidR="00DE113E" w:rsidRPr="00DE113E" w:rsidRDefault="00DE113E" w:rsidP="00DE113E">
      <w:pPr>
        <w:pStyle w:val="EndNoteBibliography"/>
        <w:spacing w:after="0"/>
        <w:ind w:left="720" w:hanging="720"/>
      </w:pPr>
      <w:bookmarkStart w:id="112" w:name="_ENREF_34"/>
      <w:r w:rsidRPr="00DE113E">
        <w:t xml:space="preserve">Bussey, T. J., Holmes, A., Lyon, L., Mar, A. C., McAllister, K. A. L., Nithianantharajah, J., Oomen, C. A., &amp; Saksida, L. M. (2012b). New translational assays for preclinical modelling of cognition in schizophrenia: The touchscreen testing method for mice and rats. </w:t>
      </w:r>
      <w:r w:rsidRPr="00DE113E">
        <w:rPr>
          <w:i/>
        </w:rPr>
        <w:t>Neuropharmacology</w:t>
      </w:r>
      <w:r w:rsidRPr="00DE113E">
        <w:t>,</w:t>
      </w:r>
      <w:r w:rsidRPr="00DE113E">
        <w:rPr>
          <w:i/>
        </w:rPr>
        <w:t xml:space="preserve"> 62</w:t>
      </w:r>
      <w:r w:rsidRPr="00DE113E">
        <w:t xml:space="preserve">(3), 1191-1203. </w:t>
      </w:r>
      <w:hyperlink r:id="rId122" w:history="1">
        <w:r w:rsidRPr="00DE113E">
          <w:rPr>
            <w:rStyle w:val="Hyperlink"/>
          </w:rPr>
          <w:t>https://doi.org/https://doi.org/10.1016/j.neuropharm.2011.04.011</w:t>
        </w:r>
      </w:hyperlink>
      <w:r w:rsidRPr="00DE113E">
        <w:t xml:space="preserve"> </w:t>
      </w:r>
      <w:bookmarkEnd w:id="112"/>
    </w:p>
    <w:p w14:paraId="42DE945E" w14:textId="53163AA3" w:rsidR="00DE113E" w:rsidRPr="00EF5663" w:rsidRDefault="00DE113E" w:rsidP="00DE113E">
      <w:pPr>
        <w:pStyle w:val="EndNoteBibliography"/>
        <w:spacing w:after="0"/>
        <w:ind w:left="720" w:hanging="720"/>
        <w:rPr>
          <w:lang w:val="it-IT"/>
        </w:rPr>
      </w:pPr>
      <w:bookmarkStart w:id="113" w:name="_ENREF_35"/>
      <w:r w:rsidRPr="00DE113E">
        <w:t xml:space="preserve">Button, K. S., Ioannidis, J. P. A., Mokrysz, C., Nosek, B. A., Flint, J., Robinson, E. S. J., &amp; Munafò, M. R. (2013). Power failure: why small sample size undermines the </w:t>
      </w:r>
      <w:r w:rsidRPr="00DE113E">
        <w:lastRenderedPageBreak/>
        <w:t xml:space="preserve">reliability of neuroscience. </w:t>
      </w:r>
      <w:r w:rsidRPr="00EF5663">
        <w:rPr>
          <w:i/>
          <w:lang w:val="it-IT"/>
        </w:rPr>
        <w:t>Nature Reviews Neuroscience</w:t>
      </w:r>
      <w:r w:rsidRPr="00EF5663">
        <w:rPr>
          <w:lang w:val="it-IT"/>
        </w:rPr>
        <w:t>,</w:t>
      </w:r>
      <w:r w:rsidRPr="00EF5663">
        <w:rPr>
          <w:i/>
          <w:lang w:val="it-IT"/>
        </w:rPr>
        <w:t xml:space="preserve"> 14</w:t>
      </w:r>
      <w:r w:rsidRPr="00EF5663">
        <w:rPr>
          <w:lang w:val="it-IT"/>
        </w:rPr>
        <w:t xml:space="preserve">(5), 365-376. </w:t>
      </w:r>
      <w:hyperlink r:id="rId123" w:history="1">
        <w:r w:rsidRPr="00EF5663">
          <w:rPr>
            <w:rStyle w:val="Hyperlink"/>
            <w:lang w:val="it-IT"/>
          </w:rPr>
          <w:t>https://doi.org/10.1038/nrn3475</w:t>
        </w:r>
      </w:hyperlink>
      <w:r w:rsidRPr="00EF5663">
        <w:rPr>
          <w:lang w:val="it-IT"/>
        </w:rPr>
        <w:t xml:space="preserve"> </w:t>
      </w:r>
      <w:bookmarkEnd w:id="113"/>
    </w:p>
    <w:p w14:paraId="394E000D" w14:textId="3C3CE7F6" w:rsidR="00DE113E" w:rsidRPr="00DE113E" w:rsidRDefault="00DE113E" w:rsidP="00DE113E">
      <w:pPr>
        <w:pStyle w:val="EndNoteBibliography"/>
        <w:spacing w:after="0"/>
        <w:ind w:left="720" w:hanging="720"/>
      </w:pPr>
      <w:bookmarkStart w:id="114" w:name="_ENREF_36"/>
      <w:r w:rsidRPr="00EF5663">
        <w:rPr>
          <w:lang w:val="it-IT"/>
        </w:rPr>
        <w:t xml:space="preserve">Cacciamani, F., Salvadori, N., Eusebi, P., Lisetti, V., Luchetti, E., Calabresi, P., &amp; Parnetti, L. (2017). </w:t>
      </w:r>
      <w:r w:rsidRPr="00DE113E">
        <w:t xml:space="preserve">Evidence of Practice Effect in CANTAB Spatial Working Memory Test in a Cohort of Patients With Mild Cognitive Impairment. </w:t>
      </w:r>
      <w:r w:rsidRPr="00DE113E">
        <w:rPr>
          <w:i/>
        </w:rPr>
        <w:t>Applied Neuropsychology Adult</w:t>
      </w:r>
      <w:r w:rsidRPr="00DE113E">
        <w:t>,</w:t>
      </w:r>
      <w:r w:rsidRPr="00DE113E">
        <w:rPr>
          <w:i/>
        </w:rPr>
        <w:t xml:space="preserve"> 25</w:t>
      </w:r>
      <w:r w:rsidRPr="00DE113E">
        <w:t xml:space="preserve">(3), 237-248. </w:t>
      </w:r>
      <w:hyperlink r:id="rId124" w:history="1">
        <w:r w:rsidRPr="00DE113E">
          <w:rPr>
            <w:rStyle w:val="Hyperlink"/>
          </w:rPr>
          <w:t>https://doi.org/10.1080/23279095.2017.1286346</w:t>
        </w:r>
      </w:hyperlink>
      <w:r w:rsidRPr="00DE113E">
        <w:t xml:space="preserve"> </w:t>
      </w:r>
      <w:bookmarkEnd w:id="114"/>
    </w:p>
    <w:p w14:paraId="11950A71" w14:textId="3C2849C8" w:rsidR="00DE113E" w:rsidRPr="00EF5663" w:rsidRDefault="00DE113E" w:rsidP="00DE113E">
      <w:pPr>
        <w:pStyle w:val="EndNoteBibliography"/>
        <w:spacing w:after="0"/>
        <w:ind w:left="720" w:hanging="720"/>
        <w:rPr>
          <w:lang w:val="it-IT"/>
        </w:rPr>
      </w:pPr>
      <w:bookmarkStart w:id="115" w:name="_ENREF_37"/>
      <w:r w:rsidRPr="00DE113E">
        <w:t xml:space="preserve">Calkin, C. V., Chengappa, K. N. R., Cairns, K., Cookey, J., Gannon, J., Alda, M., O'Donovan, C., Reardon, C., Sanches, M., &amp; Růzicková, M. (2022). Treating Insulin Resistance With Metformin as a Strategy to Improve Clinical Outcomes in Treatment-Resistant Bipolar Depression (the TRIO-BD Study): A Randomized, Quadruple-Masked, Placebo-Controlled Clinical Trial. </w:t>
      </w:r>
      <w:r w:rsidRPr="00EF5663">
        <w:rPr>
          <w:i/>
          <w:lang w:val="it-IT"/>
        </w:rPr>
        <w:t>J Clin Psychiatry</w:t>
      </w:r>
      <w:r w:rsidRPr="00EF5663">
        <w:rPr>
          <w:lang w:val="it-IT"/>
        </w:rPr>
        <w:t>,</w:t>
      </w:r>
      <w:r w:rsidRPr="00EF5663">
        <w:rPr>
          <w:i/>
          <w:lang w:val="it-IT"/>
        </w:rPr>
        <w:t xml:space="preserve"> 83</w:t>
      </w:r>
      <w:r w:rsidRPr="00EF5663">
        <w:rPr>
          <w:lang w:val="it-IT"/>
        </w:rPr>
        <w:t xml:space="preserve">(2). </w:t>
      </w:r>
      <w:hyperlink r:id="rId125" w:history="1">
        <w:r w:rsidRPr="00EF5663">
          <w:rPr>
            <w:rStyle w:val="Hyperlink"/>
            <w:lang w:val="it-IT"/>
          </w:rPr>
          <w:t>https://doi.org/10.4088/JCP.21m14022</w:t>
        </w:r>
      </w:hyperlink>
      <w:r w:rsidRPr="00EF5663">
        <w:rPr>
          <w:lang w:val="it-IT"/>
        </w:rPr>
        <w:t xml:space="preserve"> </w:t>
      </w:r>
      <w:bookmarkEnd w:id="115"/>
    </w:p>
    <w:p w14:paraId="5E3FE091" w14:textId="47433FFC" w:rsidR="00DE113E" w:rsidRPr="00DE113E" w:rsidRDefault="00DE113E" w:rsidP="00DE113E">
      <w:pPr>
        <w:pStyle w:val="EndNoteBibliography"/>
        <w:spacing w:after="0"/>
        <w:ind w:left="720" w:hanging="720"/>
      </w:pPr>
      <w:bookmarkStart w:id="116" w:name="_ENREF_38"/>
      <w:r w:rsidRPr="00EF5663">
        <w:rPr>
          <w:lang w:val="it-IT"/>
        </w:rPr>
        <w:t xml:space="preserve">Campos‐Magdaleno, M., Leiva, D., Pereiro, A. X., Lojo‐Seoane, C., Mallo, S. C., Facal, D., &amp; Juncos‐Rabadán, O. (2020). </w:t>
      </w:r>
      <w:r w:rsidRPr="00DE113E">
        <w:t xml:space="preserve">Changes in Visual Memory in Mild Cognitive Impairment: A Longitudinal Study With CANTAB. </w:t>
      </w:r>
      <w:r w:rsidRPr="00DE113E">
        <w:rPr>
          <w:i/>
        </w:rPr>
        <w:t>Psychological Medicine</w:t>
      </w:r>
      <w:r w:rsidRPr="00DE113E">
        <w:t>,</w:t>
      </w:r>
      <w:r w:rsidRPr="00DE113E">
        <w:rPr>
          <w:i/>
        </w:rPr>
        <w:t xml:space="preserve"> 51</w:t>
      </w:r>
      <w:r w:rsidRPr="00DE113E">
        <w:t xml:space="preserve">(14), 2465-2475. </w:t>
      </w:r>
      <w:hyperlink r:id="rId126" w:history="1">
        <w:r w:rsidRPr="00DE113E">
          <w:rPr>
            <w:rStyle w:val="Hyperlink"/>
          </w:rPr>
          <w:t>https://doi.org/10.1017/s0033291720001142</w:t>
        </w:r>
      </w:hyperlink>
      <w:r w:rsidRPr="00DE113E">
        <w:t xml:space="preserve"> </w:t>
      </w:r>
      <w:bookmarkEnd w:id="116"/>
    </w:p>
    <w:p w14:paraId="46A494E9" w14:textId="386244B8" w:rsidR="00DE113E" w:rsidRPr="00DE113E" w:rsidRDefault="00DE113E" w:rsidP="00DE113E">
      <w:pPr>
        <w:pStyle w:val="EndNoteBibliography"/>
        <w:spacing w:after="0"/>
        <w:ind w:left="720" w:hanging="720"/>
      </w:pPr>
      <w:bookmarkStart w:id="117" w:name="_ENREF_39"/>
      <w:r w:rsidRPr="00DE113E">
        <w:t xml:space="preserve">Carrillo, P., Rey, R., Padovan, C., Herrmann, M., &amp; Dorey, J.-M. (2022). Association Between Mild Neurocognitive Disorder Due to Alzheimer’s Disease and Possible Attention-deficit/Hyperactivity Disorder: A Case Report. </w:t>
      </w:r>
      <w:r w:rsidRPr="00DE113E">
        <w:rPr>
          <w:i/>
        </w:rPr>
        <w:t>Journal of Psychiatric Practice®</w:t>
      </w:r>
      <w:r w:rsidRPr="00DE113E">
        <w:t>,</w:t>
      </w:r>
      <w:r w:rsidRPr="00DE113E">
        <w:rPr>
          <w:i/>
        </w:rPr>
        <w:t xml:space="preserve"> 28</w:t>
      </w:r>
      <w:r w:rsidRPr="00DE113E">
        <w:t xml:space="preserve">(3), 251-258. </w:t>
      </w:r>
      <w:hyperlink r:id="rId127" w:history="1">
        <w:r w:rsidRPr="00DE113E">
          <w:rPr>
            <w:rStyle w:val="Hyperlink"/>
          </w:rPr>
          <w:t>https://doi.org/10.1097/pra.0000000000000627</w:t>
        </w:r>
      </w:hyperlink>
      <w:r w:rsidRPr="00DE113E">
        <w:t xml:space="preserve"> </w:t>
      </w:r>
      <w:bookmarkEnd w:id="117"/>
    </w:p>
    <w:p w14:paraId="1CDD0215" w14:textId="22C11FBB" w:rsidR="00DE113E" w:rsidRPr="00DE113E" w:rsidRDefault="00DE113E" w:rsidP="00DE113E">
      <w:pPr>
        <w:pStyle w:val="EndNoteBibliography"/>
        <w:spacing w:after="0"/>
        <w:ind w:left="720" w:hanging="720"/>
      </w:pPr>
      <w:bookmarkStart w:id="118" w:name="_ENREF_40"/>
      <w:r w:rsidRPr="00DE113E">
        <w:t xml:space="preserve">Celone, K., Calhoun, V. D., Dickerson, B. C., Atri, A., Chua, E. F., Miller, S. L., DePeau, K. M., Rentz, D., Selkoe, D. J., Blacker, D., Albert, M., &amp; Sperling, R. A. (2006). Alterations in Memory Networks in Mild Cognitive Impairment and Alzheimer's Disease: An Independent Component Analysis. </w:t>
      </w:r>
      <w:r w:rsidRPr="00DE113E">
        <w:rPr>
          <w:i/>
        </w:rPr>
        <w:t>Journal of Neuroscience</w:t>
      </w:r>
      <w:r w:rsidRPr="00DE113E">
        <w:t>,</w:t>
      </w:r>
      <w:r w:rsidRPr="00DE113E">
        <w:rPr>
          <w:i/>
        </w:rPr>
        <w:t xml:space="preserve"> 26</w:t>
      </w:r>
      <w:r w:rsidRPr="00DE113E">
        <w:t xml:space="preserve">(40), 10222-10231. </w:t>
      </w:r>
      <w:hyperlink r:id="rId128" w:history="1">
        <w:r w:rsidRPr="00DE113E">
          <w:rPr>
            <w:rStyle w:val="Hyperlink"/>
          </w:rPr>
          <w:t>https://doi.org/10.1523/jneurosci.2250-06.2006</w:t>
        </w:r>
      </w:hyperlink>
      <w:r w:rsidRPr="00DE113E">
        <w:t xml:space="preserve"> </w:t>
      </w:r>
      <w:bookmarkEnd w:id="118"/>
    </w:p>
    <w:p w14:paraId="1CE0DAC9" w14:textId="6B8C919E" w:rsidR="00DE113E" w:rsidRPr="00DE113E" w:rsidRDefault="00DE113E" w:rsidP="00DE113E">
      <w:pPr>
        <w:pStyle w:val="EndNoteBibliography"/>
        <w:spacing w:after="0"/>
        <w:ind w:left="720" w:hanging="720"/>
      </w:pPr>
      <w:bookmarkStart w:id="119" w:name="_ENREF_41"/>
      <w:r w:rsidRPr="00DE113E">
        <w:t xml:space="preserve">Chambers, C., Payne, J. M., Stokes, M. G., &amp; Mattingley, J. B. (2004). Fast and Slow Parietal Pathways Mediate Spatial Attention. </w:t>
      </w:r>
      <w:r w:rsidRPr="00DE113E">
        <w:rPr>
          <w:i/>
        </w:rPr>
        <w:t>Nature Neuroscience</w:t>
      </w:r>
      <w:r w:rsidRPr="00DE113E">
        <w:t>,</w:t>
      </w:r>
      <w:r w:rsidRPr="00DE113E">
        <w:rPr>
          <w:i/>
        </w:rPr>
        <w:t xml:space="preserve"> 7</w:t>
      </w:r>
      <w:r w:rsidRPr="00DE113E">
        <w:t xml:space="preserve">(3), 217-218. </w:t>
      </w:r>
      <w:hyperlink r:id="rId129" w:history="1">
        <w:r w:rsidRPr="00DE113E">
          <w:rPr>
            <w:rStyle w:val="Hyperlink"/>
          </w:rPr>
          <w:t>https://doi.org/10.1038/nn1203</w:t>
        </w:r>
      </w:hyperlink>
      <w:r w:rsidRPr="00DE113E">
        <w:t xml:space="preserve"> </w:t>
      </w:r>
      <w:bookmarkEnd w:id="119"/>
    </w:p>
    <w:p w14:paraId="1CFF72DB" w14:textId="6A24C7A4" w:rsidR="00DE113E" w:rsidRPr="00DE113E" w:rsidRDefault="00DE113E" w:rsidP="00DE113E">
      <w:pPr>
        <w:pStyle w:val="EndNoteBibliography"/>
        <w:spacing w:after="0"/>
        <w:ind w:left="720" w:hanging="720"/>
      </w:pPr>
      <w:bookmarkStart w:id="120" w:name="_ENREF_42"/>
      <w:r w:rsidRPr="00DE113E">
        <w:t xml:space="preserve">Cheataini, F., Ballout, N., &amp; Sagheer, T. A. (2023). The Effect of Neuroinflammation on the Cerebral Metabolism at Baseline and After Neural Stimulation in Neurodegenerative Diseases. </w:t>
      </w:r>
      <w:r w:rsidRPr="00DE113E">
        <w:rPr>
          <w:i/>
        </w:rPr>
        <w:t>Journal of Neuroscience Research</w:t>
      </w:r>
      <w:r w:rsidRPr="00DE113E">
        <w:t>,</w:t>
      </w:r>
      <w:r w:rsidRPr="00DE113E">
        <w:rPr>
          <w:i/>
        </w:rPr>
        <w:t xml:space="preserve"> 101</w:t>
      </w:r>
      <w:r w:rsidRPr="00DE113E">
        <w:t xml:space="preserve">(8), 1360-1379. </w:t>
      </w:r>
      <w:hyperlink r:id="rId130" w:history="1">
        <w:r w:rsidRPr="00DE113E">
          <w:rPr>
            <w:rStyle w:val="Hyperlink"/>
          </w:rPr>
          <w:t>https://doi.org/10.1002/jnr.25198</w:t>
        </w:r>
      </w:hyperlink>
      <w:r w:rsidRPr="00DE113E">
        <w:t xml:space="preserve"> </w:t>
      </w:r>
      <w:bookmarkEnd w:id="120"/>
    </w:p>
    <w:p w14:paraId="22863A9D" w14:textId="446732B5" w:rsidR="00DE113E" w:rsidRPr="00EF5663" w:rsidRDefault="00DE113E" w:rsidP="00DE113E">
      <w:pPr>
        <w:pStyle w:val="EndNoteBibliography"/>
        <w:spacing w:after="0"/>
        <w:ind w:left="720" w:hanging="720"/>
        <w:rPr>
          <w:lang w:val="it-IT"/>
        </w:rPr>
      </w:pPr>
      <w:bookmarkStart w:id="121" w:name="_ENREF_43"/>
      <w:r w:rsidRPr="00AA672C">
        <w:t xml:space="preserve">Chiamulera, C., Mantovani, E., &amp; Tamburin, S. (2021). </w:t>
      </w:r>
      <w:r w:rsidRPr="00DE113E">
        <w:t xml:space="preserve">Remote clinical trials: A timely opportunity for a virtual reality approach and its potential application in neurology. </w:t>
      </w:r>
      <w:r w:rsidRPr="00EF5663">
        <w:rPr>
          <w:i/>
          <w:lang w:val="it-IT"/>
        </w:rPr>
        <w:t>British Journal of Clinical Pharmacology</w:t>
      </w:r>
      <w:r w:rsidRPr="00EF5663">
        <w:rPr>
          <w:lang w:val="it-IT"/>
        </w:rPr>
        <w:t>,</w:t>
      </w:r>
      <w:r w:rsidRPr="00EF5663">
        <w:rPr>
          <w:i/>
          <w:lang w:val="it-IT"/>
        </w:rPr>
        <w:t xml:space="preserve"> 87</w:t>
      </w:r>
      <w:r w:rsidRPr="00EF5663">
        <w:rPr>
          <w:lang w:val="it-IT"/>
        </w:rPr>
        <w:t xml:space="preserve">(10), 3639-3642. </w:t>
      </w:r>
      <w:hyperlink r:id="rId131" w:history="1">
        <w:r w:rsidRPr="00EF5663">
          <w:rPr>
            <w:rStyle w:val="Hyperlink"/>
            <w:lang w:val="it-IT"/>
          </w:rPr>
          <w:t>https://doi.org/https://doi.org/10.1111/bcp.14922</w:t>
        </w:r>
      </w:hyperlink>
      <w:r w:rsidRPr="00EF5663">
        <w:rPr>
          <w:lang w:val="it-IT"/>
        </w:rPr>
        <w:t xml:space="preserve"> </w:t>
      </w:r>
      <w:bookmarkEnd w:id="121"/>
    </w:p>
    <w:p w14:paraId="2BE1A6F9" w14:textId="38FE036A" w:rsidR="00DE113E" w:rsidRPr="00DE113E" w:rsidRDefault="00DE113E" w:rsidP="00DE113E">
      <w:pPr>
        <w:pStyle w:val="EndNoteBibliography"/>
        <w:spacing w:after="0"/>
        <w:ind w:left="720" w:hanging="720"/>
      </w:pPr>
      <w:bookmarkStart w:id="122" w:name="_ENREF_44"/>
      <w:r w:rsidRPr="00EF5663">
        <w:rPr>
          <w:lang w:val="it-IT"/>
        </w:rPr>
        <w:t xml:space="preserve">Chipi, E., Salvadori, N., Montanucci, C., Toja, A., Siena, E., Paoletti, F. P., Bellomo, G., &amp; Parnetti, L. (2022). </w:t>
      </w:r>
      <w:r w:rsidRPr="00DE113E">
        <w:t xml:space="preserve">Subtle Cognitive Deficits Assessed by Means of CANTAB in a Cohort of Subjects With CSF AD Profile. </w:t>
      </w:r>
      <w:r w:rsidRPr="00DE113E">
        <w:rPr>
          <w:i/>
        </w:rPr>
        <w:t>Alzheimer S &amp; Dementia</w:t>
      </w:r>
      <w:r w:rsidRPr="00DE113E">
        <w:t>,</w:t>
      </w:r>
      <w:r w:rsidRPr="00DE113E">
        <w:rPr>
          <w:i/>
        </w:rPr>
        <w:t xml:space="preserve"> 18</w:t>
      </w:r>
      <w:r w:rsidRPr="00DE113E">
        <w:t xml:space="preserve">(S7). </w:t>
      </w:r>
      <w:hyperlink r:id="rId132" w:history="1">
        <w:r w:rsidRPr="00DE113E">
          <w:rPr>
            <w:rStyle w:val="Hyperlink"/>
          </w:rPr>
          <w:t>https://doi.org/10.1002/alz.068924</w:t>
        </w:r>
      </w:hyperlink>
      <w:r w:rsidRPr="00DE113E">
        <w:t xml:space="preserve"> </w:t>
      </w:r>
      <w:bookmarkEnd w:id="122"/>
    </w:p>
    <w:p w14:paraId="78A200A9" w14:textId="6F8E7804" w:rsidR="00DE113E" w:rsidRPr="00DE113E" w:rsidRDefault="00DE113E" w:rsidP="00DE113E">
      <w:pPr>
        <w:pStyle w:val="EndNoteBibliography"/>
        <w:spacing w:after="0"/>
        <w:ind w:left="720" w:hanging="720"/>
      </w:pPr>
      <w:bookmarkStart w:id="123" w:name="_ENREF_45"/>
      <w:r w:rsidRPr="00DE113E">
        <w:t xml:space="preserve">Chow, W. Z., Ong, L. K., Kluge, M. G., Gyawali, P., Walker, F. R., &amp; Nilsson, M. (2020). Similar cognitive deficits in mice and humans in the chronic phase post-stroke identified using the touchscreen-based paired-associate learning task. </w:t>
      </w:r>
      <w:r w:rsidRPr="00DE113E">
        <w:rPr>
          <w:i/>
        </w:rPr>
        <w:t>Scientific Reports</w:t>
      </w:r>
      <w:r w:rsidRPr="00DE113E">
        <w:t>,</w:t>
      </w:r>
      <w:r w:rsidRPr="00DE113E">
        <w:rPr>
          <w:i/>
        </w:rPr>
        <w:t xml:space="preserve"> 10</w:t>
      </w:r>
      <w:r w:rsidRPr="00DE113E">
        <w:t xml:space="preserve">(1), 19545. </w:t>
      </w:r>
      <w:hyperlink r:id="rId133" w:history="1">
        <w:r w:rsidRPr="00DE113E">
          <w:rPr>
            <w:rStyle w:val="Hyperlink"/>
          </w:rPr>
          <w:t>https://doi.org/10.1038/s41598-020-76560-x</w:t>
        </w:r>
      </w:hyperlink>
      <w:r w:rsidRPr="00DE113E">
        <w:t xml:space="preserve"> </w:t>
      </w:r>
      <w:bookmarkEnd w:id="123"/>
    </w:p>
    <w:p w14:paraId="41EE0CA7" w14:textId="5DE5B631" w:rsidR="00DE113E" w:rsidRPr="00DE113E" w:rsidRDefault="00DE113E" w:rsidP="00DE113E">
      <w:pPr>
        <w:pStyle w:val="EndNoteBibliography"/>
        <w:spacing w:after="0"/>
        <w:ind w:left="720" w:hanging="720"/>
      </w:pPr>
      <w:bookmarkStart w:id="124" w:name="_ENREF_46"/>
      <w:r w:rsidRPr="00DE113E">
        <w:t xml:space="preserve">Choy, K. H. C., Luo, J., Wannan, C., Laskaris, L., Merritt, A. H., Syeda, W., Sexton, P. M., Christopoulos, A., Pantelis, C., &amp; Nithianantharajah, J. (2021). Cognitive Behavioral Markers of Neurodevelopmental Trajectories in Rodents. </w:t>
      </w:r>
      <w:r w:rsidRPr="00DE113E">
        <w:rPr>
          <w:i/>
        </w:rPr>
        <w:t>Translational Psychiatry</w:t>
      </w:r>
      <w:r w:rsidRPr="00DE113E">
        <w:t>,</w:t>
      </w:r>
      <w:r w:rsidRPr="00DE113E">
        <w:rPr>
          <w:i/>
        </w:rPr>
        <w:t xml:space="preserve"> 11</w:t>
      </w:r>
      <w:r w:rsidRPr="00DE113E">
        <w:t xml:space="preserve">(1). </w:t>
      </w:r>
      <w:hyperlink r:id="rId134" w:history="1">
        <w:r w:rsidRPr="00DE113E">
          <w:rPr>
            <w:rStyle w:val="Hyperlink"/>
          </w:rPr>
          <w:t>https://doi.org/10.1038/s41398-021-01662-7</w:t>
        </w:r>
      </w:hyperlink>
      <w:r w:rsidRPr="00DE113E">
        <w:t xml:space="preserve"> </w:t>
      </w:r>
      <w:bookmarkEnd w:id="124"/>
    </w:p>
    <w:p w14:paraId="390F61E2" w14:textId="2CC91939" w:rsidR="00DE113E" w:rsidRPr="00DE113E" w:rsidRDefault="00DE113E" w:rsidP="00DE113E">
      <w:pPr>
        <w:pStyle w:val="EndNoteBibliography"/>
        <w:spacing w:after="0"/>
        <w:ind w:left="720" w:hanging="720"/>
      </w:pPr>
      <w:bookmarkStart w:id="125" w:name="_ENREF_47"/>
      <w:r w:rsidRPr="00DE113E">
        <w:t xml:space="preserve">Chulikhit, Y., Sukhano, W., Daodee, S., Putalun, W., Wongpradit, R., Khamphukdee, C., Umehara, K., Noguchi, H., Matsumoto, K., &amp; Monthakantirat, O. (2021). Effects </w:t>
      </w:r>
      <w:r w:rsidRPr="00DE113E">
        <w:lastRenderedPageBreak/>
        <w:t xml:space="preserve">of Pueraria Candollei Var Mirifica (Airy Shaw and Suvat.) Niyomdham on Ovariectomy-Induced Cognitive Impairment and Oxidative Stress in the Mouse Brain. </w:t>
      </w:r>
      <w:r w:rsidRPr="00DE113E">
        <w:rPr>
          <w:i/>
        </w:rPr>
        <w:t>Molecules</w:t>
      </w:r>
      <w:r w:rsidRPr="00DE113E">
        <w:t>,</w:t>
      </w:r>
      <w:r w:rsidRPr="00DE113E">
        <w:rPr>
          <w:i/>
        </w:rPr>
        <w:t xml:space="preserve"> 26</w:t>
      </w:r>
      <w:r w:rsidRPr="00DE113E">
        <w:t xml:space="preserve">(11), 3442. </w:t>
      </w:r>
      <w:hyperlink r:id="rId135" w:history="1">
        <w:r w:rsidRPr="00DE113E">
          <w:rPr>
            <w:rStyle w:val="Hyperlink"/>
          </w:rPr>
          <w:t>https://doi.org/10.3390/molecules26113442</w:t>
        </w:r>
      </w:hyperlink>
      <w:r w:rsidRPr="00DE113E">
        <w:t xml:space="preserve"> </w:t>
      </w:r>
      <w:bookmarkEnd w:id="125"/>
    </w:p>
    <w:p w14:paraId="6EF2AB04" w14:textId="57AAD68A" w:rsidR="00DE113E" w:rsidRPr="00DE113E" w:rsidRDefault="00DE113E" w:rsidP="00DE113E">
      <w:pPr>
        <w:pStyle w:val="EndNoteBibliography"/>
        <w:spacing w:after="0"/>
        <w:ind w:left="720" w:hanging="720"/>
      </w:pPr>
      <w:bookmarkStart w:id="126" w:name="_ENREF_48"/>
      <w:r w:rsidRPr="00DE113E">
        <w:t xml:space="preserve">Chung, W. S., Welsh, C. A., Barres, B. A., &amp; Stevens, B. (2015). Do Glia Drive Synaptic and Cognitive Impairment in Disease? </w:t>
      </w:r>
      <w:r w:rsidRPr="00DE113E">
        <w:rPr>
          <w:i/>
        </w:rPr>
        <w:t>Nature Neuroscience</w:t>
      </w:r>
      <w:r w:rsidRPr="00DE113E">
        <w:t>,</w:t>
      </w:r>
      <w:r w:rsidRPr="00DE113E">
        <w:rPr>
          <w:i/>
        </w:rPr>
        <w:t xml:space="preserve"> 18</w:t>
      </w:r>
      <w:r w:rsidRPr="00DE113E">
        <w:t xml:space="preserve">(11), 1539-1545. </w:t>
      </w:r>
      <w:hyperlink r:id="rId136" w:history="1">
        <w:r w:rsidRPr="00DE113E">
          <w:rPr>
            <w:rStyle w:val="Hyperlink"/>
          </w:rPr>
          <w:t>https://doi.org/10.1038/nn.4142</w:t>
        </w:r>
      </w:hyperlink>
      <w:r w:rsidRPr="00DE113E">
        <w:t xml:space="preserve"> </w:t>
      </w:r>
      <w:bookmarkEnd w:id="126"/>
    </w:p>
    <w:p w14:paraId="4C29A713" w14:textId="3EF5E2AA" w:rsidR="00DE113E" w:rsidRPr="00DE113E" w:rsidRDefault="00DE113E" w:rsidP="00DE113E">
      <w:pPr>
        <w:pStyle w:val="EndNoteBibliography"/>
        <w:spacing w:after="0"/>
        <w:ind w:left="720" w:hanging="720"/>
      </w:pPr>
      <w:bookmarkStart w:id="127" w:name="_ENREF_49"/>
      <w:r w:rsidRPr="00DE113E">
        <w:t xml:space="preserve">Clohessy, J. G., &amp; Pandolfi, P. P. (2015). Mouse hospital and co-clinical trial project—from bench to bedside. </w:t>
      </w:r>
      <w:r w:rsidRPr="00DE113E">
        <w:rPr>
          <w:i/>
        </w:rPr>
        <w:t>Nature Reviews Clinical Oncology</w:t>
      </w:r>
      <w:r w:rsidRPr="00DE113E">
        <w:t>,</w:t>
      </w:r>
      <w:r w:rsidRPr="00DE113E">
        <w:rPr>
          <w:i/>
        </w:rPr>
        <w:t xml:space="preserve"> 12</w:t>
      </w:r>
      <w:r w:rsidRPr="00DE113E">
        <w:t xml:space="preserve">(8), 491-498. </w:t>
      </w:r>
      <w:hyperlink r:id="rId137" w:history="1">
        <w:r w:rsidRPr="00DE113E">
          <w:rPr>
            <w:rStyle w:val="Hyperlink"/>
          </w:rPr>
          <w:t>https://doi.org/10.1038/nrclinonc.2015.62</w:t>
        </w:r>
      </w:hyperlink>
      <w:r w:rsidRPr="00DE113E">
        <w:t xml:space="preserve"> </w:t>
      </w:r>
      <w:bookmarkEnd w:id="127"/>
    </w:p>
    <w:p w14:paraId="4CE66174" w14:textId="56E12500" w:rsidR="00DE113E" w:rsidRPr="00DE113E" w:rsidRDefault="00DE113E" w:rsidP="00DE113E">
      <w:pPr>
        <w:pStyle w:val="EndNoteBibliography"/>
        <w:spacing w:after="0"/>
        <w:ind w:left="720" w:hanging="720"/>
      </w:pPr>
      <w:bookmarkStart w:id="128" w:name="_ENREF_50"/>
      <w:r w:rsidRPr="00DE113E">
        <w:t xml:space="preserve">Colavitta, M. F., &amp; Barrantes, F. J. (2023). Therapeutic Strategies Aimed at Improving Neuroplasticity in Alzheimer Disease. </w:t>
      </w:r>
      <w:r w:rsidRPr="00DE113E">
        <w:rPr>
          <w:i/>
        </w:rPr>
        <w:t>Pharmaceutics</w:t>
      </w:r>
      <w:r w:rsidRPr="00DE113E">
        <w:t>,</w:t>
      </w:r>
      <w:r w:rsidRPr="00DE113E">
        <w:rPr>
          <w:i/>
        </w:rPr>
        <w:t xml:space="preserve"> 15</w:t>
      </w:r>
      <w:r w:rsidRPr="00DE113E">
        <w:t xml:space="preserve">(8), 2052. </w:t>
      </w:r>
      <w:hyperlink r:id="rId138" w:history="1">
        <w:r w:rsidRPr="00DE113E">
          <w:rPr>
            <w:rStyle w:val="Hyperlink"/>
          </w:rPr>
          <w:t>https://doi.org/10.3390/pharmaceutics15082052</w:t>
        </w:r>
      </w:hyperlink>
      <w:r w:rsidRPr="00DE113E">
        <w:t xml:space="preserve"> </w:t>
      </w:r>
      <w:bookmarkEnd w:id="128"/>
    </w:p>
    <w:p w14:paraId="4C2211F0" w14:textId="4FADA5AD" w:rsidR="00DE113E" w:rsidRPr="00DE113E" w:rsidRDefault="00DE113E" w:rsidP="00DE113E">
      <w:pPr>
        <w:pStyle w:val="EndNoteBibliography"/>
        <w:spacing w:after="0"/>
        <w:ind w:left="720" w:hanging="720"/>
      </w:pPr>
      <w:bookmarkStart w:id="129" w:name="_ENREF_51"/>
      <w:r w:rsidRPr="00DE113E">
        <w:t xml:space="preserve">Connolly, J. D., Kentridge, R. W., &amp; Cavina‐Pratesi, C. (2015). Coding of Attention Across the Human Intraparietal Sulcus. </w:t>
      </w:r>
      <w:r w:rsidRPr="00DE113E">
        <w:rPr>
          <w:i/>
        </w:rPr>
        <w:t>Experimental Brain Research</w:t>
      </w:r>
      <w:r w:rsidRPr="00DE113E">
        <w:t>,</w:t>
      </w:r>
      <w:r w:rsidRPr="00DE113E">
        <w:rPr>
          <w:i/>
        </w:rPr>
        <w:t xml:space="preserve"> 234</w:t>
      </w:r>
      <w:r w:rsidRPr="00DE113E">
        <w:t xml:space="preserve">(3), 917-930. </w:t>
      </w:r>
      <w:hyperlink r:id="rId139" w:history="1">
        <w:r w:rsidRPr="00DE113E">
          <w:rPr>
            <w:rStyle w:val="Hyperlink"/>
          </w:rPr>
          <w:t>https://doi.org/10.1007/s00221-015-4507-2</w:t>
        </w:r>
      </w:hyperlink>
      <w:r w:rsidRPr="00DE113E">
        <w:t xml:space="preserve"> </w:t>
      </w:r>
      <w:bookmarkEnd w:id="129"/>
    </w:p>
    <w:p w14:paraId="69D8633D" w14:textId="5DB6FAF8" w:rsidR="00DE113E" w:rsidRPr="00DE113E" w:rsidRDefault="00DE113E" w:rsidP="00DE113E">
      <w:pPr>
        <w:pStyle w:val="EndNoteBibliography"/>
        <w:spacing w:after="0"/>
        <w:ind w:left="720" w:hanging="720"/>
      </w:pPr>
      <w:bookmarkStart w:id="130" w:name="_ENREF_52"/>
      <w:r w:rsidRPr="00DE113E">
        <w:t xml:space="preserve">Corbetta, M., &amp; Shulman, G. L. (2002). Control of goal-directed and stimulus-driven attention in the brain. </w:t>
      </w:r>
      <w:r w:rsidRPr="00DE113E">
        <w:rPr>
          <w:i/>
        </w:rPr>
        <w:t>Nature Reviews Neuroscience</w:t>
      </w:r>
      <w:r w:rsidRPr="00DE113E">
        <w:t>,</w:t>
      </w:r>
      <w:r w:rsidRPr="00DE113E">
        <w:rPr>
          <w:i/>
        </w:rPr>
        <w:t xml:space="preserve"> 3</w:t>
      </w:r>
      <w:r w:rsidRPr="00DE113E">
        <w:t xml:space="preserve">(3), 201-215. </w:t>
      </w:r>
      <w:hyperlink r:id="rId140" w:history="1">
        <w:r w:rsidRPr="00DE113E">
          <w:rPr>
            <w:rStyle w:val="Hyperlink"/>
          </w:rPr>
          <w:t>https://doi.org/10.1038/nrn755</w:t>
        </w:r>
      </w:hyperlink>
      <w:r w:rsidRPr="00DE113E">
        <w:t xml:space="preserve"> </w:t>
      </w:r>
      <w:bookmarkEnd w:id="130"/>
    </w:p>
    <w:p w14:paraId="7471F0D8" w14:textId="1EEDA95C" w:rsidR="00DE113E" w:rsidRPr="00DE113E" w:rsidRDefault="00DE113E" w:rsidP="00DE113E">
      <w:pPr>
        <w:pStyle w:val="EndNoteBibliography"/>
        <w:spacing w:after="0"/>
        <w:ind w:left="720" w:hanging="720"/>
      </w:pPr>
      <w:bookmarkStart w:id="131" w:name="_ENREF_53"/>
      <w:r w:rsidRPr="00DE113E">
        <w:t xml:space="preserve">Coutlee, C. G., &amp; Huettel, S. A. (2012). The Functional Neuroanatomy of Decision Making: Prefrontal Control of Thought and Action. </w:t>
      </w:r>
      <w:r w:rsidRPr="00DE113E">
        <w:rPr>
          <w:i/>
        </w:rPr>
        <w:t>Brain Research</w:t>
      </w:r>
      <w:r w:rsidRPr="00DE113E">
        <w:t>,</w:t>
      </w:r>
      <w:r w:rsidRPr="00DE113E">
        <w:rPr>
          <w:i/>
        </w:rPr>
        <w:t xml:space="preserve"> 1428</w:t>
      </w:r>
      <w:r w:rsidRPr="00DE113E">
        <w:t xml:space="preserve">, 3-12. </w:t>
      </w:r>
      <w:hyperlink r:id="rId141" w:history="1">
        <w:r w:rsidRPr="00DE113E">
          <w:rPr>
            <w:rStyle w:val="Hyperlink"/>
          </w:rPr>
          <w:t>https://doi.org/10.1016/j.brainres.2011.05.053</w:t>
        </w:r>
      </w:hyperlink>
      <w:r w:rsidRPr="00DE113E">
        <w:t xml:space="preserve"> </w:t>
      </w:r>
      <w:bookmarkEnd w:id="131"/>
    </w:p>
    <w:p w14:paraId="34544A42" w14:textId="261587D3" w:rsidR="00DE113E" w:rsidRPr="00DE113E" w:rsidRDefault="00DE113E" w:rsidP="00DE113E">
      <w:pPr>
        <w:pStyle w:val="EndNoteBibliography"/>
        <w:spacing w:after="0"/>
        <w:ind w:left="720" w:hanging="720"/>
      </w:pPr>
      <w:bookmarkStart w:id="132" w:name="_ENREF_54"/>
      <w:r w:rsidRPr="00DE113E">
        <w:t xml:space="preserve">Cowan, N. (2014). Working Memory Underpins Cognitive Development, Learning, and Education. </w:t>
      </w:r>
      <w:r w:rsidRPr="00DE113E">
        <w:rPr>
          <w:i/>
        </w:rPr>
        <w:t>Educ Psychol Rev</w:t>
      </w:r>
      <w:r w:rsidRPr="00DE113E">
        <w:t>,</w:t>
      </w:r>
      <w:r w:rsidRPr="00DE113E">
        <w:rPr>
          <w:i/>
        </w:rPr>
        <w:t xml:space="preserve"> 26</w:t>
      </w:r>
      <w:r w:rsidRPr="00DE113E">
        <w:t xml:space="preserve">(2), 197-223. </w:t>
      </w:r>
      <w:hyperlink r:id="rId142" w:history="1">
        <w:r w:rsidRPr="00DE113E">
          <w:rPr>
            <w:rStyle w:val="Hyperlink"/>
          </w:rPr>
          <w:t>https://doi.org/10.1007/s10648-013-9246-y</w:t>
        </w:r>
      </w:hyperlink>
      <w:r w:rsidRPr="00DE113E">
        <w:t xml:space="preserve"> </w:t>
      </w:r>
      <w:bookmarkEnd w:id="132"/>
    </w:p>
    <w:p w14:paraId="372AC701" w14:textId="72F28E9F" w:rsidR="00DE113E" w:rsidRPr="00DE113E" w:rsidRDefault="00DE113E" w:rsidP="00DE113E">
      <w:pPr>
        <w:pStyle w:val="EndNoteBibliography"/>
        <w:spacing w:after="0"/>
        <w:ind w:left="720" w:hanging="720"/>
      </w:pPr>
      <w:bookmarkStart w:id="133" w:name="_ENREF_55"/>
      <w:r w:rsidRPr="00DE113E">
        <w:t xml:space="preserve">Das, A., &amp; Menon, V. (2024). Frequency-Specific Directed Connectivity Between the Hippocampus and Parietal Cortex During Verbal and Spatial Episodic Memory: An Intracranial EEG Replication. </w:t>
      </w:r>
      <w:r w:rsidRPr="00DE113E">
        <w:rPr>
          <w:i/>
        </w:rPr>
        <w:t>Cerebral Cortex</w:t>
      </w:r>
      <w:r w:rsidRPr="00DE113E">
        <w:t>,</w:t>
      </w:r>
      <w:r w:rsidRPr="00DE113E">
        <w:rPr>
          <w:i/>
        </w:rPr>
        <w:t xml:space="preserve"> 34</w:t>
      </w:r>
      <w:r w:rsidRPr="00DE113E">
        <w:t xml:space="preserve">(7). </w:t>
      </w:r>
      <w:hyperlink r:id="rId143" w:history="1">
        <w:r w:rsidRPr="00DE113E">
          <w:rPr>
            <w:rStyle w:val="Hyperlink"/>
          </w:rPr>
          <w:t>https://doi.org/10.1093/cercor/bhae287</w:t>
        </w:r>
      </w:hyperlink>
      <w:r w:rsidRPr="00DE113E">
        <w:t xml:space="preserve"> </w:t>
      </w:r>
      <w:bookmarkEnd w:id="133"/>
    </w:p>
    <w:p w14:paraId="5B6919E2" w14:textId="2914F8E4" w:rsidR="00DE113E" w:rsidRPr="00DE113E" w:rsidRDefault="00DE113E" w:rsidP="00DE113E">
      <w:pPr>
        <w:pStyle w:val="EndNoteBibliography"/>
        <w:spacing w:after="0"/>
        <w:ind w:left="720" w:hanging="720"/>
      </w:pPr>
      <w:bookmarkStart w:id="134" w:name="_ENREF_56"/>
      <w:r w:rsidRPr="00DE113E">
        <w:t xml:space="preserve">Davis, R. E., &amp; Williams, M. (2012). Mitochondrial Function and Dysfunction: An Update. </w:t>
      </w:r>
      <w:r w:rsidRPr="00DE113E">
        <w:rPr>
          <w:i/>
        </w:rPr>
        <w:t>Journal of Pharmacology and Experimental Therapeutics</w:t>
      </w:r>
      <w:r w:rsidRPr="00DE113E">
        <w:t>,</w:t>
      </w:r>
      <w:r w:rsidRPr="00DE113E">
        <w:rPr>
          <w:i/>
        </w:rPr>
        <w:t xml:space="preserve"> 342</w:t>
      </w:r>
      <w:r w:rsidRPr="00DE113E">
        <w:t xml:space="preserve">(3), 598-607. </w:t>
      </w:r>
      <w:hyperlink r:id="rId144" w:history="1">
        <w:r w:rsidRPr="00DE113E">
          <w:rPr>
            <w:rStyle w:val="Hyperlink"/>
          </w:rPr>
          <w:t>https://doi.org/10.1124/jpet.112.192104</w:t>
        </w:r>
      </w:hyperlink>
      <w:r w:rsidRPr="00DE113E">
        <w:t xml:space="preserve"> </w:t>
      </w:r>
      <w:bookmarkEnd w:id="134"/>
    </w:p>
    <w:p w14:paraId="7516176D" w14:textId="1D1894AB" w:rsidR="00DE113E" w:rsidRPr="00DE113E" w:rsidRDefault="00DE113E" w:rsidP="00DE113E">
      <w:pPr>
        <w:pStyle w:val="EndNoteBibliography"/>
        <w:spacing w:after="0"/>
        <w:ind w:left="720" w:hanging="720"/>
      </w:pPr>
      <w:bookmarkStart w:id="135" w:name="_ENREF_57"/>
      <w:r w:rsidRPr="00DE113E">
        <w:t xml:space="preserve">Decourt, M., Balado, É., Francheteau, M., Solinas, M., Benoit‐Marand, M., &amp; Fernagut, P. O. (2023). Premorbid Performances Determine the Deleterious Effects of Nigrostriatal Degeneration and Pramipexole on Behavioural Flexibility. </w:t>
      </w:r>
      <w:r w:rsidRPr="00DE113E">
        <w:rPr>
          <w:i/>
        </w:rPr>
        <w:t>NPJ Parkinson S Disease</w:t>
      </w:r>
      <w:r w:rsidRPr="00DE113E">
        <w:t>,</w:t>
      </w:r>
      <w:r w:rsidRPr="00DE113E">
        <w:rPr>
          <w:i/>
        </w:rPr>
        <w:t xml:space="preserve"> 9</w:t>
      </w:r>
      <w:r w:rsidRPr="00DE113E">
        <w:t xml:space="preserve">(1). </w:t>
      </w:r>
      <w:hyperlink r:id="rId145" w:history="1">
        <w:r w:rsidRPr="00DE113E">
          <w:rPr>
            <w:rStyle w:val="Hyperlink"/>
          </w:rPr>
          <w:t>https://doi.org/10.1038/s41531-023-00475-3</w:t>
        </w:r>
      </w:hyperlink>
      <w:r w:rsidRPr="00DE113E">
        <w:t xml:space="preserve"> </w:t>
      </w:r>
      <w:bookmarkEnd w:id="135"/>
    </w:p>
    <w:p w14:paraId="12910B27" w14:textId="247CD429" w:rsidR="00DE113E" w:rsidRPr="00DE113E" w:rsidRDefault="00DE113E" w:rsidP="00DE113E">
      <w:pPr>
        <w:pStyle w:val="EndNoteBibliography"/>
        <w:spacing w:after="0"/>
        <w:ind w:left="720" w:hanging="720"/>
      </w:pPr>
      <w:bookmarkStart w:id="136" w:name="_ENREF_58"/>
      <w:r w:rsidRPr="00DE113E">
        <w:t xml:space="preserve">Delotterie, D., Mathis, C., Cassel, J.-C., Dorner‐Ciossek, C., &amp; Marti, A. (2014). Optimization of Touchscreen-Based Behavioral Paradigms in Mice: Implications for Building a Battery of Tasks Taxing Learning and Memory Functions. </w:t>
      </w:r>
      <w:r w:rsidRPr="00DE113E">
        <w:rPr>
          <w:i/>
        </w:rPr>
        <w:t>Plos One</w:t>
      </w:r>
      <w:r w:rsidRPr="00DE113E">
        <w:t>,</w:t>
      </w:r>
      <w:r w:rsidRPr="00DE113E">
        <w:rPr>
          <w:i/>
        </w:rPr>
        <w:t xml:space="preserve"> 9</w:t>
      </w:r>
      <w:r w:rsidRPr="00DE113E">
        <w:t xml:space="preserve">(6), e100817. </w:t>
      </w:r>
      <w:hyperlink r:id="rId146" w:history="1">
        <w:r w:rsidRPr="00DE113E">
          <w:rPr>
            <w:rStyle w:val="Hyperlink"/>
          </w:rPr>
          <w:t>https://doi.org/10.1371/journal.pone.0100817</w:t>
        </w:r>
      </w:hyperlink>
      <w:r w:rsidRPr="00DE113E">
        <w:t xml:space="preserve"> </w:t>
      </w:r>
      <w:bookmarkEnd w:id="136"/>
    </w:p>
    <w:p w14:paraId="6FA7E21A" w14:textId="7C11D346" w:rsidR="00DE113E" w:rsidRPr="00DE113E" w:rsidRDefault="00DE113E" w:rsidP="00DE113E">
      <w:pPr>
        <w:pStyle w:val="EndNoteBibliography"/>
        <w:spacing w:after="0"/>
        <w:ind w:left="720" w:hanging="720"/>
      </w:pPr>
      <w:bookmarkStart w:id="137" w:name="_ENREF_59"/>
      <w:r w:rsidRPr="00DE113E">
        <w:t xml:space="preserve">Delotterie, D., Mathis, C., Cassel, J.-C., Dorner, C., &amp; Marti, A. (2014). Optimization of Touchscreen-Based Behavioral Paradigms in Mice: Implications for Building a Battery of Tasks Taxing Learning and Memory Functions. </w:t>
      </w:r>
      <w:r w:rsidRPr="00DE113E">
        <w:rPr>
          <w:i/>
        </w:rPr>
        <w:t>Plos One</w:t>
      </w:r>
      <w:r w:rsidRPr="00DE113E">
        <w:t>,</w:t>
      </w:r>
      <w:r w:rsidRPr="00DE113E">
        <w:rPr>
          <w:i/>
        </w:rPr>
        <w:t xml:space="preserve"> 9</w:t>
      </w:r>
      <w:r w:rsidRPr="00DE113E">
        <w:t xml:space="preserve">, e100817. </w:t>
      </w:r>
      <w:hyperlink r:id="rId147" w:history="1">
        <w:r w:rsidRPr="00DE113E">
          <w:rPr>
            <w:rStyle w:val="Hyperlink"/>
          </w:rPr>
          <w:t>https://doi.org/10.1371/journal.pone.0100817</w:t>
        </w:r>
      </w:hyperlink>
      <w:r w:rsidRPr="00DE113E">
        <w:t xml:space="preserve"> </w:t>
      </w:r>
      <w:bookmarkEnd w:id="137"/>
    </w:p>
    <w:p w14:paraId="62316A5E" w14:textId="6A630E5B" w:rsidR="00DE113E" w:rsidRPr="00DE113E" w:rsidRDefault="00DE113E" w:rsidP="00DE113E">
      <w:pPr>
        <w:pStyle w:val="EndNoteBibliography"/>
        <w:spacing w:after="0"/>
        <w:ind w:left="720" w:hanging="720"/>
      </w:pPr>
      <w:bookmarkStart w:id="138" w:name="_ENREF_60"/>
      <w:r w:rsidRPr="00DE113E">
        <w:t xml:space="preserve">Deslauriers, J., Toth, M., Der-Avakian, A., &amp; Risbrough, V. B. (2018). Current Status of Animal Models of Posttraumatic Stress Disorder: Behavioral and Biological Phenotypes, and Future Challenges in Improving Translation. </w:t>
      </w:r>
      <w:r w:rsidRPr="00DE113E">
        <w:rPr>
          <w:i/>
        </w:rPr>
        <w:t>Biological Psychiatry</w:t>
      </w:r>
      <w:r w:rsidRPr="00DE113E">
        <w:t>,</w:t>
      </w:r>
      <w:r w:rsidRPr="00DE113E">
        <w:rPr>
          <w:i/>
        </w:rPr>
        <w:t xml:space="preserve"> 83</w:t>
      </w:r>
      <w:r w:rsidRPr="00DE113E">
        <w:t xml:space="preserve">(10), 895-907. </w:t>
      </w:r>
      <w:hyperlink r:id="rId148" w:history="1">
        <w:r w:rsidRPr="00DE113E">
          <w:rPr>
            <w:rStyle w:val="Hyperlink"/>
          </w:rPr>
          <w:t>https://doi.org/https://doi.org/10.1016/j.biopsych.2017.11.019</w:t>
        </w:r>
      </w:hyperlink>
      <w:r w:rsidRPr="00DE113E">
        <w:t xml:space="preserve"> </w:t>
      </w:r>
      <w:bookmarkEnd w:id="138"/>
    </w:p>
    <w:p w14:paraId="4DAF02DA" w14:textId="2C1F2973" w:rsidR="00DE113E" w:rsidRPr="00DE113E" w:rsidRDefault="00DE113E" w:rsidP="00DE113E">
      <w:pPr>
        <w:pStyle w:val="EndNoteBibliography"/>
        <w:spacing w:after="0"/>
        <w:ind w:left="720" w:hanging="720"/>
      </w:pPr>
      <w:bookmarkStart w:id="139" w:name="_ENREF_61"/>
      <w:r w:rsidRPr="00DE113E">
        <w:lastRenderedPageBreak/>
        <w:t xml:space="preserve">Devore, E. E., Kang, J. H., Stampfer, M. J., &amp; Grodstein, F. (2012). The Association of Antioxidants and Cognition in the Nurses' Health Study. </w:t>
      </w:r>
      <w:r w:rsidRPr="00DE113E">
        <w:rPr>
          <w:i/>
        </w:rPr>
        <w:t>American Journal of Epidemiology</w:t>
      </w:r>
      <w:r w:rsidRPr="00DE113E">
        <w:t>,</w:t>
      </w:r>
      <w:r w:rsidRPr="00DE113E">
        <w:rPr>
          <w:i/>
        </w:rPr>
        <w:t xml:space="preserve"> 177</w:t>
      </w:r>
      <w:r w:rsidRPr="00DE113E">
        <w:t xml:space="preserve">(1), 33-41. </w:t>
      </w:r>
      <w:hyperlink r:id="rId149" w:history="1">
        <w:r w:rsidRPr="00DE113E">
          <w:rPr>
            <w:rStyle w:val="Hyperlink"/>
          </w:rPr>
          <w:t>https://doi.org/10.1093/aje/kws202</w:t>
        </w:r>
      </w:hyperlink>
      <w:r w:rsidRPr="00DE113E">
        <w:t xml:space="preserve"> </w:t>
      </w:r>
      <w:bookmarkEnd w:id="139"/>
    </w:p>
    <w:p w14:paraId="5AF2AD8B" w14:textId="50ADD1FC" w:rsidR="00DE113E" w:rsidRPr="00DE113E" w:rsidRDefault="00DE113E" w:rsidP="00DE113E">
      <w:pPr>
        <w:pStyle w:val="EndNoteBibliography"/>
        <w:spacing w:after="0"/>
        <w:ind w:left="720" w:hanging="720"/>
      </w:pPr>
      <w:bookmarkStart w:id="140" w:name="_ENREF_62"/>
      <w:r w:rsidRPr="00DE113E">
        <w:t xml:space="preserve">Dewar, A. R., Fraulini, N. W., Claypoole, V. L., &amp; Szalma, J. L. (2016). Performance in Vigilance Tasks Is Related to Both State and Contextual Motivation. </w:t>
      </w:r>
      <w:r w:rsidRPr="00DE113E">
        <w:rPr>
          <w:i/>
        </w:rPr>
        <w:t>Proceedings of the Human Factors and Ergonomics Society Annual Meeting</w:t>
      </w:r>
      <w:r w:rsidRPr="00DE113E">
        <w:t>,</w:t>
      </w:r>
      <w:r w:rsidRPr="00DE113E">
        <w:rPr>
          <w:i/>
        </w:rPr>
        <w:t xml:space="preserve"> 60</w:t>
      </w:r>
      <w:r w:rsidRPr="00DE113E">
        <w:t xml:space="preserve">(1), 1145-1149. </w:t>
      </w:r>
      <w:hyperlink r:id="rId150" w:history="1">
        <w:r w:rsidRPr="00DE113E">
          <w:rPr>
            <w:rStyle w:val="Hyperlink"/>
          </w:rPr>
          <w:t>https://doi.org/10.1177/1541931213601268</w:t>
        </w:r>
      </w:hyperlink>
      <w:r w:rsidRPr="00DE113E">
        <w:t xml:space="preserve"> </w:t>
      </w:r>
      <w:bookmarkEnd w:id="140"/>
    </w:p>
    <w:p w14:paraId="1DCE2480" w14:textId="4D192B3F" w:rsidR="00DE113E" w:rsidRPr="00DE113E" w:rsidRDefault="00DE113E" w:rsidP="00DE113E">
      <w:pPr>
        <w:pStyle w:val="EndNoteBibliography"/>
        <w:spacing w:after="0"/>
        <w:ind w:left="720" w:hanging="720"/>
      </w:pPr>
      <w:bookmarkStart w:id="141" w:name="_ENREF_63"/>
      <w:r w:rsidRPr="00DE113E">
        <w:t xml:space="preserve">Dias, I., Baumann, C. R., &amp; Noaín, D. (2024). mCLAS Adaptively Rescues Disease-Specific Sleep and Wake Phenotypes in Neurodegeneration. </w:t>
      </w:r>
      <w:hyperlink r:id="rId151" w:history="1">
        <w:r w:rsidRPr="00DE113E">
          <w:rPr>
            <w:rStyle w:val="Hyperlink"/>
          </w:rPr>
          <w:t>https://doi.org/10.1101/2024.08.20.608757</w:t>
        </w:r>
      </w:hyperlink>
      <w:r w:rsidRPr="00DE113E">
        <w:t xml:space="preserve"> </w:t>
      </w:r>
      <w:bookmarkEnd w:id="141"/>
    </w:p>
    <w:p w14:paraId="56A0C023" w14:textId="162F0536" w:rsidR="00DE113E" w:rsidRPr="00DE113E" w:rsidRDefault="00DE113E" w:rsidP="00DE113E">
      <w:pPr>
        <w:pStyle w:val="EndNoteBibliography"/>
        <w:spacing w:after="0"/>
        <w:ind w:left="720" w:hanging="720"/>
      </w:pPr>
      <w:bookmarkStart w:id="142" w:name="_ENREF_64"/>
      <w:r w:rsidRPr="00EF5663">
        <w:rPr>
          <w:lang w:val="it-IT"/>
        </w:rPr>
        <w:t xml:space="preserve">Ding, M., Qiu, C., Rizzuto, D., Grande, G., &amp; Fratiglioni, L. (2020). </w:t>
      </w:r>
      <w:r w:rsidRPr="00DE113E">
        <w:t xml:space="preserve">Tracing temporal trends in dementia incidence over 25 years in central Stockholm, Sweden. </w:t>
      </w:r>
      <w:r w:rsidRPr="00DE113E">
        <w:rPr>
          <w:i/>
        </w:rPr>
        <w:t>Alzheimer's &amp; Dementia</w:t>
      </w:r>
      <w:r w:rsidRPr="00DE113E">
        <w:t>,</w:t>
      </w:r>
      <w:r w:rsidRPr="00DE113E">
        <w:rPr>
          <w:i/>
        </w:rPr>
        <w:t xml:space="preserve"> 16</w:t>
      </w:r>
      <w:r w:rsidRPr="00DE113E">
        <w:t xml:space="preserve">(5), 770-778. </w:t>
      </w:r>
      <w:hyperlink r:id="rId152" w:history="1">
        <w:r w:rsidRPr="00DE113E">
          <w:rPr>
            <w:rStyle w:val="Hyperlink"/>
          </w:rPr>
          <w:t>https://doi.org/https://doi.org/10.1002/alz.12073</w:t>
        </w:r>
      </w:hyperlink>
      <w:r w:rsidRPr="00DE113E">
        <w:t xml:space="preserve"> </w:t>
      </w:r>
      <w:bookmarkEnd w:id="142"/>
    </w:p>
    <w:p w14:paraId="2C12053C" w14:textId="0291C1B5" w:rsidR="00DE113E" w:rsidRPr="00DE113E" w:rsidRDefault="00DE113E" w:rsidP="00DE113E">
      <w:pPr>
        <w:pStyle w:val="EndNoteBibliography"/>
        <w:spacing w:after="0"/>
        <w:ind w:left="720" w:hanging="720"/>
      </w:pPr>
      <w:bookmarkStart w:id="143" w:name="_ENREF_65"/>
      <w:r w:rsidRPr="00DE113E">
        <w:t xml:space="preserve">Dixon, J. S., Coyne, A. E., Duff, K., &amp; Ready, R. E. (2021). Predictors of Cognitive Decline in a Multi-Racial Sample of Midlife Women: A Longitudinal Study. </w:t>
      </w:r>
      <w:r w:rsidRPr="00DE113E">
        <w:rPr>
          <w:i/>
        </w:rPr>
        <w:t>Neuropsychology</w:t>
      </w:r>
      <w:r w:rsidRPr="00DE113E">
        <w:t>,</w:t>
      </w:r>
      <w:r w:rsidRPr="00DE113E">
        <w:rPr>
          <w:i/>
        </w:rPr>
        <w:t xml:space="preserve"> 35</w:t>
      </w:r>
      <w:r w:rsidRPr="00DE113E">
        <w:t xml:space="preserve">(5), 514-528. </w:t>
      </w:r>
      <w:hyperlink r:id="rId153" w:history="1">
        <w:r w:rsidRPr="00DE113E">
          <w:rPr>
            <w:rStyle w:val="Hyperlink"/>
          </w:rPr>
          <w:t>https://doi.org/10.1037/neu0000743</w:t>
        </w:r>
      </w:hyperlink>
      <w:r w:rsidRPr="00DE113E">
        <w:t xml:space="preserve"> </w:t>
      </w:r>
      <w:bookmarkEnd w:id="143"/>
    </w:p>
    <w:p w14:paraId="33EB749E" w14:textId="7F3CDE69" w:rsidR="00DE113E" w:rsidRPr="00DE113E" w:rsidRDefault="00DE113E" w:rsidP="00DE113E">
      <w:pPr>
        <w:pStyle w:val="EndNoteBibliography"/>
        <w:spacing w:after="0"/>
        <w:ind w:left="720" w:hanging="720"/>
      </w:pPr>
      <w:bookmarkStart w:id="144" w:name="_ENREF_66"/>
      <w:r w:rsidRPr="00DE113E">
        <w:t xml:space="preserve">Du, H., Guo, L., &amp; Yan, S. S. (2012). Synaptic Mitochondrial Pathology in Alzheimer's Disease. </w:t>
      </w:r>
      <w:r w:rsidRPr="00DE113E">
        <w:rPr>
          <w:i/>
        </w:rPr>
        <w:t>Antioxidants &amp; Redox Signaling</w:t>
      </w:r>
      <w:r w:rsidRPr="00DE113E">
        <w:t>,</w:t>
      </w:r>
      <w:r w:rsidRPr="00DE113E">
        <w:rPr>
          <w:i/>
        </w:rPr>
        <w:t xml:space="preserve"> 16</w:t>
      </w:r>
      <w:r w:rsidRPr="00DE113E">
        <w:t xml:space="preserve">(12), 1467-1475. </w:t>
      </w:r>
      <w:hyperlink r:id="rId154" w:history="1">
        <w:r w:rsidRPr="00DE113E">
          <w:rPr>
            <w:rStyle w:val="Hyperlink"/>
          </w:rPr>
          <w:t>https://doi.org/10.1089/ars.2011.4277</w:t>
        </w:r>
      </w:hyperlink>
      <w:r w:rsidRPr="00DE113E">
        <w:t xml:space="preserve"> </w:t>
      </w:r>
      <w:bookmarkEnd w:id="144"/>
    </w:p>
    <w:p w14:paraId="4B9F7F89" w14:textId="6926266B" w:rsidR="00DE113E" w:rsidRPr="00DE113E" w:rsidRDefault="00DE113E" w:rsidP="00DE113E">
      <w:pPr>
        <w:pStyle w:val="EndNoteBibliography"/>
        <w:spacing w:after="0"/>
        <w:ind w:left="720" w:hanging="720"/>
      </w:pPr>
      <w:bookmarkStart w:id="145" w:name="_ENREF_67"/>
      <w:r w:rsidRPr="00DE113E">
        <w:t xml:space="preserve">Dudchenko, P. A., Talpos, J., Young, J., &amp; Baxter, M. G. (2013). Animal models of working memory: a review of tasks that might be used in screening drug treatments for the memory impairments found in schizophrenia. </w:t>
      </w:r>
      <w:r w:rsidRPr="00DE113E">
        <w:rPr>
          <w:i/>
        </w:rPr>
        <w:t>Neurosci Biobehav Rev</w:t>
      </w:r>
      <w:r w:rsidRPr="00DE113E">
        <w:t>,</w:t>
      </w:r>
      <w:r w:rsidRPr="00DE113E">
        <w:rPr>
          <w:i/>
        </w:rPr>
        <w:t xml:space="preserve"> 37</w:t>
      </w:r>
      <w:r w:rsidRPr="00DE113E">
        <w:t xml:space="preserve">(9 Pt B), 2111-2124. </w:t>
      </w:r>
      <w:hyperlink r:id="rId155" w:history="1">
        <w:r w:rsidRPr="00DE113E">
          <w:rPr>
            <w:rStyle w:val="Hyperlink"/>
          </w:rPr>
          <w:t>https://doi.org/10.1016/j.neubiorev.2012.03.003</w:t>
        </w:r>
      </w:hyperlink>
      <w:r w:rsidRPr="00DE113E">
        <w:t xml:space="preserve"> </w:t>
      </w:r>
      <w:bookmarkEnd w:id="145"/>
    </w:p>
    <w:p w14:paraId="6F2B2C3A" w14:textId="3B7B0289" w:rsidR="00DE113E" w:rsidRPr="00EF5663" w:rsidRDefault="00DE113E" w:rsidP="00DE113E">
      <w:pPr>
        <w:pStyle w:val="EndNoteBibliography"/>
        <w:spacing w:after="0"/>
        <w:ind w:left="720" w:hanging="720"/>
        <w:rPr>
          <w:lang w:val="it-IT"/>
        </w:rPr>
      </w:pPr>
      <w:bookmarkStart w:id="146" w:name="_ENREF_68"/>
      <w:r w:rsidRPr="00DE113E">
        <w:t xml:space="preserve">Einarsson, E., Pors, J., &amp; Nader, K. (2015). Systems reconsolidation reveals a selective role for the anterior cingulate cortex in generalized contextual fear memory expression. </w:t>
      </w:r>
      <w:r w:rsidRPr="00EF5663">
        <w:rPr>
          <w:i/>
          <w:lang w:val="it-IT"/>
        </w:rPr>
        <w:t>Neuropsychopharmacology</w:t>
      </w:r>
      <w:r w:rsidRPr="00EF5663">
        <w:rPr>
          <w:lang w:val="it-IT"/>
        </w:rPr>
        <w:t>,</w:t>
      </w:r>
      <w:r w:rsidRPr="00EF5663">
        <w:rPr>
          <w:i/>
          <w:lang w:val="it-IT"/>
        </w:rPr>
        <w:t xml:space="preserve"> 40</w:t>
      </w:r>
      <w:r w:rsidRPr="00EF5663">
        <w:rPr>
          <w:lang w:val="it-IT"/>
        </w:rPr>
        <w:t xml:space="preserve">(2), 480-487. </w:t>
      </w:r>
      <w:hyperlink r:id="rId156" w:history="1">
        <w:r w:rsidRPr="00EF5663">
          <w:rPr>
            <w:rStyle w:val="Hyperlink"/>
            <w:lang w:val="it-IT"/>
          </w:rPr>
          <w:t>https://doi.org/10.1038/npp.2014.197</w:t>
        </w:r>
      </w:hyperlink>
      <w:r w:rsidRPr="00EF5663">
        <w:rPr>
          <w:lang w:val="it-IT"/>
        </w:rPr>
        <w:t xml:space="preserve"> </w:t>
      </w:r>
      <w:bookmarkEnd w:id="146"/>
    </w:p>
    <w:p w14:paraId="7F8C942B" w14:textId="3E8DD8F3" w:rsidR="00DE113E" w:rsidRPr="00DE113E" w:rsidRDefault="00DE113E" w:rsidP="00DE113E">
      <w:pPr>
        <w:pStyle w:val="EndNoteBibliography"/>
        <w:spacing w:after="0"/>
        <w:ind w:left="720" w:hanging="720"/>
      </w:pPr>
      <w:bookmarkStart w:id="147" w:name="_ENREF_69"/>
      <w:r w:rsidRPr="00EF5663">
        <w:rPr>
          <w:lang w:val="it-IT"/>
        </w:rPr>
        <w:t xml:space="preserve">El-Battari, A., Rodriguez, L., Chahinian, H., Delézay, O., Fantini, J., Yahi, N., &amp; Di Scala, C. (2021). </w:t>
      </w:r>
      <w:r w:rsidRPr="00DE113E">
        <w:t xml:space="preserve">Gene Therapy Strategy for Alzheimer’s and Parkinson’s Diseases Aimed at Preventing the Formation of Neurotoxic Oligomers in SH-SY5Y Cells. </w:t>
      </w:r>
      <w:r w:rsidRPr="00DE113E">
        <w:rPr>
          <w:i/>
        </w:rPr>
        <w:t>International Journal of Molecular Sciences</w:t>
      </w:r>
      <w:r w:rsidRPr="00DE113E">
        <w:t>,</w:t>
      </w:r>
      <w:r w:rsidRPr="00DE113E">
        <w:rPr>
          <w:i/>
        </w:rPr>
        <w:t xml:space="preserve"> 22</w:t>
      </w:r>
      <w:r w:rsidRPr="00DE113E">
        <w:t xml:space="preserve">(21), 11550. </w:t>
      </w:r>
      <w:hyperlink r:id="rId157" w:history="1">
        <w:r w:rsidRPr="00DE113E">
          <w:rPr>
            <w:rStyle w:val="Hyperlink"/>
          </w:rPr>
          <w:t>https://www.mdpi.com/1422-0067/22/21/11550</w:t>
        </w:r>
      </w:hyperlink>
      <w:r w:rsidRPr="00DE113E">
        <w:t xml:space="preserve"> </w:t>
      </w:r>
      <w:bookmarkEnd w:id="147"/>
    </w:p>
    <w:p w14:paraId="6D98FBCD" w14:textId="589C95E9" w:rsidR="00DE113E" w:rsidRPr="00DE113E" w:rsidRDefault="00DE113E" w:rsidP="00DE113E">
      <w:pPr>
        <w:pStyle w:val="EndNoteBibliography"/>
        <w:spacing w:after="0"/>
        <w:ind w:left="720" w:hanging="720"/>
      </w:pPr>
      <w:bookmarkStart w:id="148" w:name="_ENREF_70"/>
      <w:r w:rsidRPr="00DE113E">
        <w:t xml:space="preserve">Elufioye, T. O., &amp; A, H. H. (2017). Cognitive-Enhancing Properties of Morinda Lucida (Rubiaceae) and Peltophorum Pterocarpum (Fabaceae) in Scopolamine-Induced Amnesic Mice. </w:t>
      </w:r>
      <w:r w:rsidRPr="00DE113E">
        <w:rPr>
          <w:i/>
        </w:rPr>
        <w:t>African Journal of Traditional Complementary and Alternative Medicines</w:t>
      </w:r>
      <w:r w:rsidRPr="00DE113E">
        <w:t>,</w:t>
      </w:r>
      <w:r w:rsidRPr="00DE113E">
        <w:rPr>
          <w:i/>
        </w:rPr>
        <w:t xml:space="preserve"> 14</w:t>
      </w:r>
      <w:r w:rsidRPr="00DE113E">
        <w:t xml:space="preserve">(3), 136-141. </w:t>
      </w:r>
      <w:hyperlink r:id="rId158" w:history="1">
        <w:r w:rsidRPr="00DE113E">
          <w:rPr>
            <w:rStyle w:val="Hyperlink"/>
          </w:rPr>
          <w:t>https://doi.org/10.21010/ajtcam.v14i3.14</w:t>
        </w:r>
      </w:hyperlink>
      <w:r w:rsidRPr="00DE113E">
        <w:t xml:space="preserve"> </w:t>
      </w:r>
      <w:bookmarkEnd w:id="148"/>
    </w:p>
    <w:p w14:paraId="1635B1DB" w14:textId="19C3BABE" w:rsidR="00DE113E" w:rsidRPr="00EF5663" w:rsidRDefault="00DE113E" w:rsidP="00DE113E">
      <w:pPr>
        <w:pStyle w:val="EndNoteBibliography"/>
        <w:spacing w:after="0"/>
        <w:ind w:left="720" w:hanging="720"/>
        <w:rPr>
          <w:lang w:val="it-IT"/>
        </w:rPr>
      </w:pPr>
      <w:bookmarkStart w:id="149" w:name="_ENREF_71"/>
      <w:r w:rsidRPr="00EF5663">
        <w:rPr>
          <w:lang w:val="it-IT"/>
        </w:rPr>
        <w:t xml:space="preserve">Elufioye, T. O., Obuotor, E. M., Sennuga, A. T., Agbedahunsi, J. M., &amp; Adesanya, S. A. (2010). </w:t>
      </w:r>
      <w:r w:rsidRPr="00DE113E">
        <w:t xml:space="preserve">Acetylcholinesterase and Butyrylcholinesterase Inhibitory Activity of Some Selected Nigerian Medicinal Plants. </w:t>
      </w:r>
      <w:r w:rsidRPr="00EF5663">
        <w:rPr>
          <w:i/>
          <w:lang w:val="it-IT"/>
        </w:rPr>
        <w:t>Revista Brasileira De Farmacognosia</w:t>
      </w:r>
      <w:r w:rsidRPr="00EF5663">
        <w:rPr>
          <w:lang w:val="it-IT"/>
        </w:rPr>
        <w:t>,</w:t>
      </w:r>
      <w:r w:rsidRPr="00EF5663">
        <w:rPr>
          <w:i/>
          <w:lang w:val="it-IT"/>
        </w:rPr>
        <w:t xml:space="preserve"> 20</w:t>
      </w:r>
      <w:r w:rsidRPr="00EF5663">
        <w:rPr>
          <w:lang w:val="it-IT"/>
        </w:rPr>
        <w:t xml:space="preserve">(4), 472-477. </w:t>
      </w:r>
      <w:hyperlink r:id="rId159" w:history="1">
        <w:r w:rsidRPr="00EF5663">
          <w:rPr>
            <w:rStyle w:val="Hyperlink"/>
            <w:lang w:val="it-IT"/>
          </w:rPr>
          <w:t>https://doi.org/10.1590/s0102-695x2010000400002</w:t>
        </w:r>
      </w:hyperlink>
      <w:r w:rsidRPr="00EF5663">
        <w:rPr>
          <w:lang w:val="it-IT"/>
        </w:rPr>
        <w:t xml:space="preserve"> </w:t>
      </w:r>
      <w:bookmarkEnd w:id="149"/>
    </w:p>
    <w:p w14:paraId="516F0851" w14:textId="2F48939A" w:rsidR="00DE113E" w:rsidRPr="00DE113E" w:rsidRDefault="00DE113E" w:rsidP="00DE113E">
      <w:pPr>
        <w:pStyle w:val="EndNoteBibliography"/>
        <w:spacing w:after="0"/>
        <w:ind w:left="720" w:hanging="720"/>
      </w:pPr>
      <w:bookmarkStart w:id="150" w:name="_ENREF_72"/>
      <w:r w:rsidRPr="00EF5663">
        <w:rPr>
          <w:lang w:val="it-IT"/>
        </w:rPr>
        <w:t xml:space="preserve">Emerit, J., Edeas, M., &amp; Bricaire, F. (2004). </w:t>
      </w:r>
      <w:r w:rsidRPr="00DE113E">
        <w:t xml:space="preserve">Neurodegenerative diseases and oxidative stress. </w:t>
      </w:r>
      <w:r w:rsidRPr="00DE113E">
        <w:rPr>
          <w:i/>
        </w:rPr>
        <w:t>Biomedicine &amp; Pharmacotherapy</w:t>
      </w:r>
      <w:r w:rsidRPr="00DE113E">
        <w:t>,</w:t>
      </w:r>
      <w:r w:rsidRPr="00DE113E">
        <w:rPr>
          <w:i/>
        </w:rPr>
        <w:t xml:space="preserve"> 58</w:t>
      </w:r>
      <w:r w:rsidRPr="00DE113E">
        <w:t xml:space="preserve">(1), 39-46. </w:t>
      </w:r>
      <w:hyperlink r:id="rId160" w:history="1">
        <w:r w:rsidRPr="00DE113E">
          <w:rPr>
            <w:rStyle w:val="Hyperlink"/>
          </w:rPr>
          <w:t>https://doi.org/https://doi.org/10.1016/j.biopha.2003.11.004</w:t>
        </w:r>
      </w:hyperlink>
      <w:r w:rsidRPr="00DE113E">
        <w:t xml:space="preserve"> </w:t>
      </w:r>
      <w:bookmarkEnd w:id="150"/>
    </w:p>
    <w:p w14:paraId="32F54918" w14:textId="12C04939" w:rsidR="00DE113E" w:rsidRPr="00DE113E" w:rsidRDefault="00DE113E" w:rsidP="00DE113E">
      <w:pPr>
        <w:pStyle w:val="EndNoteBibliography"/>
        <w:spacing w:after="0"/>
        <w:ind w:left="720" w:hanging="720"/>
      </w:pPr>
      <w:bookmarkStart w:id="151" w:name="_ENREF_73"/>
      <w:r w:rsidRPr="00DE113E">
        <w:t xml:space="preserve">Enkhuizen, J. v., Geyer, M. A., &amp; Young, J. W. (2012). Differential Effects of Dopamine Transporter Inhibitors in the Rodent Iowa Gambling Task. </w:t>
      </w:r>
      <w:r w:rsidRPr="00DE113E">
        <w:rPr>
          <w:i/>
        </w:rPr>
        <w:t>Psychopharmacology</w:t>
      </w:r>
      <w:r w:rsidRPr="00DE113E">
        <w:t>,</w:t>
      </w:r>
      <w:r w:rsidRPr="00DE113E">
        <w:rPr>
          <w:i/>
        </w:rPr>
        <w:t xml:space="preserve"> 225</w:t>
      </w:r>
      <w:r w:rsidRPr="00DE113E">
        <w:t xml:space="preserve">(3), 661-674. </w:t>
      </w:r>
      <w:hyperlink r:id="rId161" w:history="1">
        <w:r w:rsidRPr="00DE113E">
          <w:rPr>
            <w:rStyle w:val="Hyperlink"/>
          </w:rPr>
          <w:t>https://doi.org/10.1007/s00213-012-2854-2</w:t>
        </w:r>
      </w:hyperlink>
      <w:r w:rsidRPr="00DE113E">
        <w:t xml:space="preserve"> </w:t>
      </w:r>
      <w:bookmarkEnd w:id="151"/>
    </w:p>
    <w:p w14:paraId="2210FF3C" w14:textId="2D2F8CEC" w:rsidR="00DE113E" w:rsidRPr="00DE113E" w:rsidRDefault="00DE113E" w:rsidP="00DE113E">
      <w:pPr>
        <w:pStyle w:val="EndNoteBibliography"/>
        <w:spacing w:after="0"/>
        <w:ind w:left="720" w:hanging="720"/>
      </w:pPr>
      <w:bookmarkStart w:id="152" w:name="_ENREF_74"/>
      <w:r w:rsidRPr="00DE113E">
        <w:t xml:space="preserve">Esterman, M., Grosso, M., Liu, G., Mitko, A., Morris, R., &amp; DeGutis, J. (2016). Anticipation of Monetary Reward Can Attenuate the Vigilance Decrement. </w:t>
      </w:r>
      <w:r w:rsidRPr="00DE113E">
        <w:rPr>
          <w:i/>
        </w:rPr>
        <w:t>Plos One</w:t>
      </w:r>
      <w:r w:rsidRPr="00DE113E">
        <w:t>,</w:t>
      </w:r>
      <w:r w:rsidRPr="00DE113E">
        <w:rPr>
          <w:i/>
        </w:rPr>
        <w:t xml:space="preserve"> 11</w:t>
      </w:r>
      <w:r w:rsidRPr="00DE113E">
        <w:t xml:space="preserve">(7), e0159741. </w:t>
      </w:r>
      <w:hyperlink r:id="rId162" w:history="1">
        <w:r w:rsidRPr="00DE113E">
          <w:rPr>
            <w:rStyle w:val="Hyperlink"/>
          </w:rPr>
          <w:t>https://doi.org/10.1371/journal.pone.0159741</w:t>
        </w:r>
      </w:hyperlink>
      <w:r w:rsidRPr="00DE113E">
        <w:t xml:space="preserve"> </w:t>
      </w:r>
      <w:bookmarkEnd w:id="152"/>
    </w:p>
    <w:p w14:paraId="78A15328" w14:textId="19AA727E" w:rsidR="00DE113E" w:rsidRPr="00DE113E" w:rsidRDefault="00DE113E" w:rsidP="00DE113E">
      <w:pPr>
        <w:pStyle w:val="EndNoteBibliography"/>
        <w:spacing w:after="0"/>
        <w:ind w:left="720" w:hanging="720"/>
      </w:pPr>
      <w:bookmarkStart w:id="153" w:name="_ENREF_75"/>
      <w:r w:rsidRPr="00DE113E">
        <w:lastRenderedPageBreak/>
        <w:t xml:space="preserve">Faideau, M., Kim, J.-H., Cormier, K., Gilmore, R., Welch, M. J., Aurégan, G., Dufour, N., Guillermier, M., Brouillet, E., Hantraye, P., Déglon, N., Ferrante, R. J., &amp; Bonvento, G. (2010). In Vivo Expression of Polyglutamine-Expanded Huntingtin by Mouse Striatal Astrocytes Impairs Glutamate Transport: A Correlation With Huntington's Disease Subjects. </w:t>
      </w:r>
      <w:r w:rsidRPr="00DE113E">
        <w:rPr>
          <w:i/>
        </w:rPr>
        <w:t>Human Molecular Genetics</w:t>
      </w:r>
      <w:r w:rsidRPr="00DE113E">
        <w:t>,</w:t>
      </w:r>
      <w:r w:rsidRPr="00DE113E">
        <w:rPr>
          <w:i/>
        </w:rPr>
        <w:t xml:space="preserve"> 19</w:t>
      </w:r>
      <w:r w:rsidRPr="00DE113E">
        <w:t xml:space="preserve">(15), 3053-3067. </w:t>
      </w:r>
      <w:hyperlink r:id="rId163" w:history="1">
        <w:r w:rsidRPr="00DE113E">
          <w:rPr>
            <w:rStyle w:val="Hyperlink"/>
          </w:rPr>
          <w:t>https://doi.org/10.1093/hmg/ddq212</w:t>
        </w:r>
      </w:hyperlink>
      <w:r w:rsidRPr="00DE113E">
        <w:t xml:space="preserve"> </w:t>
      </w:r>
      <w:bookmarkEnd w:id="153"/>
    </w:p>
    <w:p w14:paraId="299D5020" w14:textId="15C247CE" w:rsidR="00DE113E" w:rsidRPr="00DE113E" w:rsidRDefault="00DE113E" w:rsidP="00DE113E">
      <w:pPr>
        <w:pStyle w:val="EndNoteBibliography"/>
        <w:spacing w:after="0"/>
        <w:ind w:left="720" w:hanging="720"/>
      </w:pPr>
      <w:bookmarkStart w:id="154" w:name="_ENREF_76"/>
      <w:r w:rsidRPr="00DE113E">
        <w:t xml:space="preserve">Fatima, U., Roy, S., Ahmad, S., Ali, S., Elkady, W. M., Khan, I., Alsaffar, R. M., Adnan, M., Islam, A., &amp; Hassan, M. I. (2022). Pharmacological Attributes of Bacopa Monnieri Extract: Current Updates and Clinical Manifestation. </w:t>
      </w:r>
      <w:r w:rsidRPr="00DE113E">
        <w:rPr>
          <w:i/>
        </w:rPr>
        <w:t>Frontiers in Nutrition</w:t>
      </w:r>
      <w:r w:rsidRPr="00DE113E">
        <w:t>,</w:t>
      </w:r>
      <w:r w:rsidRPr="00DE113E">
        <w:rPr>
          <w:i/>
        </w:rPr>
        <w:t xml:space="preserve"> 9</w:t>
      </w:r>
      <w:r w:rsidRPr="00DE113E">
        <w:t xml:space="preserve">. </w:t>
      </w:r>
      <w:hyperlink r:id="rId164" w:history="1">
        <w:r w:rsidRPr="00DE113E">
          <w:rPr>
            <w:rStyle w:val="Hyperlink"/>
          </w:rPr>
          <w:t>https://doi.org/10.3389/fnut.2022.972379</w:t>
        </w:r>
      </w:hyperlink>
      <w:r w:rsidRPr="00DE113E">
        <w:t xml:space="preserve"> </w:t>
      </w:r>
      <w:bookmarkEnd w:id="154"/>
    </w:p>
    <w:p w14:paraId="5296AF2C" w14:textId="14EAB9AF" w:rsidR="00DE113E" w:rsidRPr="00DE113E" w:rsidRDefault="00DE113E" w:rsidP="00DE113E">
      <w:pPr>
        <w:pStyle w:val="EndNoteBibliography"/>
        <w:spacing w:after="0"/>
        <w:ind w:left="720" w:hanging="720"/>
      </w:pPr>
      <w:bookmarkStart w:id="155" w:name="_ENREF_77"/>
      <w:r w:rsidRPr="00DE113E">
        <w:t xml:space="preserve">Fitzpatrick, C. M., &amp; Andreasen, J. T. (2019). Differential effects of ADHD medications on impulsive action in the mouse 5-choice serial reaction time task. </w:t>
      </w:r>
      <w:r w:rsidRPr="00DE113E">
        <w:rPr>
          <w:i/>
        </w:rPr>
        <w:t>European Journal of Pharmacology</w:t>
      </w:r>
      <w:r w:rsidRPr="00DE113E">
        <w:t>,</w:t>
      </w:r>
      <w:r w:rsidRPr="00DE113E">
        <w:rPr>
          <w:i/>
        </w:rPr>
        <w:t xml:space="preserve"> 847</w:t>
      </w:r>
      <w:r w:rsidRPr="00DE113E">
        <w:t xml:space="preserve">, 123-129. </w:t>
      </w:r>
      <w:hyperlink r:id="rId165" w:history="1">
        <w:r w:rsidRPr="00DE113E">
          <w:rPr>
            <w:rStyle w:val="Hyperlink"/>
          </w:rPr>
          <w:t>https://doi.org/https://doi.org/10.1016/j.ejphar.2019.01.038</w:t>
        </w:r>
      </w:hyperlink>
      <w:r w:rsidRPr="00DE113E">
        <w:t xml:space="preserve"> </w:t>
      </w:r>
      <w:bookmarkEnd w:id="155"/>
    </w:p>
    <w:p w14:paraId="57FF58F2" w14:textId="550929EC" w:rsidR="00DE113E" w:rsidRPr="00DE113E" w:rsidRDefault="00DE113E" w:rsidP="00DE113E">
      <w:pPr>
        <w:pStyle w:val="EndNoteBibliography"/>
        <w:spacing w:after="0"/>
        <w:ind w:left="720" w:hanging="720"/>
      </w:pPr>
      <w:bookmarkStart w:id="156" w:name="_ENREF_78"/>
      <w:r w:rsidRPr="00DE113E">
        <w:t xml:space="preserve">Forster, M. J. (2006). Rodent Models of Brain Aging and Neurodegeneration. </w:t>
      </w:r>
      <w:r w:rsidRPr="00DE113E">
        <w:rPr>
          <w:i/>
        </w:rPr>
        <w:t>Age</w:t>
      </w:r>
      <w:r w:rsidRPr="00DE113E">
        <w:t>,</w:t>
      </w:r>
      <w:r w:rsidRPr="00DE113E">
        <w:rPr>
          <w:i/>
        </w:rPr>
        <w:t xml:space="preserve"> 28</w:t>
      </w:r>
      <w:r w:rsidRPr="00DE113E">
        <w:t xml:space="preserve">(3), 219-220. </w:t>
      </w:r>
      <w:hyperlink r:id="rId166" w:history="1">
        <w:r w:rsidRPr="00DE113E">
          <w:rPr>
            <w:rStyle w:val="Hyperlink"/>
          </w:rPr>
          <w:t>https://doi.org/10.1007/s11357-006-9028-2</w:t>
        </w:r>
      </w:hyperlink>
      <w:r w:rsidRPr="00DE113E">
        <w:t xml:space="preserve"> </w:t>
      </w:r>
      <w:bookmarkEnd w:id="156"/>
    </w:p>
    <w:p w14:paraId="42350BE1" w14:textId="79DBB4F0" w:rsidR="00DE113E" w:rsidRPr="00DE113E" w:rsidRDefault="00DE113E" w:rsidP="00DE113E">
      <w:pPr>
        <w:pStyle w:val="EndNoteBibliography"/>
        <w:spacing w:after="0"/>
        <w:ind w:left="720" w:hanging="720"/>
      </w:pPr>
      <w:bookmarkStart w:id="157" w:name="_ENREF_79"/>
      <w:r w:rsidRPr="00DE113E">
        <w:t xml:space="preserve">Franco-Iborra, S., Vila, M., &amp; Perier, C. (2018). Mitochondrial Quality Control in Neurodegenerative Diseases: Focus on Parkinson's Disease and Huntington's Disease. </w:t>
      </w:r>
      <w:r w:rsidRPr="00DE113E">
        <w:rPr>
          <w:i/>
        </w:rPr>
        <w:t>Frontiers in Neuroscience</w:t>
      </w:r>
      <w:r w:rsidRPr="00DE113E">
        <w:t>,</w:t>
      </w:r>
      <w:r w:rsidRPr="00DE113E">
        <w:rPr>
          <w:i/>
        </w:rPr>
        <w:t xml:space="preserve"> 12</w:t>
      </w:r>
      <w:r w:rsidRPr="00DE113E">
        <w:t xml:space="preserve">. </w:t>
      </w:r>
      <w:hyperlink r:id="rId167" w:history="1">
        <w:r w:rsidRPr="00DE113E">
          <w:rPr>
            <w:rStyle w:val="Hyperlink"/>
          </w:rPr>
          <w:t>https://doi.org/10.3389/fnins.2018.00342</w:t>
        </w:r>
      </w:hyperlink>
      <w:r w:rsidRPr="00DE113E">
        <w:t xml:space="preserve"> </w:t>
      </w:r>
      <w:bookmarkEnd w:id="157"/>
    </w:p>
    <w:p w14:paraId="255C3A42" w14:textId="56F4DE5F" w:rsidR="00DE113E" w:rsidRPr="00DE113E" w:rsidRDefault="00DE113E" w:rsidP="00DE113E">
      <w:pPr>
        <w:pStyle w:val="EndNoteBibliography"/>
        <w:spacing w:after="0"/>
        <w:ind w:left="720" w:hanging="720"/>
      </w:pPr>
      <w:bookmarkStart w:id="158" w:name="_ENREF_80"/>
      <w:r w:rsidRPr="00DE113E">
        <w:t xml:space="preserve">Fritch, H. A., Spets, D. S., &amp; Slotnick, S. D. (2021). Functional connectivity with the anterior and posterior hippocampus during spatial memory. </w:t>
      </w:r>
      <w:r w:rsidRPr="00DE113E">
        <w:rPr>
          <w:i/>
        </w:rPr>
        <w:t>Hippocampus</w:t>
      </w:r>
      <w:r w:rsidRPr="00DE113E">
        <w:t>,</w:t>
      </w:r>
      <w:r w:rsidRPr="00DE113E">
        <w:rPr>
          <w:i/>
        </w:rPr>
        <w:t xml:space="preserve"> 31</w:t>
      </w:r>
      <w:r w:rsidRPr="00DE113E">
        <w:t xml:space="preserve">(7), 658-668. </w:t>
      </w:r>
      <w:hyperlink r:id="rId168" w:history="1">
        <w:r w:rsidRPr="00DE113E">
          <w:rPr>
            <w:rStyle w:val="Hyperlink"/>
          </w:rPr>
          <w:t>https://doi.org/10.1002/hipo.23283</w:t>
        </w:r>
      </w:hyperlink>
      <w:r w:rsidRPr="00DE113E">
        <w:t xml:space="preserve"> </w:t>
      </w:r>
      <w:bookmarkEnd w:id="158"/>
    </w:p>
    <w:p w14:paraId="3AC4D1C8" w14:textId="7D9CB76D" w:rsidR="00DE113E" w:rsidRPr="00DE113E" w:rsidRDefault="00DE113E" w:rsidP="00DE113E">
      <w:pPr>
        <w:pStyle w:val="EndNoteBibliography"/>
        <w:spacing w:after="0"/>
        <w:ind w:left="720" w:hanging="720"/>
      </w:pPr>
      <w:bookmarkStart w:id="159" w:name="_ENREF_81"/>
      <w:r w:rsidRPr="00DE113E">
        <w:t xml:space="preserve">Fujimura, T., Taira, D., Uchida, Y., Takahashi, K., Yamasuji, K., Shimizu, K., Nagai, Y., Yoshinari, N., Hirata, T., Fujimoto, K., Kurosawa, Y., Yasuda, S., Yoshikawa, A., Takeshita, Y., Ito, M., Kakiuchi, C., &amp; Kato, T. (2024). Factors associated with self-perceived treatment-resistance in bipolar disorder. </w:t>
      </w:r>
      <w:r w:rsidRPr="00DE113E">
        <w:rPr>
          <w:i/>
        </w:rPr>
        <w:t>Medicine (Baltimore)</w:t>
      </w:r>
      <w:r w:rsidRPr="00DE113E">
        <w:t>,</w:t>
      </w:r>
      <w:r w:rsidRPr="00DE113E">
        <w:rPr>
          <w:i/>
        </w:rPr>
        <w:t xml:space="preserve"> 103</w:t>
      </w:r>
      <w:r w:rsidRPr="00DE113E">
        <w:t xml:space="preserve">(1), e36217. </w:t>
      </w:r>
      <w:hyperlink r:id="rId169" w:history="1">
        <w:r w:rsidRPr="00DE113E">
          <w:rPr>
            <w:rStyle w:val="Hyperlink"/>
          </w:rPr>
          <w:t>https://doi.org/10.1097/md.0000000000036217</w:t>
        </w:r>
      </w:hyperlink>
      <w:r w:rsidRPr="00DE113E">
        <w:t xml:space="preserve"> </w:t>
      </w:r>
      <w:bookmarkEnd w:id="159"/>
    </w:p>
    <w:p w14:paraId="7F6B559B" w14:textId="01165E46" w:rsidR="00DE113E" w:rsidRPr="00DE113E" w:rsidRDefault="00DE113E" w:rsidP="00DE113E">
      <w:pPr>
        <w:pStyle w:val="EndNoteBibliography"/>
        <w:spacing w:after="0"/>
        <w:ind w:left="720" w:hanging="720"/>
      </w:pPr>
      <w:bookmarkStart w:id="160" w:name="_ENREF_82"/>
      <w:r w:rsidRPr="00DE113E">
        <w:t xml:space="preserve">Fukushima, H., Zhang, Y., Archbold, G., Ishikawa, R., Nader, K., &amp; Kida, S. (2014). Enhancement of fear memory by retrieval through reconsolidation. </w:t>
      </w:r>
      <w:r w:rsidRPr="00DE113E">
        <w:rPr>
          <w:i/>
        </w:rPr>
        <w:t>eLife</w:t>
      </w:r>
      <w:r w:rsidRPr="00DE113E">
        <w:t>,</w:t>
      </w:r>
      <w:r w:rsidRPr="00DE113E">
        <w:rPr>
          <w:i/>
        </w:rPr>
        <w:t xml:space="preserve"> 3</w:t>
      </w:r>
      <w:r w:rsidRPr="00DE113E">
        <w:t xml:space="preserve">, e02736. </w:t>
      </w:r>
      <w:hyperlink r:id="rId170" w:history="1">
        <w:r w:rsidRPr="00DE113E">
          <w:rPr>
            <w:rStyle w:val="Hyperlink"/>
          </w:rPr>
          <w:t>https://doi.org/10.7554/eLife.02736</w:t>
        </w:r>
      </w:hyperlink>
      <w:r w:rsidRPr="00DE113E">
        <w:t xml:space="preserve"> </w:t>
      </w:r>
      <w:bookmarkEnd w:id="160"/>
    </w:p>
    <w:p w14:paraId="42AD2FA2" w14:textId="0274A170" w:rsidR="00DE113E" w:rsidRPr="00DE113E" w:rsidRDefault="00DE113E" w:rsidP="00DE113E">
      <w:pPr>
        <w:pStyle w:val="EndNoteBibliography"/>
        <w:spacing w:after="0"/>
        <w:ind w:left="720" w:hanging="720"/>
      </w:pPr>
      <w:bookmarkStart w:id="161" w:name="_ENREF_83"/>
      <w:r w:rsidRPr="00EF5663">
        <w:rPr>
          <w:lang w:val="it-IT"/>
        </w:rPr>
        <w:t xml:space="preserve">Fukutomi, R., Ohishi, T., Koyama, Y., Pervin, M., Nakamura, Y., &amp; Isemura, M. (2021). </w:t>
      </w:r>
      <w:r w:rsidRPr="00DE113E">
        <w:t xml:space="preserve">Beneficial Effects of Epigallocatechin-3-O-Gallate, Chlorogenic Acid, Resveratrol, and Curcumin on Neurodegenerative Diseases. </w:t>
      </w:r>
      <w:r w:rsidRPr="00DE113E">
        <w:rPr>
          <w:i/>
        </w:rPr>
        <w:t>Molecules</w:t>
      </w:r>
      <w:r w:rsidRPr="00DE113E">
        <w:t>,</w:t>
      </w:r>
      <w:r w:rsidRPr="00DE113E">
        <w:rPr>
          <w:i/>
        </w:rPr>
        <w:t xml:space="preserve"> 26</w:t>
      </w:r>
      <w:r w:rsidRPr="00DE113E">
        <w:t xml:space="preserve">(2), 415. </w:t>
      </w:r>
      <w:hyperlink r:id="rId171" w:history="1">
        <w:r w:rsidRPr="00DE113E">
          <w:rPr>
            <w:rStyle w:val="Hyperlink"/>
          </w:rPr>
          <w:t>https://doi.org/10.3390/molecules26020415</w:t>
        </w:r>
      </w:hyperlink>
      <w:r w:rsidRPr="00DE113E">
        <w:t xml:space="preserve"> </w:t>
      </w:r>
      <w:bookmarkEnd w:id="161"/>
    </w:p>
    <w:p w14:paraId="0EDAEDBB" w14:textId="071ABBF0" w:rsidR="00DE113E" w:rsidRPr="00DE113E" w:rsidRDefault="00DE113E" w:rsidP="00DE113E">
      <w:pPr>
        <w:pStyle w:val="EndNoteBibliography"/>
        <w:spacing w:after="0"/>
        <w:ind w:left="720" w:hanging="720"/>
      </w:pPr>
      <w:bookmarkStart w:id="162" w:name="_ENREF_84"/>
      <w:r w:rsidRPr="00DE113E">
        <w:t xml:space="preserve">Gao, M., Kang, Y., Zhang, L., Li, H., Qu, C., Luan, X., Liu, L., &amp; Zhang, S. (2020). Troxerutin Attenuates Cognitive Decline in the Hippocampus of Male Diabetic Rats by Inhibiting NADPH Oxidase and Activating the Nrf2/Are Signaling Pathway. </w:t>
      </w:r>
      <w:r w:rsidRPr="00DE113E">
        <w:rPr>
          <w:i/>
        </w:rPr>
        <w:t>International Journal of Molecular Medicine</w:t>
      </w:r>
      <w:r w:rsidRPr="00DE113E">
        <w:t>,</w:t>
      </w:r>
      <w:r w:rsidRPr="00DE113E">
        <w:rPr>
          <w:i/>
        </w:rPr>
        <w:t xml:space="preserve"> 46</w:t>
      </w:r>
      <w:r w:rsidRPr="00DE113E">
        <w:t xml:space="preserve">(3), 1239-1248. </w:t>
      </w:r>
      <w:hyperlink r:id="rId172" w:history="1">
        <w:r w:rsidRPr="00DE113E">
          <w:rPr>
            <w:rStyle w:val="Hyperlink"/>
          </w:rPr>
          <w:t>https://doi.org/10.3892/ijmm.2020.4653</w:t>
        </w:r>
      </w:hyperlink>
      <w:r w:rsidRPr="00DE113E">
        <w:t xml:space="preserve"> </w:t>
      </w:r>
      <w:bookmarkEnd w:id="162"/>
    </w:p>
    <w:p w14:paraId="3CF3D225" w14:textId="0D8A91D1" w:rsidR="00DE113E" w:rsidRPr="00DE113E" w:rsidRDefault="00DE113E" w:rsidP="00DE113E">
      <w:pPr>
        <w:pStyle w:val="EndNoteBibliography"/>
        <w:spacing w:after="0"/>
        <w:ind w:left="720" w:hanging="720"/>
      </w:pPr>
      <w:bookmarkStart w:id="163" w:name="_ENREF_85"/>
      <w:r w:rsidRPr="00DE113E">
        <w:t xml:space="preserve">Gavelin, H. M., Lampit, A., Hallock, H., Sabatés, J., &amp; Bahar-Fuchs, A. (2020). Cognition-Oriented Treatments for Older Adults: a Systematic Overview of Systematic Reviews. </w:t>
      </w:r>
      <w:r w:rsidRPr="00DE113E">
        <w:rPr>
          <w:i/>
        </w:rPr>
        <w:t>Neuropsychol Rev</w:t>
      </w:r>
      <w:r w:rsidRPr="00DE113E">
        <w:t>,</w:t>
      </w:r>
      <w:r w:rsidRPr="00DE113E">
        <w:rPr>
          <w:i/>
        </w:rPr>
        <w:t xml:space="preserve"> 30</w:t>
      </w:r>
      <w:r w:rsidRPr="00DE113E">
        <w:t xml:space="preserve">(2), 167-193. </w:t>
      </w:r>
      <w:hyperlink r:id="rId173" w:history="1">
        <w:r w:rsidRPr="00DE113E">
          <w:rPr>
            <w:rStyle w:val="Hyperlink"/>
          </w:rPr>
          <w:t>https://doi.org/10.1007/s11065-020-09434-8</w:t>
        </w:r>
      </w:hyperlink>
      <w:r w:rsidRPr="00DE113E">
        <w:t xml:space="preserve"> </w:t>
      </w:r>
      <w:bookmarkEnd w:id="163"/>
    </w:p>
    <w:p w14:paraId="38FBBAC9" w14:textId="362A8CC2" w:rsidR="00DE113E" w:rsidRPr="00DE113E" w:rsidRDefault="00DE113E" w:rsidP="00DE113E">
      <w:pPr>
        <w:pStyle w:val="EndNoteBibliography"/>
        <w:spacing w:after="0"/>
        <w:ind w:left="720" w:hanging="720"/>
      </w:pPr>
      <w:bookmarkStart w:id="164" w:name="_ENREF_86"/>
      <w:r w:rsidRPr="00DE113E">
        <w:t xml:space="preserve">Ge, R., Fu, Y., Wang, D., Yao, L., &amp; Long, Z. (2012). Neural Mechanism Underlying Autobiographical Memory Modulated by Remoteness and Emotion. </w:t>
      </w:r>
      <w:hyperlink r:id="rId174" w:history="1">
        <w:r w:rsidRPr="00DE113E">
          <w:rPr>
            <w:rStyle w:val="Hyperlink"/>
          </w:rPr>
          <w:t>https://doi.org/10.1117/12.910870</w:t>
        </w:r>
      </w:hyperlink>
      <w:r w:rsidRPr="00DE113E">
        <w:t xml:space="preserve"> </w:t>
      </w:r>
      <w:bookmarkEnd w:id="164"/>
    </w:p>
    <w:p w14:paraId="57B33090" w14:textId="515EF372" w:rsidR="00DE113E" w:rsidRPr="00DE113E" w:rsidRDefault="00DE113E" w:rsidP="00DE113E">
      <w:pPr>
        <w:pStyle w:val="EndNoteBibliography"/>
        <w:spacing w:after="0"/>
        <w:ind w:left="720" w:hanging="720"/>
      </w:pPr>
      <w:bookmarkStart w:id="165" w:name="_ENREF_87"/>
      <w:r w:rsidRPr="00DE113E">
        <w:t xml:space="preserve">Ge, S., Pan, W., Wu, B., Plassman, B. L., Dong, X., &amp; McConnell, E. S. (2023). Sensory impairment and cognitive decline among older adults: An analysis of mediation </w:t>
      </w:r>
      <w:r w:rsidRPr="00DE113E">
        <w:lastRenderedPageBreak/>
        <w:t xml:space="preserve">and moderation effects of loneliness [Original Research]. </w:t>
      </w:r>
      <w:r w:rsidRPr="00DE113E">
        <w:rPr>
          <w:i/>
        </w:rPr>
        <w:t>Frontiers in Neuroscience</w:t>
      </w:r>
      <w:r w:rsidRPr="00DE113E">
        <w:t>,</w:t>
      </w:r>
      <w:r w:rsidRPr="00DE113E">
        <w:rPr>
          <w:i/>
        </w:rPr>
        <w:t xml:space="preserve"> Volume 16 - 2022</w:t>
      </w:r>
      <w:r w:rsidRPr="00DE113E">
        <w:t xml:space="preserve">. </w:t>
      </w:r>
      <w:hyperlink r:id="rId175" w:history="1">
        <w:r w:rsidRPr="00DE113E">
          <w:rPr>
            <w:rStyle w:val="Hyperlink"/>
          </w:rPr>
          <w:t>https://doi.org/10.3389/fnins.2022.1092297</w:t>
        </w:r>
      </w:hyperlink>
      <w:r w:rsidRPr="00DE113E">
        <w:t xml:space="preserve"> </w:t>
      </w:r>
      <w:bookmarkEnd w:id="165"/>
    </w:p>
    <w:p w14:paraId="371EBC4D" w14:textId="66155567" w:rsidR="00DE113E" w:rsidRPr="00DE113E" w:rsidRDefault="00DE113E" w:rsidP="00DE113E">
      <w:pPr>
        <w:pStyle w:val="EndNoteBibliography"/>
        <w:spacing w:after="0"/>
        <w:ind w:left="720" w:hanging="720"/>
      </w:pPr>
      <w:bookmarkStart w:id="166" w:name="_ENREF_88"/>
      <w:r w:rsidRPr="00DE113E">
        <w:t xml:space="preserve">Gitler, A. D., Dhillon, P., &amp; Shorter, J. (2017). Neurodegenerative disease: models, mechanisms, and a new hope. </w:t>
      </w:r>
      <w:r w:rsidRPr="00DE113E">
        <w:rPr>
          <w:i/>
        </w:rPr>
        <w:t>Disease Models &amp; Mechanisms</w:t>
      </w:r>
      <w:r w:rsidRPr="00DE113E">
        <w:t>,</w:t>
      </w:r>
      <w:r w:rsidRPr="00DE113E">
        <w:rPr>
          <w:i/>
        </w:rPr>
        <w:t xml:space="preserve"> 10</w:t>
      </w:r>
      <w:r w:rsidRPr="00DE113E">
        <w:t xml:space="preserve">(5), 499-502. </w:t>
      </w:r>
      <w:hyperlink r:id="rId176" w:history="1">
        <w:r w:rsidRPr="00DE113E">
          <w:rPr>
            <w:rStyle w:val="Hyperlink"/>
          </w:rPr>
          <w:t>https://doi.org/10.1242/dmm.030205</w:t>
        </w:r>
      </w:hyperlink>
      <w:r w:rsidRPr="00DE113E">
        <w:t xml:space="preserve"> </w:t>
      </w:r>
      <w:bookmarkEnd w:id="166"/>
    </w:p>
    <w:p w14:paraId="0B39511F" w14:textId="06B2DC8A" w:rsidR="00DE113E" w:rsidRPr="00DE113E" w:rsidRDefault="00DE113E" w:rsidP="00DE113E">
      <w:pPr>
        <w:pStyle w:val="EndNoteBibliography"/>
        <w:spacing w:after="0"/>
        <w:ind w:left="720" w:hanging="720"/>
      </w:pPr>
      <w:bookmarkStart w:id="167" w:name="_ENREF_89"/>
      <w:r w:rsidRPr="00DE113E">
        <w:t xml:space="preserve">Gold, J. M., Barch, D. M., Feuerstahler, L. M., Carter, C. S., MacDonald, A. W., Ragland, J. D., Silverstein, S. M., Strauss, M. E., &amp; Luck, S. J. (2019). Working Memory Impairment Across Psychotic disorders. </w:t>
      </w:r>
      <w:r w:rsidRPr="00DE113E">
        <w:rPr>
          <w:i/>
        </w:rPr>
        <w:t>Schizophr Bull</w:t>
      </w:r>
      <w:r w:rsidRPr="00DE113E">
        <w:t>,</w:t>
      </w:r>
      <w:r w:rsidRPr="00DE113E">
        <w:rPr>
          <w:i/>
        </w:rPr>
        <w:t xml:space="preserve"> 45</w:t>
      </w:r>
      <w:r w:rsidRPr="00DE113E">
        <w:t xml:space="preserve">(4), 804-812. </w:t>
      </w:r>
      <w:hyperlink r:id="rId177" w:history="1">
        <w:r w:rsidRPr="00DE113E">
          <w:rPr>
            <w:rStyle w:val="Hyperlink"/>
          </w:rPr>
          <w:t>https://doi.org/10.1093/schbul/sby134</w:t>
        </w:r>
      </w:hyperlink>
      <w:r w:rsidRPr="00DE113E">
        <w:t xml:space="preserve"> </w:t>
      </w:r>
      <w:bookmarkEnd w:id="167"/>
    </w:p>
    <w:p w14:paraId="28DA9BEA" w14:textId="1ED1D3F2" w:rsidR="00DE113E" w:rsidRPr="00DE113E" w:rsidRDefault="00DE113E" w:rsidP="00DE113E">
      <w:pPr>
        <w:pStyle w:val="EndNoteBibliography"/>
        <w:spacing w:after="0"/>
        <w:ind w:left="720" w:hanging="720"/>
      </w:pPr>
      <w:bookmarkStart w:id="168" w:name="_ENREF_90"/>
      <w:r w:rsidRPr="00DE113E">
        <w:t xml:space="preserve">Golpich, M., Amini, E., Mohamed, Z., Raymond, A. A., Ibrahim, N. M., &amp; Ahmadiani, A. (2016). Mitochondrial Dysfunction and Biogenesis in Neurodegenerative Diseases: Pathogenesis and Treatment. </w:t>
      </w:r>
      <w:r w:rsidRPr="00DE113E">
        <w:rPr>
          <w:i/>
        </w:rPr>
        <w:t>CNS Neuroscience &amp; Therapeutics</w:t>
      </w:r>
      <w:r w:rsidRPr="00DE113E">
        <w:t>,</w:t>
      </w:r>
      <w:r w:rsidRPr="00DE113E">
        <w:rPr>
          <w:i/>
        </w:rPr>
        <w:t xml:space="preserve"> 23</w:t>
      </w:r>
      <w:r w:rsidRPr="00DE113E">
        <w:t xml:space="preserve">(1), 5-22. </w:t>
      </w:r>
      <w:hyperlink r:id="rId178" w:history="1">
        <w:r w:rsidRPr="00DE113E">
          <w:rPr>
            <w:rStyle w:val="Hyperlink"/>
          </w:rPr>
          <w:t>https://doi.org/10.1111/cns.12655</w:t>
        </w:r>
      </w:hyperlink>
      <w:r w:rsidRPr="00DE113E">
        <w:t xml:space="preserve"> </w:t>
      </w:r>
      <w:bookmarkEnd w:id="168"/>
    </w:p>
    <w:p w14:paraId="12079F65" w14:textId="3113722C" w:rsidR="00DE113E" w:rsidRPr="00DE113E" w:rsidRDefault="00DE113E" w:rsidP="00DE113E">
      <w:pPr>
        <w:pStyle w:val="EndNoteBibliography"/>
        <w:spacing w:after="0"/>
        <w:ind w:left="720" w:hanging="720"/>
      </w:pPr>
      <w:bookmarkStart w:id="169" w:name="_ENREF_91"/>
      <w:r w:rsidRPr="00DE113E">
        <w:t xml:space="preserve">Gray, N. E., Harris, C., Quinn, J. F., &amp; Soumyanath, A. (2016). Centella Asiatica Modulates Antioxidant and Mitochondrial Pathways and Improves Cognitive Function in Mice. </w:t>
      </w:r>
      <w:r w:rsidRPr="00DE113E">
        <w:rPr>
          <w:i/>
        </w:rPr>
        <w:t>Journal of Ethnopharmacology</w:t>
      </w:r>
      <w:r w:rsidRPr="00DE113E">
        <w:t>,</w:t>
      </w:r>
      <w:r w:rsidRPr="00DE113E">
        <w:rPr>
          <w:i/>
        </w:rPr>
        <w:t xml:space="preserve"> 180</w:t>
      </w:r>
      <w:r w:rsidRPr="00DE113E">
        <w:t xml:space="preserve">, 78-86. </w:t>
      </w:r>
      <w:hyperlink r:id="rId179" w:history="1">
        <w:r w:rsidRPr="00DE113E">
          <w:rPr>
            <w:rStyle w:val="Hyperlink"/>
          </w:rPr>
          <w:t>https://doi.org/10.1016/j.jep.2016.01.013</w:t>
        </w:r>
      </w:hyperlink>
      <w:r w:rsidRPr="00DE113E">
        <w:t xml:space="preserve"> </w:t>
      </w:r>
      <w:bookmarkEnd w:id="169"/>
    </w:p>
    <w:p w14:paraId="1C9D3D43" w14:textId="0430BF0E" w:rsidR="00DE113E" w:rsidRPr="00DE113E" w:rsidRDefault="00DE113E" w:rsidP="00DE113E">
      <w:pPr>
        <w:pStyle w:val="EndNoteBibliography"/>
        <w:spacing w:after="0"/>
        <w:ind w:left="720" w:hanging="720"/>
      </w:pPr>
      <w:bookmarkStart w:id="170" w:name="_ENREF_92"/>
      <w:r w:rsidRPr="00DE113E">
        <w:t xml:space="preserve">Guan, D. X., Mortby, M. E., Pike, G. B., Ballard, C., Creese, B., Corbett, A., Pickering, E., Hampshire, A., Roach, P., Smith, E. E., &amp; Ismail, Z. (2024). Linking Cognitive and Behavioral Reserve: Evidence From the CAN‐PROTECT Study. </w:t>
      </w:r>
      <w:r w:rsidRPr="00DE113E">
        <w:rPr>
          <w:i/>
        </w:rPr>
        <w:t>Alzheimer S &amp; Dementia Translational Research &amp; Clinical Interventions</w:t>
      </w:r>
      <w:r w:rsidRPr="00DE113E">
        <w:t>,</w:t>
      </w:r>
      <w:r w:rsidRPr="00DE113E">
        <w:rPr>
          <w:i/>
        </w:rPr>
        <w:t xml:space="preserve"> 10</w:t>
      </w:r>
      <w:r w:rsidRPr="00DE113E">
        <w:t xml:space="preserve">(4). </w:t>
      </w:r>
      <w:hyperlink r:id="rId180" w:history="1">
        <w:r w:rsidRPr="00DE113E">
          <w:rPr>
            <w:rStyle w:val="Hyperlink"/>
          </w:rPr>
          <w:t>https://doi.org/10.1002/trc2.12497</w:t>
        </w:r>
      </w:hyperlink>
      <w:r w:rsidRPr="00DE113E">
        <w:t xml:space="preserve"> </w:t>
      </w:r>
      <w:bookmarkEnd w:id="170"/>
    </w:p>
    <w:p w14:paraId="63DAE782" w14:textId="77777777" w:rsidR="00DE113E" w:rsidRPr="00DE113E" w:rsidRDefault="00DE113E" w:rsidP="00DE113E">
      <w:pPr>
        <w:pStyle w:val="EndNoteBibliography"/>
        <w:spacing w:after="0"/>
        <w:ind w:left="720" w:hanging="720"/>
      </w:pPr>
      <w:bookmarkStart w:id="171" w:name="_ENREF_93"/>
      <w:r w:rsidRPr="00DE113E">
        <w:t xml:space="preserve">Guo, X., He, H., Qu, Y., Liu, J., Qu, Q., &amp; Lyu, J. (2020). Incidence of Alzheimer’s Disease and Other Dementias: Results from the 2017 Global Burden of Disease Study. </w:t>
      </w:r>
      <w:bookmarkEnd w:id="171"/>
    </w:p>
    <w:p w14:paraId="06F08333" w14:textId="0DB3DB40" w:rsidR="00DE113E" w:rsidRPr="00DE113E" w:rsidRDefault="00DE113E" w:rsidP="00DE113E">
      <w:pPr>
        <w:pStyle w:val="EndNoteBibliography"/>
        <w:spacing w:after="0"/>
        <w:ind w:left="720" w:hanging="720"/>
      </w:pPr>
      <w:bookmarkStart w:id="172" w:name="_ENREF_94"/>
      <w:r w:rsidRPr="00DE113E">
        <w:t xml:space="preserve">Guo, Y., Dang, G., Hordacre, B., Su, X., Yan, N., Chen, S., Ren, H., Shi, X., Cai, M., Zhang, S., &amp; Lan, X. (2021). Repetitive Transcranial Magnetic Stimulation of the Dorsolateral Prefrontal Cortex Modulates Electroencephalographic Functional Connectivity in Alzheimer’s Disease. </w:t>
      </w:r>
      <w:r w:rsidRPr="00DE113E">
        <w:rPr>
          <w:i/>
        </w:rPr>
        <w:t>Frontiers in Aging Neuroscience</w:t>
      </w:r>
      <w:r w:rsidRPr="00DE113E">
        <w:t>,</w:t>
      </w:r>
      <w:r w:rsidRPr="00DE113E">
        <w:rPr>
          <w:i/>
        </w:rPr>
        <w:t xml:space="preserve"> 13</w:t>
      </w:r>
      <w:r w:rsidRPr="00DE113E">
        <w:t xml:space="preserve">. </w:t>
      </w:r>
      <w:hyperlink r:id="rId181" w:history="1">
        <w:r w:rsidRPr="00DE113E">
          <w:rPr>
            <w:rStyle w:val="Hyperlink"/>
          </w:rPr>
          <w:t>https://doi.org/10.3389/fnagi.2021.679585</w:t>
        </w:r>
      </w:hyperlink>
      <w:r w:rsidRPr="00DE113E">
        <w:t xml:space="preserve"> </w:t>
      </w:r>
      <w:bookmarkEnd w:id="172"/>
    </w:p>
    <w:p w14:paraId="14764A19" w14:textId="41D396E1" w:rsidR="00DE113E" w:rsidRPr="00DE113E" w:rsidRDefault="00DE113E" w:rsidP="00DE113E">
      <w:pPr>
        <w:pStyle w:val="EndNoteBibliography"/>
        <w:spacing w:after="0"/>
        <w:ind w:left="720" w:hanging="720"/>
      </w:pPr>
      <w:bookmarkStart w:id="173" w:name="_ENREF_95"/>
      <w:r w:rsidRPr="00DE113E">
        <w:t xml:space="preserve">Gupta, R., Koscik, T. R., Bechara, A., &amp; Tranel, D. (2011). The amygdala and decision-making. </w:t>
      </w:r>
      <w:r w:rsidRPr="00DE113E">
        <w:rPr>
          <w:i/>
        </w:rPr>
        <w:t>Neuropsychologia</w:t>
      </w:r>
      <w:r w:rsidRPr="00DE113E">
        <w:t>,</w:t>
      </w:r>
      <w:r w:rsidRPr="00DE113E">
        <w:rPr>
          <w:i/>
        </w:rPr>
        <w:t xml:space="preserve"> 49</w:t>
      </w:r>
      <w:r w:rsidRPr="00DE113E">
        <w:t xml:space="preserve">(4), 760-766. </w:t>
      </w:r>
      <w:hyperlink r:id="rId182" w:history="1">
        <w:r w:rsidRPr="00DE113E">
          <w:rPr>
            <w:rStyle w:val="Hyperlink"/>
          </w:rPr>
          <w:t>https://doi.org/https://doi.org/10.1016/j.neuropsychologia.2010.09.029</w:t>
        </w:r>
      </w:hyperlink>
      <w:r w:rsidRPr="00DE113E">
        <w:t xml:space="preserve"> </w:t>
      </w:r>
      <w:bookmarkEnd w:id="173"/>
    </w:p>
    <w:p w14:paraId="76D3E94D" w14:textId="10D2AE19" w:rsidR="00DE113E" w:rsidRPr="00DE113E" w:rsidRDefault="00DE113E" w:rsidP="00DE113E">
      <w:pPr>
        <w:pStyle w:val="EndNoteBibliography"/>
        <w:spacing w:after="0"/>
        <w:ind w:left="720" w:hanging="720"/>
      </w:pPr>
      <w:bookmarkStart w:id="174" w:name="_ENREF_96"/>
      <w:r w:rsidRPr="00DE113E">
        <w:t xml:space="preserve">Haft, S. L., Kepinska, O., Caballero, J., Carreiras, M., &amp; Hoeft, F. (2019). Attentional Fluctuations, Cognitive Flexibility, and Bilingualism in Kindergarteners. </w:t>
      </w:r>
      <w:r w:rsidRPr="00DE113E">
        <w:rPr>
          <w:i/>
        </w:rPr>
        <w:t>Behavioral Sciences</w:t>
      </w:r>
      <w:r w:rsidRPr="00DE113E">
        <w:t>,</w:t>
      </w:r>
      <w:r w:rsidRPr="00DE113E">
        <w:rPr>
          <w:i/>
        </w:rPr>
        <w:t xml:space="preserve"> 9</w:t>
      </w:r>
      <w:r w:rsidRPr="00DE113E">
        <w:t xml:space="preserve">(5), 58. </w:t>
      </w:r>
      <w:hyperlink r:id="rId183" w:history="1">
        <w:r w:rsidRPr="00DE113E">
          <w:rPr>
            <w:rStyle w:val="Hyperlink"/>
          </w:rPr>
          <w:t>https://doi.org/10.3390/bs9050058</w:t>
        </w:r>
      </w:hyperlink>
      <w:r w:rsidRPr="00DE113E">
        <w:t xml:space="preserve"> </w:t>
      </w:r>
      <w:bookmarkEnd w:id="174"/>
    </w:p>
    <w:p w14:paraId="0A5F1BE8" w14:textId="1C0C5D1B" w:rsidR="00DE113E" w:rsidRPr="00DE113E" w:rsidRDefault="00DE113E" w:rsidP="00DE113E">
      <w:pPr>
        <w:pStyle w:val="EndNoteBibliography"/>
        <w:spacing w:after="0"/>
        <w:ind w:left="720" w:hanging="720"/>
      </w:pPr>
      <w:bookmarkStart w:id="175" w:name="_ENREF_97"/>
      <w:r w:rsidRPr="00EF5663">
        <w:rPr>
          <w:lang w:val="it-IT"/>
        </w:rPr>
        <w:t xml:space="preserve">Hajipour, S., Sarkaki, A., Farbood, Y., Eidi, A., Mortazavi, P., &amp; Valizadeh, Z. (2016). </w:t>
      </w:r>
      <w:r w:rsidRPr="00DE113E">
        <w:t xml:space="preserve">Effect of Gallic Acid on Dementia Type of Alzheimer Disease in Rats: Electrophysiological and Histological Studies. </w:t>
      </w:r>
      <w:r w:rsidRPr="00DE113E">
        <w:rPr>
          <w:i/>
        </w:rPr>
        <w:t>Basic and Clinical Neuroscience Journal</w:t>
      </w:r>
      <w:r w:rsidRPr="00DE113E">
        <w:t>,</w:t>
      </w:r>
      <w:r w:rsidRPr="00DE113E">
        <w:rPr>
          <w:i/>
        </w:rPr>
        <w:t xml:space="preserve"> 7</w:t>
      </w:r>
      <w:r w:rsidRPr="00DE113E">
        <w:t xml:space="preserve">(2). </w:t>
      </w:r>
      <w:hyperlink r:id="rId184" w:history="1">
        <w:r w:rsidRPr="00DE113E">
          <w:rPr>
            <w:rStyle w:val="Hyperlink"/>
          </w:rPr>
          <w:t>https://doi.org/10.15412/j.bcn.03070203</w:t>
        </w:r>
      </w:hyperlink>
      <w:r w:rsidRPr="00DE113E">
        <w:t xml:space="preserve"> </w:t>
      </w:r>
      <w:bookmarkEnd w:id="175"/>
    </w:p>
    <w:p w14:paraId="0723585C" w14:textId="0D831103" w:rsidR="00DE113E" w:rsidRPr="00DE113E" w:rsidRDefault="00DE113E" w:rsidP="00DE113E">
      <w:pPr>
        <w:pStyle w:val="EndNoteBibliography"/>
        <w:spacing w:after="0"/>
        <w:ind w:left="720" w:hanging="720"/>
      </w:pPr>
      <w:bookmarkStart w:id="176" w:name="_ENREF_98"/>
      <w:r w:rsidRPr="00DE113E">
        <w:t xml:space="preserve">Halverson, T., &amp; Alagiakrishnan, K. (2020). Gut microbes in neurocognitive and mental health disorders. </w:t>
      </w:r>
      <w:r w:rsidRPr="00DE113E">
        <w:rPr>
          <w:i/>
        </w:rPr>
        <w:t>Annals of Medicine</w:t>
      </w:r>
      <w:r w:rsidRPr="00DE113E">
        <w:t>,</w:t>
      </w:r>
      <w:r w:rsidRPr="00DE113E">
        <w:rPr>
          <w:i/>
        </w:rPr>
        <w:t xml:space="preserve"> 52</w:t>
      </w:r>
      <w:r w:rsidRPr="00DE113E">
        <w:t xml:space="preserve">(8), 423-443. </w:t>
      </w:r>
      <w:hyperlink r:id="rId185" w:history="1">
        <w:r w:rsidRPr="00DE113E">
          <w:rPr>
            <w:rStyle w:val="Hyperlink"/>
          </w:rPr>
          <w:t>https://doi.org/10.1080/07853890.2020.1808239</w:t>
        </w:r>
      </w:hyperlink>
      <w:r w:rsidRPr="00DE113E">
        <w:t xml:space="preserve"> </w:t>
      </w:r>
      <w:bookmarkEnd w:id="176"/>
    </w:p>
    <w:p w14:paraId="5EC8934C" w14:textId="334551FF" w:rsidR="00DE113E" w:rsidRPr="00DE113E" w:rsidRDefault="00DE113E" w:rsidP="00DE113E">
      <w:pPr>
        <w:pStyle w:val="EndNoteBibliography"/>
        <w:spacing w:after="0"/>
        <w:ind w:left="720" w:hanging="720"/>
      </w:pPr>
      <w:bookmarkStart w:id="177" w:name="_ENREF_99"/>
      <w:r w:rsidRPr="00DE113E">
        <w:t xml:space="preserve">Hånell, A., &amp; Marklund, N. (2014). Structured evaluation of rodent behavioral tests used in drug discovery research [Review]. </w:t>
      </w:r>
      <w:r w:rsidRPr="00DE113E">
        <w:rPr>
          <w:i/>
        </w:rPr>
        <w:t>Frontiers in Behavioral Neuroscience</w:t>
      </w:r>
      <w:r w:rsidRPr="00DE113E">
        <w:t>,</w:t>
      </w:r>
      <w:r w:rsidRPr="00DE113E">
        <w:rPr>
          <w:i/>
        </w:rPr>
        <w:t xml:space="preserve"> Volume 8 - 2014</w:t>
      </w:r>
      <w:r w:rsidRPr="00DE113E">
        <w:t xml:space="preserve">. </w:t>
      </w:r>
      <w:hyperlink r:id="rId186" w:history="1">
        <w:r w:rsidRPr="00DE113E">
          <w:rPr>
            <w:rStyle w:val="Hyperlink"/>
          </w:rPr>
          <w:t>https://doi.org/10.3389/fnbeh.2014.00252</w:t>
        </w:r>
      </w:hyperlink>
      <w:r w:rsidRPr="00DE113E">
        <w:t xml:space="preserve"> </w:t>
      </w:r>
      <w:bookmarkEnd w:id="177"/>
    </w:p>
    <w:p w14:paraId="59D6933A" w14:textId="1B4ECEA6" w:rsidR="00DE113E" w:rsidRPr="00DE113E" w:rsidRDefault="00DE113E" w:rsidP="00DE113E">
      <w:pPr>
        <w:pStyle w:val="EndNoteBibliography"/>
        <w:spacing w:after="0"/>
        <w:ind w:left="720" w:hanging="720"/>
      </w:pPr>
      <w:bookmarkStart w:id="178" w:name="_ENREF_100"/>
      <w:r w:rsidRPr="00DE113E">
        <w:t xml:space="preserve">Heath, C. J., Bussey, T. J., &amp; Saksida, L. M. (2015). Motivational assessment of mice using the touchscreen operant testing system: effects of dopaminergic drugs. </w:t>
      </w:r>
      <w:r w:rsidRPr="00DE113E">
        <w:rPr>
          <w:i/>
        </w:rPr>
        <w:t>Psychopharmacology</w:t>
      </w:r>
      <w:r w:rsidRPr="00DE113E">
        <w:t>,</w:t>
      </w:r>
      <w:r w:rsidRPr="00DE113E">
        <w:rPr>
          <w:i/>
        </w:rPr>
        <w:t xml:space="preserve"> 232</w:t>
      </w:r>
      <w:r w:rsidRPr="00DE113E">
        <w:t xml:space="preserve">(21), 4043-4057. </w:t>
      </w:r>
      <w:hyperlink r:id="rId187" w:history="1">
        <w:r w:rsidRPr="00DE113E">
          <w:rPr>
            <w:rStyle w:val="Hyperlink"/>
          </w:rPr>
          <w:t>https://doi.org/10.1007/s00213-015-4009-8</w:t>
        </w:r>
      </w:hyperlink>
      <w:r w:rsidRPr="00DE113E">
        <w:t xml:space="preserve"> </w:t>
      </w:r>
      <w:bookmarkEnd w:id="178"/>
    </w:p>
    <w:p w14:paraId="59FF06F5" w14:textId="06F8759F" w:rsidR="00DE113E" w:rsidRPr="00DE113E" w:rsidRDefault="00DE113E" w:rsidP="00DE113E">
      <w:pPr>
        <w:pStyle w:val="EndNoteBibliography"/>
        <w:spacing w:after="0"/>
        <w:ind w:left="720" w:hanging="720"/>
      </w:pPr>
      <w:bookmarkStart w:id="179" w:name="_ENREF_101"/>
      <w:r w:rsidRPr="00DE113E">
        <w:lastRenderedPageBreak/>
        <w:t xml:space="preserve">Heath, C. J., O'Callaghan, C., Mason, S. L., Phillips, B. U., Saksida, L. M., Robbins, T. W., Barker, R. A., Bussey, T. J., &amp; Sahakian, B. J. (2019). A Touchscreen Motivation Assessment Evaluated in Huntington's Disease Patients and R6/1 Model Mice [Original Research]. </w:t>
      </w:r>
      <w:r w:rsidRPr="00DE113E">
        <w:rPr>
          <w:i/>
        </w:rPr>
        <w:t>Frontiers in Neurology</w:t>
      </w:r>
      <w:r w:rsidRPr="00DE113E">
        <w:t>,</w:t>
      </w:r>
      <w:r w:rsidRPr="00DE113E">
        <w:rPr>
          <w:i/>
        </w:rPr>
        <w:t xml:space="preserve"> Volume 10 - 2019</w:t>
      </w:r>
      <w:r w:rsidRPr="00DE113E">
        <w:t xml:space="preserve">. </w:t>
      </w:r>
      <w:hyperlink r:id="rId188" w:history="1">
        <w:r w:rsidRPr="00DE113E">
          <w:rPr>
            <w:rStyle w:val="Hyperlink"/>
          </w:rPr>
          <w:t>https://doi.org/10.3389/fneur.2019.00858</w:t>
        </w:r>
      </w:hyperlink>
      <w:r w:rsidRPr="00DE113E">
        <w:t xml:space="preserve"> </w:t>
      </w:r>
      <w:bookmarkEnd w:id="179"/>
    </w:p>
    <w:p w14:paraId="40503039" w14:textId="1C8A3CB6" w:rsidR="00DE113E" w:rsidRPr="00DE113E" w:rsidRDefault="00DE113E" w:rsidP="00DE113E">
      <w:pPr>
        <w:pStyle w:val="EndNoteBibliography"/>
        <w:spacing w:after="0"/>
        <w:ind w:left="720" w:hanging="720"/>
      </w:pPr>
      <w:bookmarkStart w:id="180" w:name="_ENREF_102"/>
      <w:r w:rsidRPr="00DE113E">
        <w:t xml:space="preserve">Helmi, H., Fakhrudin, N., Nurrochmad, A., &amp; Ikawati, Z. (2021). Caesalpinia Sappan L. Ameliorates Scopolamine-Induced Memory Deficits in Mice via the cAMP/PKA/CREB/BDNF Pathway. </w:t>
      </w:r>
      <w:r w:rsidRPr="00DE113E">
        <w:rPr>
          <w:i/>
        </w:rPr>
        <w:t>Scientia Pharmaceutica</w:t>
      </w:r>
      <w:r w:rsidRPr="00DE113E">
        <w:t>,</w:t>
      </w:r>
      <w:r w:rsidRPr="00DE113E">
        <w:rPr>
          <w:i/>
        </w:rPr>
        <w:t xml:space="preserve"> 89</w:t>
      </w:r>
      <w:r w:rsidRPr="00DE113E">
        <w:t xml:space="preserve">(2), 29. </w:t>
      </w:r>
      <w:hyperlink r:id="rId189" w:history="1">
        <w:r w:rsidRPr="00DE113E">
          <w:rPr>
            <w:rStyle w:val="Hyperlink"/>
          </w:rPr>
          <w:t>https://doi.org/10.3390/scipharm89020029</w:t>
        </w:r>
      </w:hyperlink>
      <w:r w:rsidRPr="00DE113E">
        <w:t xml:space="preserve"> </w:t>
      </w:r>
      <w:bookmarkEnd w:id="180"/>
    </w:p>
    <w:p w14:paraId="04F28880" w14:textId="70FD86BB" w:rsidR="00DE113E" w:rsidRPr="00DE113E" w:rsidRDefault="00DE113E" w:rsidP="00DE113E">
      <w:pPr>
        <w:pStyle w:val="EndNoteBibliography"/>
        <w:spacing w:after="0"/>
        <w:ind w:left="720" w:hanging="720"/>
      </w:pPr>
      <w:bookmarkStart w:id="181" w:name="_ENREF_103"/>
      <w:r w:rsidRPr="00DE113E">
        <w:t xml:space="preserve">Henry, B. L., Minassian, A., Patt, V., Hua, J. P. Y., Young, J. W., Geyer, M. A., &amp; Perry, W. (2013). Inhibitory Deficits in Euthymic Bipolar Disorder Patients Assessed in the Human Behavioral Pattern Monitor. </w:t>
      </w:r>
      <w:r w:rsidRPr="00DE113E">
        <w:rPr>
          <w:i/>
        </w:rPr>
        <w:t>Journal of Affective Disorders</w:t>
      </w:r>
      <w:r w:rsidRPr="00DE113E">
        <w:t>,</w:t>
      </w:r>
      <w:r w:rsidRPr="00DE113E">
        <w:rPr>
          <w:i/>
        </w:rPr>
        <w:t xml:space="preserve"> 150</w:t>
      </w:r>
      <w:r w:rsidRPr="00DE113E">
        <w:t xml:space="preserve">(3), 948-954. </w:t>
      </w:r>
      <w:hyperlink r:id="rId190" w:history="1">
        <w:r w:rsidRPr="00DE113E">
          <w:rPr>
            <w:rStyle w:val="Hyperlink"/>
          </w:rPr>
          <w:t>https://doi.org/10.1016/j.jad.2013.05.020</w:t>
        </w:r>
      </w:hyperlink>
      <w:r w:rsidRPr="00DE113E">
        <w:t xml:space="preserve"> </w:t>
      </w:r>
      <w:bookmarkEnd w:id="181"/>
    </w:p>
    <w:p w14:paraId="253F93A0" w14:textId="756B6DD2" w:rsidR="00DE113E" w:rsidRPr="00DE113E" w:rsidRDefault="00DE113E" w:rsidP="00DE113E">
      <w:pPr>
        <w:pStyle w:val="EndNoteBibliography"/>
        <w:spacing w:after="0"/>
        <w:ind w:left="720" w:hanging="720"/>
      </w:pPr>
      <w:bookmarkStart w:id="182" w:name="_ENREF_104"/>
      <w:r w:rsidRPr="00DE113E">
        <w:t xml:space="preserve">Honda, H., Sasaki, K., Hamasaki, H., Shijo, M., Koyama, S., Ohara, T., Ninomiya, T., Kiyohara, Y., Suzuki, S. O., &amp; Iwaki, T. (2016). Trends in autopsy-verified dementia prevalence over 29 years of the Hisayama study. </w:t>
      </w:r>
      <w:r w:rsidRPr="00DE113E">
        <w:rPr>
          <w:i/>
        </w:rPr>
        <w:t>Neuropathology</w:t>
      </w:r>
      <w:r w:rsidRPr="00DE113E">
        <w:t>,</w:t>
      </w:r>
      <w:r w:rsidRPr="00DE113E">
        <w:rPr>
          <w:i/>
        </w:rPr>
        <w:t xml:space="preserve"> 36</w:t>
      </w:r>
      <w:r w:rsidRPr="00DE113E">
        <w:t xml:space="preserve">(4), 383-387. </w:t>
      </w:r>
      <w:hyperlink r:id="rId191" w:history="1">
        <w:r w:rsidRPr="00DE113E">
          <w:rPr>
            <w:rStyle w:val="Hyperlink"/>
          </w:rPr>
          <w:t>https://doi.org/https://doi.org/10.1111/neup.12298</w:t>
        </w:r>
      </w:hyperlink>
      <w:r w:rsidRPr="00DE113E">
        <w:t xml:space="preserve"> </w:t>
      </w:r>
      <w:bookmarkEnd w:id="182"/>
    </w:p>
    <w:p w14:paraId="50D4841A" w14:textId="0FD7BD62" w:rsidR="00DE113E" w:rsidRPr="00DE113E" w:rsidRDefault="00DE113E" w:rsidP="00DE113E">
      <w:pPr>
        <w:pStyle w:val="EndNoteBibliography"/>
        <w:spacing w:after="0"/>
        <w:ind w:left="720" w:hanging="720"/>
      </w:pPr>
      <w:bookmarkStart w:id="183" w:name="_ENREF_105"/>
      <w:r w:rsidRPr="00DE113E">
        <w:t xml:space="preserve">Horner, A. E., Heath, C. J., Hvoslef-Eide, M., Kent, B. A., Kim, C. H., Nilsson, S. R., Alsiö, J., Oomen, C. A., Holmes, A., Saksida, L. M., &amp; Bussey, T. J. (2013). The touchscreen operant platform for testing learning and memory in rats and mice. </w:t>
      </w:r>
      <w:r w:rsidRPr="00DE113E">
        <w:rPr>
          <w:i/>
        </w:rPr>
        <w:t>Nat Protoc</w:t>
      </w:r>
      <w:r w:rsidRPr="00DE113E">
        <w:t>,</w:t>
      </w:r>
      <w:r w:rsidRPr="00DE113E">
        <w:rPr>
          <w:i/>
        </w:rPr>
        <w:t xml:space="preserve"> 8</w:t>
      </w:r>
      <w:r w:rsidRPr="00DE113E">
        <w:t xml:space="preserve">(10), 1961-1984. </w:t>
      </w:r>
      <w:hyperlink r:id="rId192" w:history="1">
        <w:r w:rsidRPr="00DE113E">
          <w:rPr>
            <w:rStyle w:val="Hyperlink"/>
          </w:rPr>
          <w:t>https://doi.org/10.1038/nprot.2013.122</w:t>
        </w:r>
      </w:hyperlink>
      <w:r w:rsidRPr="00DE113E">
        <w:t xml:space="preserve"> </w:t>
      </w:r>
      <w:bookmarkEnd w:id="183"/>
    </w:p>
    <w:p w14:paraId="45D7B71F" w14:textId="3C675A36" w:rsidR="00DE113E" w:rsidRPr="00DE113E" w:rsidRDefault="00DE113E" w:rsidP="00DE113E">
      <w:pPr>
        <w:pStyle w:val="EndNoteBibliography"/>
        <w:spacing w:after="0"/>
        <w:ind w:left="720" w:hanging="720"/>
      </w:pPr>
      <w:bookmarkStart w:id="184" w:name="_ENREF_106"/>
      <w:r w:rsidRPr="00DE113E">
        <w:t xml:space="preserve">Horner, A. E., Heath, C. J., Hvoslef-Eide, M., Kent, B. A., Kim, C. H., Nilsson, S. R. O., Alsiö, J., Oomen, C. A., Holmes, A., Saksida, L. M., &amp; Bussey, T. J. (2013). The touchscreen operant platform for testing learning and memory in rats and mice. </w:t>
      </w:r>
      <w:r w:rsidRPr="00DE113E">
        <w:rPr>
          <w:i/>
        </w:rPr>
        <w:t>Nature Protocols</w:t>
      </w:r>
      <w:r w:rsidRPr="00DE113E">
        <w:t>,</w:t>
      </w:r>
      <w:r w:rsidRPr="00DE113E">
        <w:rPr>
          <w:i/>
        </w:rPr>
        <w:t xml:space="preserve"> 8</w:t>
      </w:r>
      <w:r w:rsidRPr="00DE113E">
        <w:t xml:space="preserve">(10), 1961-1984. </w:t>
      </w:r>
      <w:hyperlink r:id="rId193" w:history="1">
        <w:r w:rsidRPr="00DE113E">
          <w:rPr>
            <w:rStyle w:val="Hyperlink"/>
          </w:rPr>
          <w:t>https://doi.org/10.1038/nprot.2013.122</w:t>
        </w:r>
      </w:hyperlink>
      <w:r w:rsidRPr="00DE113E">
        <w:t xml:space="preserve"> </w:t>
      </w:r>
      <w:bookmarkEnd w:id="184"/>
    </w:p>
    <w:p w14:paraId="57660172" w14:textId="62D4BA62" w:rsidR="00DE113E" w:rsidRPr="00DE113E" w:rsidRDefault="00DE113E" w:rsidP="00DE113E">
      <w:pPr>
        <w:pStyle w:val="EndNoteBibliography"/>
        <w:spacing w:after="0"/>
        <w:ind w:left="720" w:hanging="720"/>
      </w:pPr>
      <w:bookmarkStart w:id="185" w:name="_ENREF_107"/>
      <w:r w:rsidRPr="00DE113E">
        <w:t xml:space="preserve">Hvoslef-Eide, M., Nilsson, S. R. O., Saksida, L. M., &amp; Bussey, T. J. (2016). Cognitive Translation Using the Rodent Touchscreen Testing Approach. In T. W. Robbins &amp; B. J. Sahakian (Eds.), </w:t>
      </w:r>
      <w:r w:rsidRPr="00DE113E">
        <w:rPr>
          <w:i/>
        </w:rPr>
        <w:t>Translational Neuropsychopharmacology</w:t>
      </w:r>
      <w:r w:rsidRPr="00DE113E">
        <w:t xml:space="preserve"> (pp. 423-447). Springer International Publishing. </w:t>
      </w:r>
      <w:hyperlink r:id="rId194" w:history="1">
        <w:r w:rsidRPr="00DE113E">
          <w:rPr>
            <w:rStyle w:val="Hyperlink"/>
          </w:rPr>
          <w:t>https://doi.org/10.1007/7854_2015_5007</w:t>
        </w:r>
      </w:hyperlink>
      <w:r w:rsidRPr="00DE113E">
        <w:t xml:space="preserve"> </w:t>
      </w:r>
      <w:bookmarkEnd w:id="185"/>
    </w:p>
    <w:p w14:paraId="5A2E1F9A" w14:textId="447C1433" w:rsidR="00DE113E" w:rsidRPr="00DE113E" w:rsidRDefault="00DE113E" w:rsidP="00DE113E">
      <w:pPr>
        <w:pStyle w:val="EndNoteBibliography"/>
        <w:spacing w:after="0"/>
        <w:ind w:left="720" w:hanging="720"/>
      </w:pPr>
      <w:bookmarkStart w:id="186" w:name="_ENREF_108"/>
      <w:r w:rsidRPr="00DE113E">
        <w:t xml:space="preserve">Hvoslef‐Eide, M., Nilsson, S., Saksida, L. M., &amp; Bussey, T. J. (2015). Cognitive Translation Using the Rodent Touchscreen Testing Approach. 423-447. </w:t>
      </w:r>
      <w:hyperlink r:id="rId195" w:history="1">
        <w:r w:rsidRPr="00DE113E">
          <w:rPr>
            <w:rStyle w:val="Hyperlink"/>
          </w:rPr>
          <w:t>https://doi.org/10.1007/7854_2015_5007</w:t>
        </w:r>
      </w:hyperlink>
      <w:r w:rsidRPr="00DE113E">
        <w:t xml:space="preserve"> </w:t>
      </w:r>
      <w:bookmarkEnd w:id="186"/>
    </w:p>
    <w:p w14:paraId="2FAB9B88" w14:textId="12BD33AC" w:rsidR="00DE113E" w:rsidRPr="00DE113E" w:rsidRDefault="00DE113E" w:rsidP="00DE113E">
      <w:pPr>
        <w:pStyle w:val="EndNoteBibliography"/>
        <w:spacing w:after="0"/>
        <w:ind w:left="720" w:hanging="720"/>
      </w:pPr>
      <w:bookmarkStart w:id="187" w:name="_ENREF_109"/>
      <w:r w:rsidRPr="00DE113E">
        <w:t xml:space="preserve">Illán‐Gala, I., Montal, V., Pegueroles, J., Vilaplana, E., Alcolea, D., Dols‐Icardo, O., Luna, N. d., Turón‐Sans, J., Cortés‐Vicente, E., Martinez-Roman, L., Sánchez‐Saudinós, M. B., Subirana, A., Videla, L., Sala, I., Barroeta, I., Valldeneu, S., Blesa, R., Clarimón, J., Lleó, A., Fortea, J., &amp; Rojas‐García, R. (2020). Cortical Microstructure in the Amyotrophic Lateral Sclerosis–frontotemporal Dementia Continuum. </w:t>
      </w:r>
      <w:r w:rsidRPr="00DE113E">
        <w:rPr>
          <w:i/>
        </w:rPr>
        <w:t>Neurology</w:t>
      </w:r>
      <w:r w:rsidRPr="00DE113E">
        <w:t>,</w:t>
      </w:r>
      <w:r w:rsidRPr="00DE113E">
        <w:rPr>
          <w:i/>
        </w:rPr>
        <w:t xml:space="preserve"> 95</w:t>
      </w:r>
      <w:r w:rsidRPr="00DE113E">
        <w:t xml:space="preserve">(18). </w:t>
      </w:r>
      <w:hyperlink r:id="rId196" w:history="1">
        <w:r w:rsidRPr="00DE113E">
          <w:rPr>
            <w:rStyle w:val="Hyperlink"/>
          </w:rPr>
          <w:t>https://doi.org/10.1212/wnl.0000000000010727</w:t>
        </w:r>
      </w:hyperlink>
      <w:r w:rsidRPr="00DE113E">
        <w:t xml:space="preserve"> </w:t>
      </w:r>
      <w:bookmarkEnd w:id="187"/>
    </w:p>
    <w:p w14:paraId="1DF6F170" w14:textId="3E08AFF5" w:rsidR="00DE113E" w:rsidRPr="00DE113E" w:rsidRDefault="00DE113E" w:rsidP="00DE113E">
      <w:pPr>
        <w:pStyle w:val="EndNoteBibliography"/>
        <w:spacing w:after="0"/>
        <w:ind w:left="720" w:hanging="720"/>
      </w:pPr>
      <w:bookmarkStart w:id="188" w:name="_ENREF_110"/>
      <w:r w:rsidRPr="00DE113E">
        <w:t xml:space="preserve">Insel, T. R. (2010). The Challenge of Translation in Social Neuroscience: A Review of Oxytocin, Vasopressin, and Affiliative Behavior. </w:t>
      </w:r>
      <w:r w:rsidRPr="00DE113E">
        <w:rPr>
          <w:i/>
        </w:rPr>
        <w:t>Neuron</w:t>
      </w:r>
      <w:r w:rsidRPr="00DE113E">
        <w:t>,</w:t>
      </w:r>
      <w:r w:rsidRPr="00DE113E">
        <w:rPr>
          <w:i/>
        </w:rPr>
        <w:t xml:space="preserve"> 65</w:t>
      </w:r>
      <w:r w:rsidRPr="00DE113E">
        <w:t xml:space="preserve">(6), 768-779. </w:t>
      </w:r>
      <w:hyperlink r:id="rId197" w:history="1">
        <w:r w:rsidRPr="00DE113E">
          <w:rPr>
            <w:rStyle w:val="Hyperlink"/>
          </w:rPr>
          <w:t>https://doi.org/https://doi.org/10.1016/j.neuron.2010.03.005</w:t>
        </w:r>
      </w:hyperlink>
      <w:r w:rsidRPr="00DE113E">
        <w:t xml:space="preserve"> </w:t>
      </w:r>
      <w:bookmarkEnd w:id="188"/>
    </w:p>
    <w:p w14:paraId="08B85248" w14:textId="7DF9D60B" w:rsidR="00DE113E" w:rsidRPr="00DE113E" w:rsidRDefault="00DE113E" w:rsidP="00DE113E">
      <w:pPr>
        <w:pStyle w:val="EndNoteBibliography"/>
        <w:spacing w:after="0"/>
        <w:ind w:left="720" w:hanging="720"/>
      </w:pPr>
      <w:bookmarkStart w:id="189" w:name="_ENREF_111"/>
      <w:r w:rsidRPr="00DE113E">
        <w:t xml:space="preserve">Isbell, E., Calkins, S. D., Swingler, M. M., &amp; Leerkes, E. M. (2018). Attentional Fluctuations in Preschoolers: Direct and Indirect Relations With Task Accuracy, Academic Readiness, and School Performance. </w:t>
      </w:r>
      <w:r w:rsidRPr="00DE113E">
        <w:rPr>
          <w:i/>
        </w:rPr>
        <w:t>Journal of Experimental Child Psychology</w:t>
      </w:r>
      <w:r w:rsidRPr="00DE113E">
        <w:t>,</w:t>
      </w:r>
      <w:r w:rsidRPr="00DE113E">
        <w:rPr>
          <w:i/>
        </w:rPr>
        <w:t xml:space="preserve"> 167</w:t>
      </w:r>
      <w:r w:rsidRPr="00DE113E">
        <w:t xml:space="preserve">, 388-403. </w:t>
      </w:r>
      <w:hyperlink r:id="rId198" w:history="1">
        <w:r w:rsidRPr="00DE113E">
          <w:rPr>
            <w:rStyle w:val="Hyperlink"/>
          </w:rPr>
          <w:t>https://doi.org/10.1016/j.jecp.2017.11.013</w:t>
        </w:r>
      </w:hyperlink>
      <w:r w:rsidRPr="00DE113E">
        <w:t xml:space="preserve"> </w:t>
      </w:r>
      <w:bookmarkEnd w:id="189"/>
    </w:p>
    <w:p w14:paraId="6A5A3296" w14:textId="7B9ED95B" w:rsidR="00DE113E" w:rsidRPr="00EF5663" w:rsidRDefault="00DE113E" w:rsidP="00DE113E">
      <w:pPr>
        <w:pStyle w:val="EndNoteBibliography"/>
        <w:spacing w:after="0"/>
        <w:ind w:left="720" w:hanging="720"/>
        <w:rPr>
          <w:lang w:val="it-IT"/>
        </w:rPr>
      </w:pPr>
      <w:bookmarkStart w:id="190" w:name="_ENREF_112"/>
      <w:r w:rsidRPr="00DE113E">
        <w:t xml:space="preserve">Islam, M. R., Kaurani, L., Berulava, T., Heilbronner, U., Budde, M., Centeno, T. P., Elerdashvili, V., Zafieriou, M. P., Benito, E., Sertel, S. M., Goldberg, M., Senner, F., Kalman, J. L., Burkhardt, S., Oepen, A. S., Sakib, M. S., Kerimoglu, C., Wirths, O., Bickeböller, H., Bartels, C., Brosseron, F., Buerger, K., Cosma, N. C., Fliessbach, K., Heneka, M. T., Janowitz, D., Kilimann, I., Kleinedam, L., Laske, C., </w:t>
      </w:r>
      <w:r w:rsidRPr="00DE113E">
        <w:lastRenderedPageBreak/>
        <w:t xml:space="preserve">Metzger, C. D., Munk, M. H., Perneczky, R., Peters, O., Priller, J., Rauchmann, B. S., Roy, N., Schneider, A., Spottke, A., Spruth, E. J., Teipel, S., Tscheuschler, M., Wagner, M., Wiltfang, J., Düzel, E., Jessen, F., Rizzoli, S. O., Zimmermann, W. H., Schulze, T. G., Falkai, P., Sananbenesi, F., &amp; Fischer, A. (2021). A microRNA signature that correlates with cognition and is a target against cognitive decline. </w:t>
      </w:r>
      <w:r w:rsidRPr="00EF5663">
        <w:rPr>
          <w:i/>
          <w:lang w:val="it-IT"/>
        </w:rPr>
        <w:t>EMBO Molecular Medicine</w:t>
      </w:r>
      <w:r w:rsidRPr="00EF5663">
        <w:rPr>
          <w:lang w:val="it-IT"/>
        </w:rPr>
        <w:t>,</w:t>
      </w:r>
      <w:r w:rsidRPr="00EF5663">
        <w:rPr>
          <w:i/>
          <w:lang w:val="it-IT"/>
        </w:rPr>
        <w:t xml:space="preserve"> 13</w:t>
      </w:r>
      <w:r w:rsidRPr="00EF5663">
        <w:rPr>
          <w:lang w:val="it-IT"/>
        </w:rPr>
        <w:t xml:space="preserve">(11), e13659. </w:t>
      </w:r>
      <w:hyperlink r:id="rId199" w:history="1">
        <w:r w:rsidRPr="00EF5663">
          <w:rPr>
            <w:rStyle w:val="Hyperlink"/>
            <w:lang w:val="it-IT"/>
          </w:rPr>
          <w:t>https://doi.org/https://doi.org/10.15252/emmm.202013659</w:t>
        </w:r>
      </w:hyperlink>
      <w:r w:rsidRPr="00EF5663">
        <w:rPr>
          <w:lang w:val="it-IT"/>
        </w:rPr>
        <w:t xml:space="preserve"> </w:t>
      </w:r>
      <w:bookmarkEnd w:id="190"/>
    </w:p>
    <w:p w14:paraId="0C70EBE9" w14:textId="704BE8CD" w:rsidR="00DE113E" w:rsidRPr="00DE113E" w:rsidRDefault="00DE113E" w:rsidP="00DE113E">
      <w:pPr>
        <w:pStyle w:val="EndNoteBibliography"/>
        <w:spacing w:after="0"/>
        <w:ind w:left="720" w:hanging="720"/>
      </w:pPr>
      <w:bookmarkStart w:id="191" w:name="_ENREF_113"/>
      <w:r w:rsidRPr="00EF5663">
        <w:rPr>
          <w:lang w:val="it-IT"/>
        </w:rPr>
        <w:t xml:space="preserve">Iswanti, D. I., Nursalam, N., Fitryasari, R., Mendrofa, F. A. M., &amp; Kandar, K. (2024). </w:t>
      </w:r>
      <w:r w:rsidRPr="00DE113E">
        <w:t xml:space="preserve">Family Empowerment Strategies for Relapse Prevention in Individuals With Schizophrenia: A Scoping Review. </w:t>
      </w:r>
      <w:r w:rsidRPr="00DE113E">
        <w:rPr>
          <w:i/>
        </w:rPr>
        <w:t>J Psychosoc Nurs Ment Health Serv</w:t>
      </w:r>
      <w:r w:rsidRPr="00DE113E">
        <w:t>,</w:t>
      </w:r>
      <w:r w:rsidRPr="00DE113E">
        <w:rPr>
          <w:i/>
        </w:rPr>
        <w:t xml:space="preserve"> 62</w:t>
      </w:r>
      <w:r w:rsidRPr="00DE113E">
        <w:t xml:space="preserve">(5), 19-27. </w:t>
      </w:r>
      <w:hyperlink r:id="rId200" w:history="1">
        <w:r w:rsidRPr="00DE113E">
          <w:rPr>
            <w:rStyle w:val="Hyperlink"/>
          </w:rPr>
          <w:t>https://doi.org/10.3928/02793695-20231018-02</w:t>
        </w:r>
      </w:hyperlink>
      <w:r w:rsidRPr="00DE113E">
        <w:t xml:space="preserve"> </w:t>
      </w:r>
      <w:bookmarkEnd w:id="191"/>
    </w:p>
    <w:p w14:paraId="189CDA94" w14:textId="3971B30B" w:rsidR="00DE113E" w:rsidRPr="00DE113E" w:rsidRDefault="00DE113E" w:rsidP="00DE113E">
      <w:pPr>
        <w:pStyle w:val="EndNoteBibliography"/>
        <w:spacing w:after="0"/>
        <w:ind w:left="720" w:hanging="720"/>
      </w:pPr>
      <w:bookmarkStart w:id="192" w:name="_ENREF_114"/>
      <w:r w:rsidRPr="00DE113E">
        <w:t xml:space="preserve">Jahani, S., Fantana, A. L., Harper, D. G., Ellison, J. M., Boas, D. A., Forester, B. P., &amp; Yücel, M. A. (2017). fNIRS Can Robustly Measure Brain Activity During Memory Encoding and Retrieval in Healthy Subjects. </w:t>
      </w:r>
      <w:r w:rsidRPr="00DE113E">
        <w:rPr>
          <w:i/>
        </w:rPr>
        <w:t>Scientific Reports</w:t>
      </w:r>
      <w:r w:rsidRPr="00DE113E">
        <w:t>,</w:t>
      </w:r>
      <w:r w:rsidRPr="00DE113E">
        <w:rPr>
          <w:i/>
        </w:rPr>
        <w:t xml:space="preserve"> 7</w:t>
      </w:r>
      <w:r w:rsidRPr="00DE113E">
        <w:t xml:space="preserve">(1). </w:t>
      </w:r>
      <w:hyperlink r:id="rId201" w:history="1">
        <w:r w:rsidRPr="00DE113E">
          <w:rPr>
            <w:rStyle w:val="Hyperlink"/>
          </w:rPr>
          <w:t>https://doi.org/10.1038/s41598-017-09868-w</w:t>
        </w:r>
      </w:hyperlink>
      <w:r w:rsidRPr="00DE113E">
        <w:t xml:space="preserve"> </w:t>
      </w:r>
      <w:bookmarkEnd w:id="192"/>
    </w:p>
    <w:p w14:paraId="3D27B450" w14:textId="40715EB1" w:rsidR="00DE113E" w:rsidRPr="00DE113E" w:rsidRDefault="00DE113E" w:rsidP="00DE113E">
      <w:pPr>
        <w:pStyle w:val="EndNoteBibliography"/>
        <w:spacing w:after="0"/>
        <w:ind w:left="720" w:hanging="720"/>
      </w:pPr>
      <w:bookmarkStart w:id="193" w:name="_ENREF_115"/>
      <w:r w:rsidRPr="00DE113E">
        <w:t xml:space="preserve">Jiang, H., Zhang, Y., Yue, J., Shi, Y., Xiao, B., Xiao, W., &amp; Luo, Z. (2022). Non-coding RNAs: The Neuroinflammatory Regulators in Neurodegenerative Diseases [Review]. </w:t>
      </w:r>
      <w:r w:rsidRPr="00DE113E">
        <w:rPr>
          <w:i/>
        </w:rPr>
        <w:t>Frontiers in Neurology</w:t>
      </w:r>
      <w:r w:rsidRPr="00DE113E">
        <w:t>,</w:t>
      </w:r>
      <w:r w:rsidRPr="00DE113E">
        <w:rPr>
          <w:i/>
        </w:rPr>
        <w:t xml:space="preserve"> Volume 13 - 2022</w:t>
      </w:r>
      <w:r w:rsidRPr="00DE113E">
        <w:t xml:space="preserve">. </w:t>
      </w:r>
      <w:hyperlink r:id="rId202" w:history="1">
        <w:r w:rsidRPr="00DE113E">
          <w:rPr>
            <w:rStyle w:val="Hyperlink"/>
          </w:rPr>
          <w:t>https://doi.org/10.3389/fneur.2022.929290</w:t>
        </w:r>
      </w:hyperlink>
      <w:r w:rsidRPr="00DE113E">
        <w:t xml:space="preserve"> </w:t>
      </w:r>
      <w:bookmarkEnd w:id="193"/>
    </w:p>
    <w:p w14:paraId="58CA70D7" w14:textId="01250B11" w:rsidR="00DE113E" w:rsidRPr="00DE113E" w:rsidRDefault="00DE113E" w:rsidP="00DE113E">
      <w:pPr>
        <w:pStyle w:val="EndNoteBibliography"/>
        <w:spacing w:after="0"/>
        <w:ind w:left="720" w:hanging="720"/>
      </w:pPr>
      <w:bookmarkStart w:id="194" w:name="_ENREF_116"/>
      <w:r w:rsidRPr="00DE113E">
        <w:t xml:space="preserve">Jicha, G. A., &amp; Rentz, D. M. (2013). Cognitive and Brain Reserve and the Diagnosis and Treatment of Preclinical Alzheimer Disease. </w:t>
      </w:r>
      <w:r w:rsidRPr="00DE113E">
        <w:rPr>
          <w:i/>
        </w:rPr>
        <w:t>Neurology</w:t>
      </w:r>
      <w:r w:rsidRPr="00DE113E">
        <w:t>,</w:t>
      </w:r>
      <w:r w:rsidRPr="00DE113E">
        <w:rPr>
          <w:i/>
        </w:rPr>
        <w:t xml:space="preserve"> 80</w:t>
      </w:r>
      <w:r w:rsidRPr="00DE113E">
        <w:t xml:space="preserve">(13), 1180-1181. </w:t>
      </w:r>
      <w:hyperlink r:id="rId203" w:history="1">
        <w:r w:rsidRPr="00DE113E">
          <w:rPr>
            <w:rStyle w:val="Hyperlink"/>
          </w:rPr>
          <w:t>https://doi.org/10.1212/wnl.0b013e318289714a</w:t>
        </w:r>
      </w:hyperlink>
      <w:r w:rsidRPr="00DE113E">
        <w:t xml:space="preserve"> </w:t>
      </w:r>
      <w:bookmarkEnd w:id="194"/>
    </w:p>
    <w:p w14:paraId="6118E0CD" w14:textId="4BA5CAF6" w:rsidR="00DE113E" w:rsidRPr="00EF5663" w:rsidRDefault="00DE113E" w:rsidP="00DE113E">
      <w:pPr>
        <w:pStyle w:val="EndNoteBibliography"/>
        <w:spacing w:after="0"/>
        <w:ind w:left="720" w:hanging="720"/>
        <w:rPr>
          <w:lang w:val="it-IT"/>
        </w:rPr>
      </w:pPr>
      <w:bookmarkStart w:id="195" w:name="_ENREF_117"/>
      <w:r w:rsidRPr="00DE113E">
        <w:t xml:space="preserve">Joo, Y. Y., Cha, J., Freese, J., &amp; Hayes, M. G. (2022). Cognitive Capacity Genome-Wide Polygenic Scores Identify Individuals with Slower Cognitive Decline in Aging. </w:t>
      </w:r>
      <w:r w:rsidRPr="00EF5663">
        <w:rPr>
          <w:i/>
          <w:lang w:val="it-IT"/>
        </w:rPr>
        <w:t>Genes</w:t>
      </w:r>
      <w:r w:rsidRPr="00EF5663">
        <w:rPr>
          <w:lang w:val="it-IT"/>
        </w:rPr>
        <w:t>,</w:t>
      </w:r>
      <w:r w:rsidRPr="00EF5663">
        <w:rPr>
          <w:i/>
          <w:lang w:val="it-IT"/>
        </w:rPr>
        <w:t xml:space="preserve"> 13</w:t>
      </w:r>
      <w:r w:rsidRPr="00EF5663">
        <w:rPr>
          <w:lang w:val="it-IT"/>
        </w:rPr>
        <w:t xml:space="preserve">(8), 1320. </w:t>
      </w:r>
      <w:hyperlink r:id="rId204" w:history="1">
        <w:r w:rsidRPr="00EF5663">
          <w:rPr>
            <w:rStyle w:val="Hyperlink"/>
            <w:lang w:val="it-IT"/>
          </w:rPr>
          <w:t>https://www.mdpi.com/2073-4425/13/8/1320</w:t>
        </w:r>
      </w:hyperlink>
      <w:r w:rsidRPr="00EF5663">
        <w:rPr>
          <w:lang w:val="it-IT"/>
        </w:rPr>
        <w:t xml:space="preserve"> </w:t>
      </w:r>
      <w:bookmarkEnd w:id="195"/>
    </w:p>
    <w:p w14:paraId="608A7741" w14:textId="72C25A20" w:rsidR="00DE113E" w:rsidRPr="00DE113E" w:rsidRDefault="00DE113E" w:rsidP="00DE113E">
      <w:pPr>
        <w:pStyle w:val="EndNoteBibliography"/>
        <w:spacing w:after="0"/>
        <w:ind w:left="720" w:hanging="720"/>
      </w:pPr>
      <w:bookmarkStart w:id="196" w:name="_ENREF_118"/>
      <w:r w:rsidRPr="00EF5663">
        <w:rPr>
          <w:lang w:val="it-IT"/>
        </w:rPr>
        <w:t xml:space="preserve">Kandeda, A. K., Nguedia, D., Ayissi, E. R., Kouamouo, J., &amp; Dimo, T. (2021). </w:t>
      </w:r>
      <w:r w:rsidRPr="00DE113E">
        <w:t xml:space="preserve">Ziziphus Jujuba (Rhamnaceae) Alleviates Working Memory Impairment and Restores Neurochemical Alterations in the Prefrontal Cortex of D-Galactose-Treated Rats. </w:t>
      </w:r>
      <w:r w:rsidRPr="00DE113E">
        <w:rPr>
          <w:i/>
        </w:rPr>
        <w:t>Evidence-Based Complementary and Alternative Medicine</w:t>
      </w:r>
      <w:r w:rsidRPr="00DE113E">
        <w:t>,</w:t>
      </w:r>
      <w:r w:rsidRPr="00DE113E">
        <w:rPr>
          <w:i/>
        </w:rPr>
        <w:t xml:space="preserve"> 2021</w:t>
      </w:r>
      <w:r w:rsidRPr="00DE113E">
        <w:t xml:space="preserve">, 1-15. </w:t>
      </w:r>
      <w:hyperlink r:id="rId205" w:history="1">
        <w:r w:rsidRPr="00DE113E">
          <w:rPr>
            <w:rStyle w:val="Hyperlink"/>
          </w:rPr>
          <w:t>https://doi.org/10.1155/2021/6610864</w:t>
        </w:r>
      </w:hyperlink>
      <w:r w:rsidRPr="00DE113E">
        <w:t xml:space="preserve"> </w:t>
      </w:r>
      <w:bookmarkEnd w:id="196"/>
    </w:p>
    <w:p w14:paraId="2CAD88B8" w14:textId="6DF92BA5" w:rsidR="00DE113E" w:rsidRPr="00DE113E" w:rsidRDefault="00DE113E" w:rsidP="00DE113E">
      <w:pPr>
        <w:pStyle w:val="EndNoteBibliography"/>
        <w:spacing w:after="0"/>
        <w:ind w:left="720" w:hanging="720"/>
      </w:pPr>
      <w:bookmarkStart w:id="197" w:name="_ENREF_119"/>
      <w:r w:rsidRPr="00DE113E">
        <w:t xml:space="preserve">Katafuchi, T., &amp; Noda, M. (2016). Dysfunction of Glial Cells in Neurological and Psychological Disorders: From Bench to Bedside. </w:t>
      </w:r>
      <w:r w:rsidRPr="00DE113E">
        <w:rPr>
          <w:i/>
        </w:rPr>
        <w:t>Advances in Neuroimmune Biology</w:t>
      </w:r>
      <w:r w:rsidRPr="00DE113E">
        <w:t>,</w:t>
      </w:r>
      <w:r w:rsidRPr="00DE113E">
        <w:rPr>
          <w:i/>
        </w:rPr>
        <w:t xml:space="preserve"> 6</w:t>
      </w:r>
      <w:r w:rsidRPr="00DE113E">
        <w:t xml:space="preserve">(2), 59-60. </w:t>
      </w:r>
      <w:hyperlink r:id="rId206" w:history="1">
        <w:r w:rsidRPr="00DE113E">
          <w:rPr>
            <w:rStyle w:val="Hyperlink"/>
          </w:rPr>
          <w:t>https://doi.org/10.3233/nib-169001</w:t>
        </w:r>
      </w:hyperlink>
      <w:r w:rsidRPr="00DE113E">
        <w:t xml:space="preserve"> </w:t>
      </w:r>
      <w:bookmarkEnd w:id="197"/>
    </w:p>
    <w:p w14:paraId="33C1260D" w14:textId="7C886CA9" w:rsidR="00DE113E" w:rsidRPr="00DE113E" w:rsidRDefault="00DE113E" w:rsidP="00DE113E">
      <w:pPr>
        <w:pStyle w:val="EndNoteBibliography"/>
        <w:spacing w:after="0"/>
        <w:ind w:left="720" w:hanging="720"/>
      </w:pPr>
      <w:bookmarkStart w:id="198" w:name="_ENREF_120"/>
      <w:r w:rsidRPr="00DE113E">
        <w:t xml:space="preserve">Kavanaugh, B. C., Cancilliere, M. K., &amp; Spirito, A. (2020). Neurocognitive heterogeneity across the spectrum of psychopathology: need for improved approaches to deficit detection and intervention. </w:t>
      </w:r>
      <w:r w:rsidRPr="00DE113E">
        <w:rPr>
          <w:i/>
        </w:rPr>
        <w:t>CNS Spectrums</w:t>
      </w:r>
      <w:r w:rsidRPr="00DE113E">
        <w:t>,</w:t>
      </w:r>
      <w:r w:rsidRPr="00DE113E">
        <w:rPr>
          <w:i/>
        </w:rPr>
        <w:t xml:space="preserve"> 25</w:t>
      </w:r>
      <w:r w:rsidRPr="00DE113E">
        <w:t xml:space="preserve">(3), 436-444. </w:t>
      </w:r>
      <w:hyperlink r:id="rId207" w:history="1">
        <w:r w:rsidRPr="00DE113E">
          <w:rPr>
            <w:rStyle w:val="Hyperlink"/>
          </w:rPr>
          <w:t>https://doi.org/10.1017/S1092852919001081</w:t>
        </w:r>
      </w:hyperlink>
      <w:r w:rsidRPr="00DE113E">
        <w:t xml:space="preserve"> </w:t>
      </w:r>
      <w:bookmarkEnd w:id="198"/>
    </w:p>
    <w:p w14:paraId="73CC5FFC" w14:textId="39B04539" w:rsidR="00DE113E" w:rsidRPr="00DE113E" w:rsidRDefault="00DE113E" w:rsidP="00DE113E">
      <w:pPr>
        <w:pStyle w:val="EndNoteBibliography"/>
        <w:spacing w:after="0"/>
        <w:ind w:left="720" w:hanging="720"/>
      </w:pPr>
      <w:bookmarkStart w:id="199" w:name="_ENREF_121"/>
      <w:r w:rsidRPr="00DE113E">
        <w:t xml:space="preserve">Kehr, J., Yoshitake, S., Ijiri, S., Koch, E., Nöldner, M., &amp; Yoshitake, T. (2012). Ginkgo Biloba Leaf Extract (EGb 761®) and Its Specific Acylated Flavonol Constituents Increase Dopamine and Acetylcholine Levels in the Rat Medial Prefrontal Cortex: Possible Implications for the Cognitive Enhancing Properties of EGb 761®. </w:t>
      </w:r>
      <w:r w:rsidRPr="00DE113E">
        <w:rPr>
          <w:i/>
        </w:rPr>
        <w:t>International Psychogeriatrics</w:t>
      </w:r>
      <w:r w:rsidRPr="00DE113E">
        <w:t>,</w:t>
      </w:r>
      <w:r w:rsidRPr="00DE113E">
        <w:rPr>
          <w:i/>
        </w:rPr>
        <w:t xml:space="preserve"> 24</w:t>
      </w:r>
      <w:r w:rsidRPr="00DE113E">
        <w:t xml:space="preserve">, S25-S34. </w:t>
      </w:r>
      <w:hyperlink r:id="rId208" w:history="1">
        <w:r w:rsidRPr="00DE113E">
          <w:rPr>
            <w:rStyle w:val="Hyperlink"/>
          </w:rPr>
          <w:t>https://doi.org/10.1017/s1041610212000567</w:t>
        </w:r>
      </w:hyperlink>
      <w:r w:rsidRPr="00DE113E">
        <w:t xml:space="preserve"> </w:t>
      </w:r>
      <w:bookmarkEnd w:id="199"/>
    </w:p>
    <w:p w14:paraId="4551138A" w14:textId="5CF9C904" w:rsidR="00DE113E" w:rsidRPr="00DE113E" w:rsidRDefault="00DE113E" w:rsidP="00DE113E">
      <w:pPr>
        <w:pStyle w:val="EndNoteBibliography"/>
        <w:spacing w:after="0"/>
        <w:ind w:left="720" w:hanging="720"/>
      </w:pPr>
      <w:bookmarkStart w:id="200" w:name="_ENREF_122"/>
      <w:r w:rsidRPr="00DE113E">
        <w:t xml:space="preserve">Kemppainen, N., Aalto, S., Karrasch, M., Någren, K., Savisto, N., Oikonen, V., Viitanen, M., Parkkola, R., &amp; Rinne, J. O. (2007). Cognitive Reserve Hypothesis: Pittsburgh Compound B and Fluorodeoxyglucose Positron Emission Tomography in Relation to Education in Mild Alzheimer's Disease. </w:t>
      </w:r>
      <w:r w:rsidRPr="00DE113E">
        <w:rPr>
          <w:i/>
        </w:rPr>
        <w:t>Annals of Neurology</w:t>
      </w:r>
      <w:r w:rsidRPr="00DE113E">
        <w:t>,</w:t>
      </w:r>
      <w:r w:rsidRPr="00DE113E">
        <w:rPr>
          <w:i/>
        </w:rPr>
        <w:t xml:space="preserve"> 63</w:t>
      </w:r>
      <w:r w:rsidRPr="00DE113E">
        <w:t xml:space="preserve">(1), 112-118. </w:t>
      </w:r>
      <w:hyperlink r:id="rId209" w:history="1">
        <w:r w:rsidRPr="00DE113E">
          <w:rPr>
            <w:rStyle w:val="Hyperlink"/>
          </w:rPr>
          <w:t>https://doi.org/10.1002/ana.21212</w:t>
        </w:r>
      </w:hyperlink>
      <w:r w:rsidRPr="00DE113E">
        <w:t xml:space="preserve"> </w:t>
      </w:r>
      <w:bookmarkEnd w:id="200"/>
    </w:p>
    <w:p w14:paraId="086F45A8" w14:textId="21551991" w:rsidR="00DE113E" w:rsidRPr="00DE113E" w:rsidRDefault="00DE113E" w:rsidP="00DE113E">
      <w:pPr>
        <w:pStyle w:val="EndNoteBibliography"/>
        <w:spacing w:after="0"/>
        <w:ind w:left="720" w:hanging="720"/>
      </w:pPr>
      <w:bookmarkStart w:id="201" w:name="_ENREF_123"/>
      <w:r w:rsidRPr="00DE113E">
        <w:t xml:space="preserve">Kennerley, S. W., &amp; Walton, M. E. (2011). Decision Making and Reward in Frontal Cortex: Complementary Evidence From Neurophysiological and Neuropsychological </w:t>
      </w:r>
      <w:r w:rsidRPr="00DE113E">
        <w:lastRenderedPageBreak/>
        <w:t xml:space="preserve">Studies. </w:t>
      </w:r>
      <w:r w:rsidRPr="00DE113E">
        <w:rPr>
          <w:i/>
        </w:rPr>
        <w:t>Behavioral Neuroscience</w:t>
      </w:r>
      <w:r w:rsidRPr="00DE113E">
        <w:t>,</w:t>
      </w:r>
      <w:r w:rsidRPr="00DE113E">
        <w:rPr>
          <w:i/>
        </w:rPr>
        <w:t xml:space="preserve"> 125</w:t>
      </w:r>
      <w:r w:rsidRPr="00DE113E">
        <w:t xml:space="preserve">(3), 297-317. </w:t>
      </w:r>
      <w:hyperlink r:id="rId210" w:history="1">
        <w:r w:rsidRPr="00DE113E">
          <w:rPr>
            <w:rStyle w:val="Hyperlink"/>
          </w:rPr>
          <w:t>https://doi.org/10.1037/a0023575</w:t>
        </w:r>
      </w:hyperlink>
      <w:r w:rsidRPr="00DE113E">
        <w:t xml:space="preserve"> </w:t>
      </w:r>
      <w:bookmarkEnd w:id="201"/>
    </w:p>
    <w:p w14:paraId="2A0B1015" w14:textId="1010C700" w:rsidR="00DE113E" w:rsidRPr="00DE113E" w:rsidRDefault="00DE113E" w:rsidP="00DE113E">
      <w:pPr>
        <w:pStyle w:val="EndNoteBibliography"/>
        <w:spacing w:after="0"/>
        <w:ind w:left="720" w:hanging="720"/>
      </w:pPr>
      <w:bookmarkStart w:id="202" w:name="_ENREF_124"/>
      <w:r w:rsidRPr="00DE113E">
        <w:t xml:space="preserve">Keren-Shaul, H., Spinrad, A., Weiner, A., Matcovitch-Natan, O., Dvir-Szternfeld, R., Ulland, T. K., David, E., Baruch, K., Lara-Astaiso, D., Toth, B., Itzkovitz, S., Colonna, M., Schwartz, M., &amp; Amit, I. (2017). A Unique Microglia Type Associated with Restricting Development of Alzheimer’s Disease. </w:t>
      </w:r>
      <w:r w:rsidRPr="00DE113E">
        <w:rPr>
          <w:i/>
        </w:rPr>
        <w:t>Cell</w:t>
      </w:r>
      <w:r w:rsidRPr="00DE113E">
        <w:t>,</w:t>
      </w:r>
      <w:r w:rsidRPr="00DE113E">
        <w:rPr>
          <w:i/>
        </w:rPr>
        <w:t xml:space="preserve"> 169</w:t>
      </w:r>
      <w:r w:rsidRPr="00DE113E">
        <w:t xml:space="preserve">(7), 1276-1290.e1217. </w:t>
      </w:r>
      <w:hyperlink r:id="rId211" w:history="1">
        <w:r w:rsidRPr="00DE113E">
          <w:rPr>
            <w:rStyle w:val="Hyperlink"/>
          </w:rPr>
          <w:t>https://doi.org/https://doi.org/10.1016/j.cell.2017.05.018</w:t>
        </w:r>
      </w:hyperlink>
      <w:r w:rsidRPr="00DE113E">
        <w:t xml:space="preserve"> </w:t>
      </w:r>
      <w:bookmarkEnd w:id="202"/>
    </w:p>
    <w:p w14:paraId="69097126" w14:textId="33294591" w:rsidR="00DE113E" w:rsidRPr="00DE113E" w:rsidRDefault="00DE113E" w:rsidP="00DE113E">
      <w:pPr>
        <w:pStyle w:val="EndNoteBibliography"/>
        <w:spacing w:after="0"/>
        <w:ind w:left="720" w:hanging="720"/>
      </w:pPr>
      <w:bookmarkStart w:id="203" w:name="_ENREF_125"/>
      <w:r w:rsidRPr="00DE113E">
        <w:t xml:space="preserve">Keret, O., Lindbergh, C. A., &amp; Miller, B. (2024). Memory in Frontotemporal Dementia. 1755-1793. </w:t>
      </w:r>
      <w:hyperlink r:id="rId212" w:history="1">
        <w:r w:rsidRPr="00DE113E">
          <w:rPr>
            <w:rStyle w:val="Hyperlink"/>
          </w:rPr>
          <w:t>https://doi.org/10.1093/oxfordhb/9780190917982.013.60</w:t>
        </w:r>
      </w:hyperlink>
      <w:r w:rsidRPr="00DE113E">
        <w:t xml:space="preserve"> </w:t>
      </w:r>
      <w:bookmarkEnd w:id="203"/>
    </w:p>
    <w:p w14:paraId="35ACF630" w14:textId="2C27F376" w:rsidR="00DE113E" w:rsidRPr="00DE113E" w:rsidRDefault="00DE113E" w:rsidP="00DE113E">
      <w:pPr>
        <w:pStyle w:val="EndNoteBibliography"/>
        <w:spacing w:after="0"/>
        <w:ind w:left="720" w:hanging="720"/>
      </w:pPr>
      <w:bookmarkStart w:id="204" w:name="_ENREF_126"/>
      <w:r w:rsidRPr="00DE113E">
        <w:t xml:space="preserve">Kerr, J. S., Adriaanse, B. A., Greig, N. H., Mattson, M. P., Cader, M. Z., Bohr, V. A., &amp; Fang, E. F. (2017). Mitophagy and Alzheimer’s Disease: Cellular and Molecular Mechanisms. </w:t>
      </w:r>
      <w:r w:rsidRPr="00DE113E">
        <w:rPr>
          <w:i/>
        </w:rPr>
        <w:t>Trends in Neurosciences</w:t>
      </w:r>
      <w:r w:rsidRPr="00DE113E">
        <w:t>,</w:t>
      </w:r>
      <w:r w:rsidRPr="00DE113E">
        <w:rPr>
          <w:i/>
        </w:rPr>
        <w:t xml:space="preserve"> 40</w:t>
      </w:r>
      <w:r w:rsidRPr="00DE113E">
        <w:t xml:space="preserve">(3), 151-166. </w:t>
      </w:r>
      <w:hyperlink r:id="rId213" w:history="1">
        <w:r w:rsidRPr="00DE113E">
          <w:rPr>
            <w:rStyle w:val="Hyperlink"/>
          </w:rPr>
          <w:t>https://doi.org/10.1016/j.tins.2017.01.002</w:t>
        </w:r>
      </w:hyperlink>
      <w:r w:rsidRPr="00DE113E">
        <w:t xml:space="preserve"> </w:t>
      </w:r>
      <w:bookmarkEnd w:id="204"/>
    </w:p>
    <w:p w14:paraId="1E677F85" w14:textId="4A9F94DD" w:rsidR="00DE113E" w:rsidRPr="00DE113E" w:rsidRDefault="00DE113E" w:rsidP="00DE113E">
      <w:pPr>
        <w:pStyle w:val="EndNoteBibliography"/>
        <w:spacing w:after="0"/>
        <w:ind w:left="720" w:hanging="720"/>
      </w:pPr>
      <w:bookmarkStart w:id="205" w:name="_ENREF_127"/>
      <w:r w:rsidRPr="00DE113E">
        <w:t xml:space="preserve">Khacho, M., Clark, A., Svoboda, D. S., MacLaurin, J. G., Lagace, D. C., Park, D. S., &amp; Slack, R. S. (2017). Mitochondrial Dysfunction Underlies Cognitive Defects as a Result of Neural Stem Cell Depletion and Impaired Neurogenesis. </w:t>
      </w:r>
      <w:r w:rsidRPr="00DE113E">
        <w:rPr>
          <w:i/>
        </w:rPr>
        <w:t>Human Molecular Genetics</w:t>
      </w:r>
      <w:r w:rsidRPr="00DE113E">
        <w:t>,</w:t>
      </w:r>
      <w:r w:rsidRPr="00DE113E">
        <w:rPr>
          <w:i/>
        </w:rPr>
        <w:t xml:space="preserve"> 26</w:t>
      </w:r>
      <w:r w:rsidRPr="00DE113E">
        <w:t xml:space="preserve">(17), 3327-3341. </w:t>
      </w:r>
      <w:hyperlink r:id="rId214" w:history="1">
        <w:r w:rsidRPr="00DE113E">
          <w:rPr>
            <w:rStyle w:val="Hyperlink"/>
          </w:rPr>
          <w:t>https://doi.org/10.1093/hmg/ddx217</w:t>
        </w:r>
      </w:hyperlink>
      <w:r w:rsidRPr="00DE113E">
        <w:t xml:space="preserve"> </w:t>
      </w:r>
      <w:bookmarkEnd w:id="205"/>
    </w:p>
    <w:p w14:paraId="152765ED" w14:textId="70038D5B" w:rsidR="00DE113E" w:rsidRPr="00DE113E" w:rsidRDefault="00DE113E" w:rsidP="00DE113E">
      <w:pPr>
        <w:pStyle w:val="EndNoteBibliography"/>
        <w:spacing w:after="0"/>
        <w:ind w:left="720" w:hanging="720"/>
      </w:pPr>
      <w:bookmarkStart w:id="206" w:name="_ENREF_128"/>
      <w:r w:rsidRPr="00DE113E">
        <w:t xml:space="preserve">Kim, C. H., Hvoslef-Eide, M., Nilsson, S. R. O., Johnson, M. R., Herbert, B. R., Robbins, T. W., Saksida, L. M., Bussey, T. J., &amp; Mar, A. C. (2015). The continuous performance test (rCPT) for mice: a novel operant touchscreen test of attentional function. </w:t>
      </w:r>
      <w:r w:rsidRPr="00DE113E">
        <w:rPr>
          <w:i/>
        </w:rPr>
        <w:t>Psychopharmacology</w:t>
      </w:r>
      <w:r w:rsidRPr="00DE113E">
        <w:t>,</w:t>
      </w:r>
      <w:r w:rsidRPr="00DE113E">
        <w:rPr>
          <w:i/>
        </w:rPr>
        <w:t xml:space="preserve"> 232</w:t>
      </w:r>
      <w:r w:rsidRPr="00DE113E">
        <w:t xml:space="preserve">(21), 3947-3966. </w:t>
      </w:r>
      <w:hyperlink r:id="rId215" w:history="1">
        <w:r w:rsidRPr="00DE113E">
          <w:rPr>
            <w:rStyle w:val="Hyperlink"/>
          </w:rPr>
          <w:t>https://doi.org/10.1007/s00213-015-4081-0</w:t>
        </w:r>
      </w:hyperlink>
      <w:r w:rsidRPr="00DE113E">
        <w:t xml:space="preserve"> </w:t>
      </w:r>
      <w:bookmarkEnd w:id="206"/>
    </w:p>
    <w:p w14:paraId="7F641B85" w14:textId="41466632" w:rsidR="00DE113E" w:rsidRPr="00DE113E" w:rsidRDefault="00DE113E" w:rsidP="00DE113E">
      <w:pPr>
        <w:pStyle w:val="EndNoteBibliography"/>
        <w:spacing w:after="0"/>
        <w:ind w:left="720" w:hanging="720"/>
      </w:pPr>
      <w:bookmarkStart w:id="207" w:name="_ENREF_129"/>
      <w:r w:rsidRPr="00DE113E">
        <w:t xml:space="preserve">Kim, C. H., Hvoslef-Eide, M., Nilsson, S. R. O., Johnson, M. R., Herbert, B. R., Robbins, T. W., Saksida, L. M., Bussey, T. J., &amp; Mar, A. C. (2016). Erratum to: The continuous performance test (rCPT) for mice: a novel operant touchscreen test of attentional function. </w:t>
      </w:r>
      <w:r w:rsidRPr="00DE113E">
        <w:rPr>
          <w:i/>
        </w:rPr>
        <w:t>Psychopharmacology</w:t>
      </w:r>
      <w:r w:rsidRPr="00DE113E">
        <w:t>,</w:t>
      </w:r>
      <w:r w:rsidRPr="00DE113E">
        <w:rPr>
          <w:i/>
        </w:rPr>
        <w:t xml:space="preserve"> 233</w:t>
      </w:r>
      <w:r w:rsidRPr="00DE113E">
        <w:t xml:space="preserve">(18), 3471-3471. </w:t>
      </w:r>
      <w:hyperlink r:id="rId216" w:history="1">
        <w:r w:rsidRPr="00DE113E">
          <w:rPr>
            <w:rStyle w:val="Hyperlink"/>
          </w:rPr>
          <w:t>https://doi.org/10.1007/s00213-016-4400-0</w:t>
        </w:r>
      </w:hyperlink>
      <w:r w:rsidRPr="00DE113E">
        <w:t xml:space="preserve"> </w:t>
      </w:r>
      <w:bookmarkEnd w:id="207"/>
    </w:p>
    <w:p w14:paraId="6F1CCFD6" w14:textId="7AE04DD5" w:rsidR="00DE113E" w:rsidRPr="00DE113E" w:rsidRDefault="00DE113E" w:rsidP="00DE113E">
      <w:pPr>
        <w:pStyle w:val="EndNoteBibliography"/>
        <w:spacing w:after="0"/>
        <w:ind w:left="720" w:hanging="720"/>
      </w:pPr>
      <w:bookmarkStart w:id="208" w:name="_ENREF_130"/>
      <w:r w:rsidRPr="00DE113E">
        <w:t xml:space="preserve">Kim, C. H., Romberg, C., Hvoslef-Eide, M., Oomen, C. A., Mar, A. C., Heath, C. J., Berthiaume, A.-A., Bussey, T. J., &amp; Saksida, L. M. (2015). Trial-unique, delayed nonmatching-to-location (TUNL) touchscreen testing for mice: sensitivity to dorsal hippocampal dysfunction. </w:t>
      </w:r>
      <w:r w:rsidRPr="00DE113E">
        <w:rPr>
          <w:i/>
        </w:rPr>
        <w:t>Psychopharmacology</w:t>
      </w:r>
      <w:r w:rsidRPr="00DE113E">
        <w:t>,</w:t>
      </w:r>
      <w:r w:rsidRPr="00DE113E">
        <w:rPr>
          <w:i/>
        </w:rPr>
        <w:t xml:space="preserve"> 232</w:t>
      </w:r>
      <w:r w:rsidRPr="00DE113E">
        <w:t xml:space="preserve">(21), 3935-3945. </w:t>
      </w:r>
      <w:hyperlink r:id="rId217" w:history="1">
        <w:r w:rsidRPr="00DE113E">
          <w:rPr>
            <w:rStyle w:val="Hyperlink"/>
          </w:rPr>
          <w:t>https://doi.org/10.1007/s00213-015-4017-8</w:t>
        </w:r>
      </w:hyperlink>
      <w:r w:rsidRPr="00DE113E">
        <w:t xml:space="preserve"> </w:t>
      </w:r>
      <w:bookmarkEnd w:id="208"/>
    </w:p>
    <w:p w14:paraId="2D98D26E" w14:textId="1C2D3E25" w:rsidR="00DE113E" w:rsidRPr="00DE113E" w:rsidRDefault="00DE113E" w:rsidP="00DE113E">
      <w:pPr>
        <w:pStyle w:val="EndNoteBibliography"/>
        <w:spacing w:after="0"/>
        <w:ind w:left="720" w:hanging="720"/>
      </w:pPr>
      <w:bookmarkStart w:id="209" w:name="_ENREF_131"/>
      <w:r w:rsidRPr="00DE113E">
        <w:t xml:space="preserve">Kirkpatrick, B., Fenton, W. S., Carpenter, W. T., Jr., &amp; Marder, S. R. (2006). The NIMH-MATRICS consensus statement on negative symptoms. </w:t>
      </w:r>
      <w:r w:rsidRPr="00DE113E">
        <w:rPr>
          <w:i/>
        </w:rPr>
        <w:t>Schizophr Bull</w:t>
      </w:r>
      <w:r w:rsidRPr="00DE113E">
        <w:t>,</w:t>
      </w:r>
      <w:r w:rsidRPr="00DE113E">
        <w:rPr>
          <w:i/>
        </w:rPr>
        <w:t xml:space="preserve"> 32</w:t>
      </w:r>
      <w:r w:rsidRPr="00DE113E">
        <w:t xml:space="preserve">(2), 214-219. </w:t>
      </w:r>
      <w:hyperlink r:id="rId218" w:history="1">
        <w:r w:rsidRPr="00DE113E">
          <w:rPr>
            <w:rStyle w:val="Hyperlink"/>
          </w:rPr>
          <w:t>https://doi.org/10.1093/schbul/sbj053</w:t>
        </w:r>
      </w:hyperlink>
      <w:r w:rsidRPr="00DE113E">
        <w:t xml:space="preserve"> </w:t>
      </w:r>
      <w:bookmarkEnd w:id="209"/>
    </w:p>
    <w:p w14:paraId="7C57D93A" w14:textId="659EB573" w:rsidR="00DE113E" w:rsidRPr="00DE113E" w:rsidRDefault="00DE113E" w:rsidP="00DE113E">
      <w:pPr>
        <w:pStyle w:val="EndNoteBibliography"/>
        <w:spacing w:after="0"/>
        <w:ind w:left="720" w:hanging="720"/>
      </w:pPr>
      <w:bookmarkStart w:id="210" w:name="_ENREF_132"/>
      <w:r w:rsidRPr="00DE113E">
        <w:t xml:space="preserve">Kirova, A.-M., Bays, R. B., &amp; Lagalwar, S. (2015). Working Memory and Executive Function Decline Across Normal Aging, Mild Cognitive Impairment, and Alzheimer’s Disease. </w:t>
      </w:r>
      <w:r w:rsidRPr="00DE113E">
        <w:rPr>
          <w:i/>
        </w:rPr>
        <w:t>Biomed Research International</w:t>
      </w:r>
      <w:r w:rsidRPr="00DE113E">
        <w:t>,</w:t>
      </w:r>
      <w:r w:rsidRPr="00DE113E">
        <w:rPr>
          <w:i/>
        </w:rPr>
        <w:t xml:space="preserve"> 2015</w:t>
      </w:r>
      <w:r w:rsidRPr="00DE113E">
        <w:t xml:space="preserve">, 1-9. </w:t>
      </w:r>
      <w:hyperlink r:id="rId219" w:history="1">
        <w:r w:rsidRPr="00DE113E">
          <w:rPr>
            <w:rStyle w:val="Hyperlink"/>
          </w:rPr>
          <w:t>https://doi.org/10.1155/2015/748212</w:t>
        </w:r>
      </w:hyperlink>
      <w:r w:rsidRPr="00DE113E">
        <w:t xml:space="preserve"> </w:t>
      </w:r>
      <w:bookmarkEnd w:id="210"/>
    </w:p>
    <w:p w14:paraId="13F3438E" w14:textId="5E3508DE" w:rsidR="00DE113E" w:rsidRPr="00DE113E" w:rsidRDefault="00DE113E" w:rsidP="00DE113E">
      <w:pPr>
        <w:pStyle w:val="EndNoteBibliography"/>
        <w:spacing w:after="0"/>
        <w:ind w:left="720" w:hanging="720"/>
      </w:pPr>
      <w:bookmarkStart w:id="211" w:name="_ENREF_133"/>
      <w:r w:rsidRPr="00DE113E">
        <w:t xml:space="preserve">Kuhn, E., Perrotin, A., Tomadesso, C., André, C., Sherif, S., Bejanin, A., Touron, E., Landeau, B., Mézenge, F., Vivien, D., Sayette, V. d. L., &amp; Chételat, G. (2021). Subjective Cognitive Decline: Opposite Links to Neurodegeneration Across the Alzheimer’s Continuum. </w:t>
      </w:r>
      <w:r w:rsidRPr="00DE113E">
        <w:rPr>
          <w:i/>
        </w:rPr>
        <w:t>Brain Communications</w:t>
      </w:r>
      <w:r w:rsidRPr="00DE113E">
        <w:t>,</w:t>
      </w:r>
      <w:r w:rsidRPr="00DE113E">
        <w:rPr>
          <w:i/>
        </w:rPr>
        <w:t xml:space="preserve"> 3</w:t>
      </w:r>
      <w:r w:rsidRPr="00DE113E">
        <w:t xml:space="preserve">(3). </w:t>
      </w:r>
      <w:hyperlink r:id="rId220" w:history="1">
        <w:r w:rsidRPr="00DE113E">
          <w:rPr>
            <w:rStyle w:val="Hyperlink"/>
          </w:rPr>
          <w:t>https://doi.org/10.1093/braincomms/fcab199</w:t>
        </w:r>
      </w:hyperlink>
      <w:r w:rsidRPr="00DE113E">
        <w:t xml:space="preserve"> </w:t>
      </w:r>
      <w:bookmarkEnd w:id="211"/>
    </w:p>
    <w:p w14:paraId="441C9F15" w14:textId="22C77522" w:rsidR="00DE113E" w:rsidRPr="00DE113E" w:rsidRDefault="00DE113E" w:rsidP="00DE113E">
      <w:pPr>
        <w:pStyle w:val="EndNoteBibliography"/>
        <w:spacing w:after="0"/>
        <w:ind w:left="720" w:hanging="720"/>
      </w:pPr>
      <w:bookmarkStart w:id="212" w:name="_ENREF_134"/>
      <w:r w:rsidRPr="00DE113E">
        <w:t xml:space="preserve">Kumar, V. (2006). Potential Medicinal Plants for CNS Disorders: An Overview. </w:t>
      </w:r>
      <w:r w:rsidRPr="00DE113E">
        <w:rPr>
          <w:i/>
        </w:rPr>
        <w:t>Phytotherapy Research</w:t>
      </w:r>
      <w:r w:rsidRPr="00DE113E">
        <w:t>,</w:t>
      </w:r>
      <w:r w:rsidRPr="00DE113E">
        <w:rPr>
          <w:i/>
        </w:rPr>
        <w:t xml:space="preserve"> 20</w:t>
      </w:r>
      <w:r w:rsidRPr="00DE113E">
        <w:t xml:space="preserve">(12), 1023-1035. </w:t>
      </w:r>
      <w:hyperlink r:id="rId221" w:history="1">
        <w:r w:rsidRPr="00DE113E">
          <w:rPr>
            <w:rStyle w:val="Hyperlink"/>
          </w:rPr>
          <w:t>https://doi.org/10.1002/ptr.1970</w:t>
        </w:r>
      </w:hyperlink>
      <w:r w:rsidRPr="00DE113E">
        <w:t xml:space="preserve"> </w:t>
      </w:r>
      <w:bookmarkEnd w:id="212"/>
    </w:p>
    <w:p w14:paraId="478432EE" w14:textId="658C0972" w:rsidR="00DE113E" w:rsidRPr="00DE113E" w:rsidRDefault="00DE113E" w:rsidP="00DE113E">
      <w:pPr>
        <w:pStyle w:val="EndNoteBibliography"/>
        <w:spacing w:after="0"/>
        <w:ind w:left="720" w:hanging="720"/>
      </w:pPr>
      <w:bookmarkStart w:id="213" w:name="_ENREF_135"/>
      <w:r w:rsidRPr="00DE113E">
        <w:t xml:space="preserve">Li, C., Zheng, J., Wang, J., Gui, L., &amp; Li, C. (2009). An fMRI Stroop Task Study of Prefrontal Cortical Function in Normal Aging, Mild Cognitive Impairment, and Alzheimers Disease. </w:t>
      </w:r>
      <w:r w:rsidRPr="00DE113E">
        <w:rPr>
          <w:i/>
        </w:rPr>
        <w:t>Current Alzheimer Research</w:t>
      </w:r>
      <w:r w:rsidRPr="00DE113E">
        <w:t>,</w:t>
      </w:r>
      <w:r w:rsidRPr="00DE113E">
        <w:rPr>
          <w:i/>
        </w:rPr>
        <w:t xml:space="preserve"> 6</w:t>
      </w:r>
      <w:r w:rsidRPr="00DE113E">
        <w:t xml:space="preserve">(6), 525-530. </w:t>
      </w:r>
      <w:hyperlink r:id="rId222" w:history="1">
        <w:r w:rsidRPr="00DE113E">
          <w:rPr>
            <w:rStyle w:val="Hyperlink"/>
          </w:rPr>
          <w:t>https://doi.org/10.2174/156720509790147142</w:t>
        </w:r>
      </w:hyperlink>
      <w:r w:rsidRPr="00DE113E">
        <w:t xml:space="preserve"> </w:t>
      </w:r>
      <w:bookmarkEnd w:id="213"/>
    </w:p>
    <w:p w14:paraId="01E5A6B7" w14:textId="61E25EC9" w:rsidR="00DE113E" w:rsidRPr="00DE113E" w:rsidRDefault="00DE113E" w:rsidP="00DE113E">
      <w:pPr>
        <w:pStyle w:val="EndNoteBibliography"/>
        <w:spacing w:after="0"/>
        <w:ind w:left="720" w:hanging="720"/>
      </w:pPr>
      <w:bookmarkStart w:id="214" w:name="_ENREF_136"/>
      <w:r w:rsidRPr="00DE113E">
        <w:lastRenderedPageBreak/>
        <w:t xml:space="preserve">Li, D.-D., Zhang, Y.-H., Zhang, W., &amp; Zhao, P. (2019). Meta-Analysis of Randomized Controlled Trials on the Efficacy and Safety of Donepezil, Galantamine, Rivastigmine, and Memantine for the Treatment of Alzheimer’s Disease [Original Research]. </w:t>
      </w:r>
      <w:r w:rsidRPr="00DE113E">
        <w:rPr>
          <w:i/>
        </w:rPr>
        <w:t>Frontiers in Neuroscience</w:t>
      </w:r>
      <w:r w:rsidRPr="00DE113E">
        <w:t>,</w:t>
      </w:r>
      <w:r w:rsidRPr="00DE113E">
        <w:rPr>
          <w:i/>
        </w:rPr>
        <w:t xml:space="preserve"> Volume 13 - 2019</w:t>
      </w:r>
      <w:r w:rsidRPr="00DE113E">
        <w:t xml:space="preserve">. </w:t>
      </w:r>
      <w:hyperlink r:id="rId223" w:history="1">
        <w:r w:rsidRPr="00DE113E">
          <w:rPr>
            <w:rStyle w:val="Hyperlink"/>
          </w:rPr>
          <w:t>https://doi.org/10.3389/fnins.2019.00472</w:t>
        </w:r>
      </w:hyperlink>
      <w:r w:rsidRPr="00DE113E">
        <w:t xml:space="preserve"> </w:t>
      </w:r>
      <w:bookmarkEnd w:id="214"/>
    </w:p>
    <w:p w14:paraId="6574F50F" w14:textId="79CAC6E8" w:rsidR="00DE113E" w:rsidRPr="00DE113E" w:rsidRDefault="00DE113E" w:rsidP="00DE113E">
      <w:pPr>
        <w:pStyle w:val="EndNoteBibliography"/>
        <w:spacing w:after="0"/>
        <w:ind w:left="720" w:hanging="720"/>
      </w:pPr>
      <w:bookmarkStart w:id="215" w:name="_ENREF_137"/>
      <w:r w:rsidRPr="00DE113E">
        <w:t xml:space="preserve">Li, L., Nadanaciva, S., Berger, Z., Shen, W., Paumier, K. L., Schwartz, J., Mou, K., Loos, P., Milici, A. J., Dunlop, J., &amp; Hirst, W. D. (2013). Human A53T Α-Synuclein Causes Reversible Deficits in Mitochondrial Function and Dynamics in Primary Mouse Cortical Neurons. </w:t>
      </w:r>
      <w:r w:rsidRPr="00DE113E">
        <w:rPr>
          <w:i/>
        </w:rPr>
        <w:t>Plos One</w:t>
      </w:r>
      <w:r w:rsidRPr="00DE113E">
        <w:t>,</w:t>
      </w:r>
      <w:r w:rsidRPr="00DE113E">
        <w:rPr>
          <w:i/>
        </w:rPr>
        <w:t xml:space="preserve"> 8</w:t>
      </w:r>
      <w:r w:rsidRPr="00DE113E">
        <w:t xml:space="preserve">(12), e85815. </w:t>
      </w:r>
      <w:hyperlink r:id="rId224" w:history="1">
        <w:r w:rsidRPr="00DE113E">
          <w:rPr>
            <w:rStyle w:val="Hyperlink"/>
          </w:rPr>
          <w:t>https://doi.org/10.1371/journal.pone.0085815</w:t>
        </w:r>
      </w:hyperlink>
      <w:r w:rsidRPr="00DE113E">
        <w:t xml:space="preserve"> </w:t>
      </w:r>
      <w:bookmarkEnd w:id="215"/>
    </w:p>
    <w:p w14:paraId="188AB88B" w14:textId="0ECC4932" w:rsidR="00DE113E" w:rsidRPr="00DE113E" w:rsidRDefault="00DE113E" w:rsidP="00DE113E">
      <w:pPr>
        <w:pStyle w:val="EndNoteBibliography"/>
        <w:spacing w:after="0"/>
        <w:ind w:left="720" w:hanging="720"/>
      </w:pPr>
      <w:bookmarkStart w:id="216" w:name="_ENREF_138"/>
      <w:r w:rsidRPr="00DE113E">
        <w:t xml:space="preserve">Liao, J., Dong, G., Wulaer, B., Sawahata, M., Mizoguchi, H., Mori, D., Ozaki, N., Nabeshima, T., Nagai, T., &amp; Yamada, K. (2022). Mice with exonic RELN deletion identified from a patient with schizophrenia have impaired visual discrimination learning and reversal learning in touchscreen operant tasks. </w:t>
      </w:r>
      <w:r w:rsidRPr="00DE113E">
        <w:rPr>
          <w:i/>
        </w:rPr>
        <w:t>Behavioural Brain Research</w:t>
      </w:r>
      <w:r w:rsidRPr="00DE113E">
        <w:t>,</w:t>
      </w:r>
      <w:r w:rsidRPr="00DE113E">
        <w:rPr>
          <w:i/>
        </w:rPr>
        <w:t xml:space="preserve"> 416</w:t>
      </w:r>
      <w:r w:rsidRPr="00DE113E">
        <w:t xml:space="preserve">, 113569. </w:t>
      </w:r>
      <w:hyperlink r:id="rId225" w:history="1">
        <w:r w:rsidRPr="00DE113E">
          <w:rPr>
            <w:rStyle w:val="Hyperlink"/>
          </w:rPr>
          <w:t>https://doi.org/https://doi.org/10.1016/j.bbr.2021.113569</w:t>
        </w:r>
      </w:hyperlink>
      <w:r w:rsidRPr="00DE113E">
        <w:t xml:space="preserve"> </w:t>
      </w:r>
      <w:bookmarkEnd w:id="216"/>
    </w:p>
    <w:p w14:paraId="3A382D2F" w14:textId="4E2B7AD3" w:rsidR="00DE113E" w:rsidRPr="00DE113E" w:rsidRDefault="00DE113E" w:rsidP="00DE113E">
      <w:pPr>
        <w:pStyle w:val="EndNoteBibliography"/>
        <w:spacing w:after="0"/>
        <w:ind w:left="720" w:hanging="720"/>
      </w:pPr>
      <w:bookmarkStart w:id="217" w:name="_ENREF_139"/>
      <w:r w:rsidRPr="00DE113E">
        <w:t xml:space="preserve">Liu, R., Liu, I. Y., Bi, X., Thompson, R. F., Doctrow, S. R., Malfroy, B., &amp; Baudry, M. (2003). Reversal of Age-Related Learning Deficits and Brain Oxidative Stress in Mice With Superoxide Dismutase/Catalase Mimetics. </w:t>
      </w:r>
      <w:r w:rsidRPr="00DE113E">
        <w:rPr>
          <w:i/>
        </w:rPr>
        <w:t>Proceedings of the National Academy of Sciences</w:t>
      </w:r>
      <w:r w:rsidRPr="00DE113E">
        <w:t>,</w:t>
      </w:r>
      <w:r w:rsidRPr="00DE113E">
        <w:rPr>
          <w:i/>
        </w:rPr>
        <w:t xml:space="preserve"> 100</w:t>
      </w:r>
      <w:r w:rsidRPr="00DE113E">
        <w:t xml:space="preserve">(14), 8526-8531. </w:t>
      </w:r>
      <w:hyperlink r:id="rId226" w:history="1">
        <w:r w:rsidRPr="00DE113E">
          <w:rPr>
            <w:rStyle w:val="Hyperlink"/>
          </w:rPr>
          <w:t>https://doi.org/10.1073/pnas.1332809100</w:t>
        </w:r>
      </w:hyperlink>
      <w:r w:rsidRPr="00DE113E">
        <w:t xml:space="preserve"> </w:t>
      </w:r>
      <w:bookmarkEnd w:id="217"/>
    </w:p>
    <w:p w14:paraId="7533728A" w14:textId="6F4FD552" w:rsidR="00DE113E" w:rsidRPr="00DE113E" w:rsidRDefault="00DE113E" w:rsidP="00DE113E">
      <w:pPr>
        <w:pStyle w:val="EndNoteBibliography"/>
        <w:spacing w:after="0"/>
        <w:ind w:left="720" w:hanging="720"/>
      </w:pPr>
      <w:bookmarkStart w:id="218" w:name="_ENREF_140"/>
      <w:r w:rsidRPr="00DE113E">
        <w:t xml:space="preserve">Liu, Y., Tan, Y., Cheng, G., Ni, Y., Xie, A., Zhu, X., Yin, C., Zhang, Y., &amp; Chen, T. (2024). Customized Intranasal Hydrogel Delivering Methylene Blue Ameliorates Cognitive Dysfunction Against Alzheimer's Disease. </w:t>
      </w:r>
      <w:r w:rsidRPr="00DE113E">
        <w:rPr>
          <w:i/>
        </w:rPr>
        <w:t>Advanced Materials</w:t>
      </w:r>
      <w:r w:rsidRPr="00DE113E">
        <w:t>,</w:t>
      </w:r>
      <w:r w:rsidRPr="00DE113E">
        <w:rPr>
          <w:i/>
        </w:rPr>
        <w:t xml:space="preserve"> 36</w:t>
      </w:r>
      <w:r w:rsidRPr="00DE113E">
        <w:t xml:space="preserve">(19). </w:t>
      </w:r>
      <w:hyperlink r:id="rId227" w:history="1">
        <w:r w:rsidRPr="00DE113E">
          <w:rPr>
            <w:rStyle w:val="Hyperlink"/>
          </w:rPr>
          <w:t>https://doi.org/10.1002/adma.202307081</w:t>
        </w:r>
      </w:hyperlink>
      <w:r w:rsidRPr="00DE113E">
        <w:t xml:space="preserve"> </w:t>
      </w:r>
      <w:bookmarkEnd w:id="218"/>
    </w:p>
    <w:p w14:paraId="5F4BE40A" w14:textId="60AD5786" w:rsidR="00DE113E" w:rsidRPr="00DE113E" w:rsidRDefault="00DE113E" w:rsidP="00DE113E">
      <w:pPr>
        <w:pStyle w:val="EndNoteBibliography"/>
        <w:spacing w:after="0"/>
        <w:ind w:left="720" w:hanging="720"/>
      </w:pPr>
      <w:bookmarkStart w:id="219" w:name="_ENREF_141"/>
      <w:r w:rsidRPr="00DE113E">
        <w:t xml:space="preserve">Liu, Y., Zhong, Z., Chen, J., Kuo, H., Chen, X., Wang, P., Shi, M., Yang, M., Liu, B., &amp; Liu, G. (2024). Brain Activation Patterns in Patients With Post-Stroke Cognitive Impairment During Working Memory Task: A Functional Near-Infrared Spectroscopy Study. </w:t>
      </w:r>
      <w:r w:rsidRPr="00DE113E">
        <w:rPr>
          <w:i/>
        </w:rPr>
        <w:t>Frontiers in Neurology</w:t>
      </w:r>
      <w:r w:rsidRPr="00DE113E">
        <w:t>,</w:t>
      </w:r>
      <w:r w:rsidRPr="00DE113E">
        <w:rPr>
          <w:i/>
        </w:rPr>
        <w:t xml:space="preserve"> 15</w:t>
      </w:r>
      <w:r w:rsidRPr="00DE113E">
        <w:t xml:space="preserve">. </w:t>
      </w:r>
      <w:hyperlink r:id="rId228" w:history="1">
        <w:r w:rsidRPr="00DE113E">
          <w:rPr>
            <w:rStyle w:val="Hyperlink"/>
          </w:rPr>
          <w:t>https://doi.org/10.3389/fneur.2024.1419128</w:t>
        </w:r>
      </w:hyperlink>
      <w:r w:rsidRPr="00DE113E">
        <w:t xml:space="preserve"> </w:t>
      </w:r>
      <w:bookmarkEnd w:id="219"/>
    </w:p>
    <w:p w14:paraId="1C001A1A" w14:textId="15F32941" w:rsidR="00DE113E" w:rsidRPr="00DE113E" w:rsidRDefault="00DE113E" w:rsidP="00DE113E">
      <w:pPr>
        <w:pStyle w:val="EndNoteBibliography"/>
        <w:spacing w:after="0"/>
        <w:ind w:left="720" w:hanging="720"/>
      </w:pPr>
      <w:bookmarkStart w:id="220" w:name="_ENREF_142"/>
      <w:r w:rsidRPr="00DE113E">
        <w:t xml:space="preserve">Locke, T. M., Soden, M. E., Miller, S., Hunker, A. C., Knakal, C. R., Licholai, J. A., Dhillon, K. S., Keene, C. D., Zweifel, L. S., &amp; Carlson, E. S. (2018). Dopamine D1 Receptor–Positive Neurons in the Lateral Nucleus of the Cerebellum Contribute to Cognitive Behavior. </w:t>
      </w:r>
      <w:r w:rsidRPr="00DE113E">
        <w:rPr>
          <w:i/>
        </w:rPr>
        <w:t>Biological Psychiatry</w:t>
      </w:r>
      <w:r w:rsidRPr="00DE113E">
        <w:t>,</w:t>
      </w:r>
      <w:r w:rsidRPr="00DE113E">
        <w:rPr>
          <w:i/>
        </w:rPr>
        <w:t xml:space="preserve"> 84</w:t>
      </w:r>
      <w:r w:rsidRPr="00DE113E">
        <w:t xml:space="preserve">(6), 401-412. </w:t>
      </w:r>
      <w:hyperlink r:id="rId229" w:history="1">
        <w:r w:rsidRPr="00DE113E">
          <w:rPr>
            <w:rStyle w:val="Hyperlink"/>
          </w:rPr>
          <w:t>https://doi.org/10.1016/j.biopsych.2018.01.019</w:t>
        </w:r>
      </w:hyperlink>
      <w:r w:rsidRPr="00DE113E">
        <w:t xml:space="preserve"> </w:t>
      </w:r>
      <w:bookmarkEnd w:id="220"/>
    </w:p>
    <w:p w14:paraId="19275C2C" w14:textId="5726C26A" w:rsidR="00DE113E" w:rsidRPr="00EF5663" w:rsidRDefault="00DE113E" w:rsidP="00DE113E">
      <w:pPr>
        <w:pStyle w:val="EndNoteBibliography"/>
        <w:spacing w:after="0"/>
        <w:ind w:left="720" w:hanging="720"/>
        <w:rPr>
          <w:lang w:val="it-IT"/>
        </w:rPr>
      </w:pPr>
      <w:bookmarkStart w:id="221" w:name="_ENREF_143"/>
      <w:r w:rsidRPr="00DE113E">
        <w:t xml:space="preserve">Lomas, C., Dubey, R. C., Perez-Alvarez, G., Lopez Hernandez, Y., Atmar, A., Arias, A. Y., Vashist, A., Aggarwal, S., Manickam, P., Lakshmana, M. K., &amp; Vashist, A. (2025). Recent advances in nanotherapeutics for HIV-associated neurocognitive disorders and substance use disorders. </w:t>
      </w:r>
      <w:r w:rsidRPr="00EF5663">
        <w:rPr>
          <w:i/>
          <w:lang w:val="it-IT"/>
        </w:rPr>
        <w:t>Nanomedicine</w:t>
      </w:r>
      <w:r w:rsidRPr="00EF5663">
        <w:rPr>
          <w:lang w:val="it-IT"/>
        </w:rPr>
        <w:t>,</w:t>
      </w:r>
      <w:r w:rsidRPr="00EF5663">
        <w:rPr>
          <w:i/>
          <w:lang w:val="it-IT"/>
        </w:rPr>
        <w:t xml:space="preserve"> 20</w:t>
      </w:r>
      <w:r w:rsidRPr="00EF5663">
        <w:rPr>
          <w:lang w:val="it-IT"/>
        </w:rPr>
        <w:t xml:space="preserve">(6), 603-619. </w:t>
      </w:r>
      <w:hyperlink r:id="rId230" w:history="1">
        <w:r w:rsidRPr="00EF5663">
          <w:rPr>
            <w:rStyle w:val="Hyperlink"/>
            <w:lang w:val="it-IT"/>
          </w:rPr>
          <w:t>https://doi.org/10.1080/17435889.2025.2461984</w:t>
        </w:r>
      </w:hyperlink>
      <w:r w:rsidRPr="00EF5663">
        <w:rPr>
          <w:lang w:val="it-IT"/>
        </w:rPr>
        <w:t xml:space="preserve"> </w:t>
      </w:r>
      <w:bookmarkEnd w:id="221"/>
    </w:p>
    <w:p w14:paraId="4B91617D" w14:textId="244379AC" w:rsidR="00DE113E" w:rsidRPr="00DE113E" w:rsidRDefault="00DE113E" w:rsidP="00DE113E">
      <w:pPr>
        <w:pStyle w:val="EndNoteBibliography"/>
        <w:spacing w:after="0"/>
        <w:ind w:left="720" w:hanging="720"/>
      </w:pPr>
      <w:bookmarkStart w:id="222" w:name="_ENREF_144"/>
      <w:r w:rsidRPr="00EF5663">
        <w:rPr>
          <w:lang w:val="it-IT"/>
        </w:rPr>
        <w:t xml:space="preserve">López-Higes, R., Valdehita, S. R., Delgado‐Losada, M. L., &amp; López‐Sanz, D. (2023). </w:t>
      </w:r>
      <w:r w:rsidRPr="00DE113E">
        <w:t xml:space="preserve">Influence of Cognitive Reserve on Neuropsychological Performance in Subjective Cognitive Decline and Mild Cognitive Impairment Older Adults. </w:t>
      </w:r>
      <w:r w:rsidRPr="00DE113E">
        <w:rPr>
          <w:i/>
        </w:rPr>
        <w:t>Current Psychology</w:t>
      </w:r>
      <w:r w:rsidRPr="00DE113E">
        <w:t>,</w:t>
      </w:r>
      <w:r w:rsidRPr="00DE113E">
        <w:rPr>
          <w:i/>
        </w:rPr>
        <w:t xml:space="preserve"> 43</w:t>
      </w:r>
      <w:r w:rsidRPr="00DE113E">
        <w:t xml:space="preserve">(4), 3266-3274. </w:t>
      </w:r>
      <w:hyperlink r:id="rId231" w:history="1">
        <w:r w:rsidRPr="00DE113E">
          <w:rPr>
            <w:rStyle w:val="Hyperlink"/>
          </w:rPr>
          <w:t>https://doi.org/10.1007/s12144-023-04534-z</w:t>
        </w:r>
      </w:hyperlink>
      <w:r w:rsidRPr="00DE113E">
        <w:t xml:space="preserve"> </w:t>
      </w:r>
      <w:bookmarkEnd w:id="222"/>
    </w:p>
    <w:p w14:paraId="0C0AC2DA" w14:textId="2BC4007D" w:rsidR="00DE113E" w:rsidRPr="00DE113E" w:rsidRDefault="00DE113E" w:rsidP="00DE113E">
      <w:pPr>
        <w:pStyle w:val="EndNoteBibliography"/>
        <w:spacing w:after="0"/>
        <w:ind w:left="720" w:hanging="720"/>
      </w:pPr>
      <w:bookmarkStart w:id="223" w:name="_ENREF_145"/>
      <w:r w:rsidRPr="00DE113E">
        <w:t xml:space="preserve">Luo, J., Tan, J. M., &amp; Nithianantharajah, J. (2020). Associative Learning and Motivation Differentially Requires Neuroligin-1 at Excitatory Synapses. </w:t>
      </w:r>
      <w:r w:rsidRPr="00DE113E">
        <w:rPr>
          <w:i/>
        </w:rPr>
        <w:t>bioRxiv</w:t>
      </w:r>
      <w:r w:rsidRPr="00DE113E">
        <w:t xml:space="preserve">, 2020.2001.2001.890798. </w:t>
      </w:r>
      <w:hyperlink r:id="rId232" w:history="1">
        <w:r w:rsidRPr="00DE113E">
          <w:rPr>
            <w:rStyle w:val="Hyperlink"/>
          </w:rPr>
          <w:t>https://doi.org/10.1101/2020.01.01.890798</w:t>
        </w:r>
      </w:hyperlink>
      <w:r w:rsidRPr="00DE113E">
        <w:t xml:space="preserve"> </w:t>
      </w:r>
      <w:bookmarkEnd w:id="223"/>
    </w:p>
    <w:p w14:paraId="46E71F04" w14:textId="44759E19" w:rsidR="00DE113E" w:rsidRPr="00DE113E" w:rsidRDefault="00DE113E" w:rsidP="00DE113E">
      <w:pPr>
        <w:pStyle w:val="EndNoteBibliography"/>
        <w:spacing w:after="0"/>
        <w:ind w:left="720" w:hanging="720"/>
      </w:pPr>
      <w:bookmarkStart w:id="224" w:name="_ENREF_146"/>
      <w:r w:rsidRPr="00DE113E">
        <w:t xml:space="preserve">Luxton, D., Thorpe, N., Crane, E., Warne, M., Cornwall, O., El-Dalil, D., Matthews, J., &amp; Rajkumar, A. P. (2025). Systematic review of the efficacy of pharmacological and non-pharmacological interventions for improving quality of life of people with </w:t>
      </w:r>
      <w:r w:rsidRPr="00DE113E">
        <w:lastRenderedPageBreak/>
        <w:t xml:space="preserve">dementia. </w:t>
      </w:r>
      <w:r w:rsidRPr="00DE113E">
        <w:rPr>
          <w:i/>
        </w:rPr>
        <w:t>The British Journal of Psychiatry</w:t>
      </w:r>
      <w:r w:rsidRPr="00DE113E">
        <w:t xml:space="preserve">, 1-13. </w:t>
      </w:r>
      <w:hyperlink r:id="rId233" w:history="1">
        <w:r w:rsidRPr="00DE113E">
          <w:rPr>
            <w:rStyle w:val="Hyperlink"/>
          </w:rPr>
          <w:t>https://doi.org/10.1192/bjp.2025.11</w:t>
        </w:r>
      </w:hyperlink>
      <w:r w:rsidRPr="00DE113E">
        <w:t xml:space="preserve"> </w:t>
      </w:r>
      <w:bookmarkEnd w:id="224"/>
    </w:p>
    <w:p w14:paraId="0751129E" w14:textId="7EFA4347" w:rsidR="00DE113E" w:rsidRPr="00DE113E" w:rsidRDefault="00DE113E" w:rsidP="00DE113E">
      <w:pPr>
        <w:pStyle w:val="EndNoteBibliography"/>
        <w:spacing w:after="0"/>
        <w:ind w:left="720" w:hanging="720"/>
      </w:pPr>
      <w:bookmarkStart w:id="225" w:name="_ENREF_147"/>
      <w:r w:rsidRPr="00DE113E">
        <w:t xml:space="preserve">Malhi, G. S., Bell, E., Bassett, D., Boyce, P., Bryant, R., Hazell, P., Hopwood, M., Lyndon, B., Mulder, R., Porter, R., Singh, A. B., &amp; Murray, G. (2021). The 2020 Royal Australian and New Zealand College of Psychiatrists clinical practice guidelines for mood disorders. </w:t>
      </w:r>
      <w:r w:rsidRPr="00DE113E">
        <w:rPr>
          <w:i/>
        </w:rPr>
        <w:t>Aust N Z J Psychiatry</w:t>
      </w:r>
      <w:r w:rsidRPr="00DE113E">
        <w:t>,</w:t>
      </w:r>
      <w:r w:rsidRPr="00DE113E">
        <w:rPr>
          <w:i/>
        </w:rPr>
        <w:t xml:space="preserve"> 55</w:t>
      </w:r>
      <w:r w:rsidRPr="00DE113E">
        <w:t xml:space="preserve">(1), 7-117. </w:t>
      </w:r>
      <w:hyperlink r:id="rId234" w:history="1">
        <w:r w:rsidRPr="00DE113E">
          <w:rPr>
            <w:rStyle w:val="Hyperlink"/>
          </w:rPr>
          <w:t>https://doi.org/10.1177/0004867420979353</w:t>
        </w:r>
      </w:hyperlink>
      <w:r w:rsidRPr="00DE113E">
        <w:t xml:space="preserve"> </w:t>
      </w:r>
      <w:bookmarkEnd w:id="225"/>
    </w:p>
    <w:p w14:paraId="004AE702" w14:textId="64733A29" w:rsidR="00DE113E" w:rsidRPr="00DE113E" w:rsidRDefault="00DE113E" w:rsidP="00DE113E">
      <w:pPr>
        <w:pStyle w:val="EndNoteBibliography"/>
        <w:spacing w:after="0"/>
        <w:ind w:left="720" w:hanging="720"/>
      </w:pPr>
      <w:bookmarkStart w:id="226" w:name="_ENREF_148"/>
      <w:r w:rsidRPr="00DE113E">
        <w:t xml:space="preserve">Malík, M., &amp; Tlustoš, P. (2022). Nootropics as Cognitive Enhancers: Types, Dosage and Side Effects of Smart Drugs. </w:t>
      </w:r>
      <w:r w:rsidRPr="00DE113E">
        <w:rPr>
          <w:i/>
        </w:rPr>
        <w:t>Nutrients</w:t>
      </w:r>
      <w:r w:rsidRPr="00DE113E">
        <w:t>,</w:t>
      </w:r>
      <w:r w:rsidRPr="00DE113E">
        <w:rPr>
          <w:i/>
        </w:rPr>
        <w:t xml:space="preserve"> 14</w:t>
      </w:r>
      <w:r w:rsidRPr="00DE113E">
        <w:t xml:space="preserve">(16), 3367. </w:t>
      </w:r>
      <w:hyperlink r:id="rId235" w:history="1">
        <w:r w:rsidRPr="00DE113E">
          <w:rPr>
            <w:rStyle w:val="Hyperlink"/>
          </w:rPr>
          <w:t>https://doi.org/10.3390/nu14163367</w:t>
        </w:r>
      </w:hyperlink>
      <w:r w:rsidRPr="00DE113E">
        <w:t xml:space="preserve"> </w:t>
      </w:r>
      <w:bookmarkEnd w:id="226"/>
    </w:p>
    <w:p w14:paraId="167E974C" w14:textId="59AEC6D0" w:rsidR="00DE113E" w:rsidRPr="00DE113E" w:rsidRDefault="00DE113E" w:rsidP="00DE113E">
      <w:pPr>
        <w:pStyle w:val="EndNoteBibliography"/>
        <w:spacing w:after="0"/>
        <w:ind w:left="720" w:hanging="720"/>
      </w:pPr>
      <w:bookmarkStart w:id="227" w:name="_ENREF_149"/>
      <w:r w:rsidRPr="00DE113E">
        <w:t xml:space="preserve">Maresova, P., Hruska, J., Klimova, B., Barakovic, S., &amp; Krejcar, O. (2020). Activities of Daily Living and Associated Costs in the Most Widespread Neurodegenerative Diseases: A Systematic Review. </w:t>
      </w:r>
      <w:r w:rsidRPr="00DE113E">
        <w:rPr>
          <w:i/>
        </w:rPr>
        <w:t>Clin Interv Aging</w:t>
      </w:r>
      <w:r w:rsidRPr="00DE113E">
        <w:t>,</w:t>
      </w:r>
      <w:r w:rsidRPr="00DE113E">
        <w:rPr>
          <w:i/>
        </w:rPr>
        <w:t xml:space="preserve"> 15</w:t>
      </w:r>
      <w:r w:rsidRPr="00DE113E">
        <w:t xml:space="preserve">, 1841-1862. </w:t>
      </w:r>
      <w:hyperlink r:id="rId236" w:history="1">
        <w:r w:rsidRPr="00DE113E">
          <w:rPr>
            <w:rStyle w:val="Hyperlink"/>
          </w:rPr>
          <w:t>https://doi.org/10.2147/cia.S264688</w:t>
        </w:r>
      </w:hyperlink>
      <w:r w:rsidRPr="00DE113E">
        <w:t xml:space="preserve"> </w:t>
      </w:r>
      <w:bookmarkEnd w:id="227"/>
    </w:p>
    <w:p w14:paraId="284BE51F" w14:textId="31EC7B1D" w:rsidR="00DE113E" w:rsidRPr="00DE113E" w:rsidRDefault="00DE113E" w:rsidP="00DE113E">
      <w:pPr>
        <w:pStyle w:val="EndNoteBibliography"/>
        <w:spacing w:after="0"/>
        <w:ind w:left="720" w:hanging="720"/>
      </w:pPr>
      <w:bookmarkStart w:id="228" w:name="_ENREF_150"/>
      <w:r w:rsidRPr="00DE113E">
        <w:t xml:space="preserve">Martín-González, E., Olmedo-Córdoba, M., Flores, P., &amp; Moreno, M. (2023). Differential Neurobiological Markers in Phenotype-Stratified Rats Modeling High or Low Vulnerability to Compulsive Behavior: A Narrative Review. </w:t>
      </w:r>
      <w:r w:rsidRPr="00DE113E">
        <w:rPr>
          <w:i/>
        </w:rPr>
        <w:t>Current Neuropharmacology</w:t>
      </w:r>
      <w:r w:rsidRPr="00DE113E">
        <w:t>,</w:t>
      </w:r>
      <w:r w:rsidRPr="00DE113E">
        <w:rPr>
          <w:i/>
        </w:rPr>
        <w:t xml:space="preserve"> 21</w:t>
      </w:r>
      <w:r w:rsidRPr="00DE113E">
        <w:t xml:space="preserve">(9), 1924-1933. </w:t>
      </w:r>
      <w:hyperlink r:id="rId237" w:history="1">
        <w:r w:rsidRPr="00DE113E">
          <w:rPr>
            <w:rStyle w:val="Hyperlink"/>
          </w:rPr>
          <w:t>https://doi.org/10.2174/1570159x21666221121091454</w:t>
        </w:r>
      </w:hyperlink>
      <w:r w:rsidRPr="00DE113E">
        <w:t xml:space="preserve"> </w:t>
      </w:r>
      <w:bookmarkEnd w:id="228"/>
    </w:p>
    <w:p w14:paraId="6CFE4111" w14:textId="64F579EF" w:rsidR="00DE113E" w:rsidRPr="00DE113E" w:rsidRDefault="00DE113E" w:rsidP="00DE113E">
      <w:pPr>
        <w:pStyle w:val="EndNoteBibliography"/>
        <w:spacing w:after="0"/>
        <w:ind w:left="720" w:hanging="720"/>
      </w:pPr>
      <w:bookmarkStart w:id="229" w:name="_ENREF_151"/>
      <w:r w:rsidRPr="00DE113E">
        <w:t xml:space="preserve">Marttinen, M., Kurkinen, K. M. A., Soininen, H., Haapasalo, A., &amp; Hiltunen, M. (2015). Synaptic Dysfunction and Septin Protein Family Members in Neurodegenerative Diseases. </w:t>
      </w:r>
      <w:r w:rsidRPr="00DE113E">
        <w:rPr>
          <w:i/>
        </w:rPr>
        <w:t>Molecular Neurodegeneration</w:t>
      </w:r>
      <w:r w:rsidRPr="00DE113E">
        <w:t>,</w:t>
      </w:r>
      <w:r w:rsidRPr="00DE113E">
        <w:rPr>
          <w:i/>
        </w:rPr>
        <w:t xml:space="preserve"> 10</w:t>
      </w:r>
      <w:r w:rsidRPr="00DE113E">
        <w:t xml:space="preserve">(1). </w:t>
      </w:r>
      <w:hyperlink r:id="rId238" w:history="1">
        <w:r w:rsidRPr="00DE113E">
          <w:rPr>
            <w:rStyle w:val="Hyperlink"/>
          </w:rPr>
          <w:t>https://doi.org/10.1186/s13024-015-0013-z</w:t>
        </w:r>
      </w:hyperlink>
      <w:r w:rsidRPr="00DE113E">
        <w:t xml:space="preserve"> </w:t>
      </w:r>
      <w:bookmarkEnd w:id="229"/>
    </w:p>
    <w:p w14:paraId="7027BA05" w14:textId="5CCDEC6F" w:rsidR="00DE113E" w:rsidRPr="00DE113E" w:rsidRDefault="00DE113E" w:rsidP="00DE113E">
      <w:pPr>
        <w:pStyle w:val="EndNoteBibliography"/>
        <w:spacing w:after="0"/>
        <w:ind w:left="720" w:hanging="720"/>
      </w:pPr>
      <w:bookmarkStart w:id="230" w:name="_ENREF_152"/>
      <w:r w:rsidRPr="00DE113E">
        <w:t xml:space="preserve">Mayse, J. D., Nelson, G. M., Park, P., Gallagher, M., &amp; Lin, S. C. (2014). Proactive and Reactive Inhibitory Control in Rats. </w:t>
      </w:r>
      <w:r w:rsidRPr="00DE113E">
        <w:rPr>
          <w:i/>
        </w:rPr>
        <w:t>Frontiers in Neuroscience</w:t>
      </w:r>
      <w:r w:rsidRPr="00DE113E">
        <w:t>,</w:t>
      </w:r>
      <w:r w:rsidRPr="00DE113E">
        <w:rPr>
          <w:i/>
        </w:rPr>
        <w:t xml:space="preserve"> 8</w:t>
      </w:r>
      <w:r w:rsidRPr="00DE113E">
        <w:t xml:space="preserve">. </w:t>
      </w:r>
      <w:hyperlink r:id="rId239" w:history="1">
        <w:r w:rsidRPr="00DE113E">
          <w:rPr>
            <w:rStyle w:val="Hyperlink"/>
          </w:rPr>
          <w:t>https://doi.org/10.3389/fnins.2014.00104</w:t>
        </w:r>
      </w:hyperlink>
      <w:r w:rsidRPr="00DE113E">
        <w:t xml:space="preserve"> </w:t>
      </w:r>
      <w:bookmarkEnd w:id="230"/>
    </w:p>
    <w:p w14:paraId="627310F5" w14:textId="6652E3E4" w:rsidR="00DE113E" w:rsidRPr="00DE113E" w:rsidRDefault="00DE113E" w:rsidP="00DE113E">
      <w:pPr>
        <w:pStyle w:val="EndNoteBibliography"/>
        <w:spacing w:after="0"/>
        <w:ind w:left="720" w:hanging="720"/>
      </w:pPr>
      <w:bookmarkStart w:id="231" w:name="_ENREF_153"/>
      <w:r w:rsidRPr="00DE113E">
        <w:t xml:space="preserve">Maziuk, B., Ballance, H. I., &amp; Wolozin, B. (2017). Dysregulation of RNA Binding Protein Aggregation in Neurodegenerative Disorders [Review]. </w:t>
      </w:r>
      <w:r w:rsidRPr="00DE113E">
        <w:rPr>
          <w:i/>
        </w:rPr>
        <w:t>Frontiers in Molecular Neuroscience</w:t>
      </w:r>
      <w:r w:rsidRPr="00DE113E">
        <w:t>,</w:t>
      </w:r>
      <w:r w:rsidRPr="00DE113E">
        <w:rPr>
          <w:i/>
        </w:rPr>
        <w:t xml:space="preserve"> Volume 10 - 2017</w:t>
      </w:r>
      <w:r w:rsidRPr="00DE113E">
        <w:t xml:space="preserve">. </w:t>
      </w:r>
      <w:hyperlink r:id="rId240" w:history="1">
        <w:r w:rsidRPr="00DE113E">
          <w:rPr>
            <w:rStyle w:val="Hyperlink"/>
          </w:rPr>
          <w:t>https://doi.org/10.3389/fnmol.2017.00089</w:t>
        </w:r>
      </w:hyperlink>
      <w:r w:rsidRPr="00DE113E">
        <w:t xml:space="preserve"> </w:t>
      </w:r>
      <w:bookmarkEnd w:id="231"/>
    </w:p>
    <w:p w14:paraId="07514929" w14:textId="169860C9" w:rsidR="00DE113E" w:rsidRPr="00DE113E" w:rsidRDefault="00DE113E" w:rsidP="00DE113E">
      <w:pPr>
        <w:pStyle w:val="EndNoteBibliography"/>
        <w:spacing w:after="0"/>
        <w:ind w:left="720" w:hanging="720"/>
      </w:pPr>
      <w:bookmarkStart w:id="232" w:name="_ENREF_154"/>
      <w:r w:rsidRPr="00DE113E">
        <w:t xml:space="preserve">McGonigle, C. E., Lapish, C. C., &amp; Logrip, M. L. (2022). Male and Female Impairments in Odor Span Are Observed in a Rat Model of PTSD. </w:t>
      </w:r>
      <w:r w:rsidRPr="00DE113E">
        <w:rPr>
          <w:i/>
        </w:rPr>
        <w:t>Learning &amp; Memory</w:t>
      </w:r>
      <w:r w:rsidRPr="00DE113E">
        <w:t>,</w:t>
      </w:r>
      <w:r w:rsidRPr="00DE113E">
        <w:rPr>
          <w:i/>
        </w:rPr>
        <w:t xml:space="preserve"> 30</w:t>
      </w:r>
      <w:r w:rsidRPr="00DE113E">
        <w:t xml:space="preserve">(1), 1-11. </w:t>
      </w:r>
      <w:hyperlink r:id="rId241" w:history="1">
        <w:r w:rsidRPr="00DE113E">
          <w:rPr>
            <w:rStyle w:val="Hyperlink"/>
          </w:rPr>
          <w:t>https://doi.org/10.1101/lm.053620.122</w:t>
        </w:r>
      </w:hyperlink>
      <w:r w:rsidRPr="00DE113E">
        <w:t xml:space="preserve"> </w:t>
      </w:r>
      <w:bookmarkEnd w:id="232"/>
    </w:p>
    <w:p w14:paraId="7645B4F7" w14:textId="3F14C8EB" w:rsidR="00DE113E" w:rsidRPr="00DE113E" w:rsidRDefault="00DE113E" w:rsidP="00DE113E">
      <w:pPr>
        <w:pStyle w:val="EndNoteBibliography"/>
        <w:spacing w:after="0"/>
        <w:ind w:left="720" w:hanging="720"/>
      </w:pPr>
      <w:bookmarkStart w:id="233" w:name="_ENREF_155"/>
      <w:r w:rsidRPr="00DE113E">
        <w:t xml:space="preserve">McIntyre, R. S., &amp; Calabrese, J. R. (2019). Bipolar depression: the clinical characteristics and unmet needs of a complex disorder. </w:t>
      </w:r>
      <w:r w:rsidRPr="00DE113E">
        <w:rPr>
          <w:i/>
        </w:rPr>
        <w:t>Current Medical Research and Opinion</w:t>
      </w:r>
      <w:r w:rsidRPr="00DE113E">
        <w:t>,</w:t>
      </w:r>
      <w:r w:rsidRPr="00DE113E">
        <w:rPr>
          <w:i/>
        </w:rPr>
        <w:t xml:space="preserve"> 35</w:t>
      </w:r>
      <w:r w:rsidRPr="00DE113E">
        <w:t xml:space="preserve">(11), 1993-2005. </w:t>
      </w:r>
      <w:hyperlink r:id="rId242" w:history="1">
        <w:r w:rsidRPr="00DE113E">
          <w:rPr>
            <w:rStyle w:val="Hyperlink"/>
          </w:rPr>
          <w:t>https://doi.org/10.1080/03007995.2019.1636017</w:t>
        </w:r>
      </w:hyperlink>
      <w:r w:rsidRPr="00DE113E">
        <w:t xml:space="preserve"> </w:t>
      </w:r>
      <w:bookmarkEnd w:id="233"/>
    </w:p>
    <w:p w14:paraId="38288ACF" w14:textId="0FD28425" w:rsidR="00DE113E" w:rsidRPr="00DE113E" w:rsidRDefault="00DE113E" w:rsidP="00DE113E">
      <w:pPr>
        <w:pStyle w:val="EndNoteBibliography"/>
        <w:spacing w:after="0"/>
        <w:ind w:left="720" w:hanging="720"/>
      </w:pPr>
      <w:bookmarkStart w:id="234" w:name="_ENREF_156"/>
      <w:r w:rsidRPr="00DE113E">
        <w:t xml:space="preserve">Meftah, S., &amp; Gan, J. (2023). Alzheimer’s Disease as a Synaptopathy: Evidence for Dysfunction of Synapses During Disease Progression. </w:t>
      </w:r>
      <w:r w:rsidRPr="00DE113E">
        <w:rPr>
          <w:i/>
        </w:rPr>
        <w:t>Frontiers in Synaptic Neuroscience</w:t>
      </w:r>
      <w:r w:rsidRPr="00DE113E">
        <w:t>,</w:t>
      </w:r>
      <w:r w:rsidRPr="00DE113E">
        <w:rPr>
          <w:i/>
        </w:rPr>
        <w:t xml:space="preserve"> 15</w:t>
      </w:r>
      <w:r w:rsidRPr="00DE113E">
        <w:t xml:space="preserve">. </w:t>
      </w:r>
      <w:hyperlink r:id="rId243" w:history="1">
        <w:r w:rsidRPr="00DE113E">
          <w:rPr>
            <w:rStyle w:val="Hyperlink"/>
          </w:rPr>
          <w:t>https://doi.org/10.3389/fnsyn.2023.1129036</w:t>
        </w:r>
      </w:hyperlink>
      <w:r w:rsidRPr="00DE113E">
        <w:t xml:space="preserve"> </w:t>
      </w:r>
      <w:bookmarkEnd w:id="234"/>
    </w:p>
    <w:p w14:paraId="43AE3C3E" w14:textId="3D0950D0" w:rsidR="00DE113E" w:rsidRPr="00DE113E" w:rsidRDefault="00DE113E" w:rsidP="00DE113E">
      <w:pPr>
        <w:pStyle w:val="EndNoteBibliography"/>
        <w:spacing w:after="0"/>
        <w:ind w:left="720" w:hanging="720"/>
      </w:pPr>
      <w:bookmarkStart w:id="235" w:name="_ENREF_157"/>
      <w:r w:rsidRPr="00DE113E">
        <w:t xml:space="preserve">Memar, S., Jiang, E. P., Prado, V. F., Saksida, L. M., Bussey, T. J., &amp; Prado, M. A. M. (2023). Open Science and Data Sharing in Cognitive Neuroscience With MouseBytes and MouseBytes+. </w:t>
      </w:r>
      <w:r w:rsidRPr="00DE113E">
        <w:rPr>
          <w:i/>
        </w:rPr>
        <w:t>Scientific Data</w:t>
      </w:r>
      <w:r w:rsidRPr="00DE113E">
        <w:t>,</w:t>
      </w:r>
      <w:r w:rsidRPr="00DE113E">
        <w:rPr>
          <w:i/>
        </w:rPr>
        <w:t xml:space="preserve"> 10</w:t>
      </w:r>
      <w:r w:rsidRPr="00DE113E">
        <w:t xml:space="preserve">(1). </w:t>
      </w:r>
      <w:hyperlink r:id="rId244" w:history="1">
        <w:r w:rsidRPr="00DE113E">
          <w:rPr>
            <w:rStyle w:val="Hyperlink"/>
          </w:rPr>
          <w:t>https://doi.org/10.1038/s41597-023-02106-1</w:t>
        </w:r>
      </w:hyperlink>
      <w:r w:rsidRPr="00DE113E">
        <w:t xml:space="preserve"> </w:t>
      </w:r>
      <w:bookmarkEnd w:id="235"/>
    </w:p>
    <w:p w14:paraId="662A9F13" w14:textId="60A26707" w:rsidR="00DE113E" w:rsidRPr="00DE113E" w:rsidRDefault="00DE113E" w:rsidP="00DE113E">
      <w:pPr>
        <w:pStyle w:val="EndNoteBibliography"/>
        <w:spacing w:after="0"/>
        <w:ind w:left="720" w:hanging="720"/>
      </w:pPr>
      <w:bookmarkStart w:id="236" w:name="_ENREF_158"/>
      <w:r w:rsidRPr="00DE113E">
        <w:t xml:space="preserve">Moga, D. C., Beech, B. F., Abner, E. L., Schmitt, F. A., Khouli, R. H. E., Martinez, A. I., Eckmann, L., Huffmyer, M., George, R., &amp; Jicha, G. A. (2019). INtervention for Cognitive Reserve Enhancement in Delaying the Onset of Alzheimer’s Symptomatic Expression (INCREASE), a Randomized Controlled Trial: Rationale, Study Design, and Protocol. </w:t>
      </w:r>
      <w:r w:rsidRPr="00DE113E">
        <w:rPr>
          <w:i/>
        </w:rPr>
        <w:t>Trials</w:t>
      </w:r>
      <w:r w:rsidRPr="00DE113E">
        <w:t>,</w:t>
      </w:r>
      <w:r w:rsidRPr="00DE113E">
        <w:rPr>
          <w:i/>
        </w:rPr>
        <w:t xml:space="preserve"> 20</w:t>
      </w:r>
      <w:r w:rsidRPr="00DE113E">
        <w:t xml:space="preserve">(1). </w:t>
      </w:r>
      <w:hyperlink r:id="rId245" w:history="1">
        <w:r w:rsidRPr="00DE113E">
          <w:rPr>
            <w:rStyle w:val="Hyperlink"/>
          </w:rPr>
          <w:t>https://doi.org/10.1186/s13063-019-3993-0</w:t>
        </w:r>
      </w:hyperlink>
      <w:r w:rsidRPr="00DE113E">
        <w:t xml:space="preserve"> </w:t>
      </w:r>
      <w:bookmarkEnd w:id="236"/>
    </w:p>
    <w:p w14:paraId="46EEE7EF" w14:textId="6175E0CA" w:rsidR="00DE113E" w:rsidRPr="00DE113E" w:rsidRDefault="00DE113E" w:rsidP="00DE113E">
      <w:pPr>
        <w:pStyle w:val="EndNoteBibliography"/>
        <w:spacing w:after="0"/>
        <w:ind w:left="720" w:hanging="720"/>
      </w:pPr>
      <w:bookmarkStart w:id="237" w:name="_ENREF_159"/>
      <w:r w:rsidRPr="00DE113E">
        <w:t xml:space="preserve">Monov, G., Stein, H., Klock, L., Gallinat, J., Kühn, S., Lincoln, T. M., Krkovic, K., Murphy, P. R., &amp; Donner, T. H. (2024). Linking Cognitive Integrity to Working Memory </w:t>
      </w:r>
      <w:r w:rsidRPr="00DE113E">
        <w:lastRenderedPageBreak/>
        <w:t xml:space="preserve">Dynamics in the Aging Human Brain. </w:t>
      </w:r>
      <w:r w:rsidRPr="00DE113E">
        <w:rPr>
          <w:i/>
        </w:rPr>
        <w:t>Journal of Neuroscience</w:t>
      </w:r>
      <w:r w:rsidRPr="00DE113E">
        <w:t>,</w:t>
      </w:r>
      <w:r w:rsidRPr="00DE113E">
        <w:rPr>
          <w:i/>
        </w:rPr>
        <w:t xml:space="preserve"> 44</w:t>
      </w:r>
      <w:r w:rsidRPr="00DE113E">
        <w:t xml:space="preserve">(26), e1883232024. </w:t>
      </w:r>
      <w:hyperlink r:id="rId246" w:history="1">
        <w:r w:rsidRPr="00DE113E">
          <w:rPr>
            <w:rStyle w:val="Hyperlink"/>
          </w:rPr>
          <w:t>https://doi.org/10.1523/jneurosci.1883-23.2024</w:t>
        </w:r>
      </w:hyperlink>
      <w:r w:rsidRPr="00DE113E">
        <w:t xml:space="preserve"> </w:t>
      </w:r>
      <w:bookmarkEnd w:id="237"/>
    </w:p>
    <w:p w14:paraId="5394DAAD" w14:textId="158F50A0" w:rsidR="00DE113E" w:rsidRPr="00DE113E" w:rsidRDefault="00DE113E" w:rsidP="00DE113E">
      <w:pPr>
        <w:pStyle w:val="EndNoteBibliography"/>
        <w:spacing w:after="0"/>
        <w:ind w:left="720" w:hanging="720"/>
      </w:pPr>
      <w:bookmarkStart w:id="238" w:name="_ENREF_160"/>
      <w:r w:rsidRPr="00DE113E">
        <w:t xml:space="preserve">Montie, H. L., &amp; Durcan, T. M. (2013). The Cell and Molecular Biology of Neurodegenerative Diseases: An Overview [Editorial]. </w:t>
      </w:r>
      <w:r w:rsidRPr="00DE113E">
        <w:rPr>
          <w:i/>
        </w:rPr>
        <w:t>Frontiers in Neurology</w:t>
      </w:r>
      <w:r w:rsidRPr="00DE113E">
        <w:t>,</w:t>
      </w:r>
      <w:r w:rsidRPr="00DE113E">
        <w:rPr>
          <w:i/>
        </w:rPr>
        <w:t xml:space="preserve"> Volume 4 - 2013</w:t>
      </w:r>
      <w:r w:rsidRPr="00DE113E">
        <w:t xml:space="preserve">. </w:t>
      </w:r>
      <w:hyperlink r:id="rId247" w:history="1">
        <w:r w:rsidRPr="00DE113E">
          <w:rPr>
            <w:rStyle w:val="Hyperlink"/>
          </w:rPr>
          <w:t>https://doi.org/10.3389/fneur.2013.00194</w:t>
        </w:r>
      </w:hyperlink>
      <w:r w:rsidRPr="00DE113E">
        <w:t xml:space="preserve"> </w:t>
      </w:r>
      <w:bookmarkEnd w:id="238"/>
    </w:p>
    <w:p w14:paraId="098BD8A9" w14:textId="6D0AF2CD" w:rsidR="00DE113E" w:rsidRPr="00DE113E" w:rsidRDefault="00DE113E" w:rsidP="00DE113E">
      <w:pPr>
        <w:pStyle w:val="EndNoteBibliography"/>
        <w:spacing w:after="0"/>
        <w:ind w:left="720" w:hanging="720"/>
      </w:pPr>
      <w:bookmarkStart w:id="239" w:name="_ENREF_161"/>
      <w:r w:rsidRPr="00DE113E">
        <w:t xml:space="preserve">Moore, D. J., &amp; Dawson, T. M. (2008). Value of Genetic Models in Understanding the Cause and Mechanisms of Parkinson’s Disease. </w:t>
      </w:r>
      <w:r w:rsidRPr="00DE113E">
        <w:rPr>
          <w:i/>
        </w:rPr>
        <w:t>Current Neurology and Neuroscience Reports</w:t>
      </w:r>
      <w:r w:rsidRPr="00DE113E">
        <w:t>,</w:t>
      </w:r>
      <w:r w:rsidRPr="00DE113E">
        <w:rPr>
          <w:i/>
        </w:rPr>
        <w:t xml:space="preserve"> 8</w:t>
      </w:r>
      <w:r w:rsidRPr="00DE113E">
        <w:t xml:space="preserve">(4), 288-296. </w:t>
      </w:r>
      <w:hyperlink r:id="rId248" w:history="1">
        <w:r w:rsidRPr="00DE113E">
          <w:rPr>
            <w:rStyle w:val="Hyperlink"/>
          </w:rPr>
          <w:t>https://doi.org/10.1007/s11910-008-0045-7</w:t>
        </w:r>
      </w:hyperlink>
      <w:r w:rsidRPr="00DE113E">
        <w:t xml:space="preserve"> </w:t>
      </w:r>
      <w:bookmarkEnd w:id="239"/>
    </w:p>
    <w:p w14:paraId="4B3E2FE2" w14:textId="63FED72C" w:rsidR="00DE113E" w:rsidRPr="00DE113E" w:rsidRDefault="00DE113E" w:rsidP="00DE113E">
      <w:pPr>
        <w:pStyle w:val="EndNoteBibliography"/>
        <w:spacing w:after="0"/>
        <w:ind w:left="720" w:hanging="720"/>
      </w:pPr>
      <w:bookmarkStart w:id="240" w:name="_ENREF_162"/>
      <w:r w:rsidRPr="00DE113E">
        <w:t xml:space="preserve">Moriasi, G., Ireri, A. M., &amp; Ngugi, M. P. (2020). Cognitive-Enhancing, Ex Vivo Antilipid Peroxidation and Qualitative Phytochemical Evaluation of the Aqueous and Methanolic Stem Bark Extracts of Lonchocarpus Eriocalyx (Harms.). </w:t>
      </w:r>
      <w:r w:rsidRPr="00DE113E">
        <w:rPr>
          <w:i/>
        </w:rPr>
        <w:t>Biochemistry Research International</w:t>
      </w:r>
      <w:r w:rsidRPr="00DE113E">
        <w:t>,</w:t>
      </w:r>
      <w:r w:rsidRPr="00DE113E">
        <w:rPr>
          <w:i/>
        </w:rPr>
        <w:t xml:space="preserve"> 2020</w:t>
      </w:r>
      <w:r w:rsidRPr="00DE113E">
        <w:t xml:space="preserve">, 1-16. </w:t>
      </w:r>
      <w:hyperlink r:id="rId249" w:history="1">
        <w:r w:rsidRPr="00DE113E">
          <w:rPr>
            <w:rStyle w:val="Hyperlink"/>
          </w:rPr>
          <w:t>https://doi.org/10.1155/2020/8819045</w:t>
        </w:r>
      </w:hyperlink>
      <w:r w:rsidRPr="00DE113E">
        <w:t xml:space="preserve"> </w:t>
      </w:r>
      <w:bookmarkEnd w:id="240"/>
    </w:p>
    <w:p w14:paraId="451436E1" w14:textId="441D2043" w:rsidR="00DE113E" w:rsidRPr="00DE113E" w:rsidRDefault="00DE113E" w:rsidP="00DE113E">
      <w:pPr>
        <w:pStyle w:val="EndNoteBibliography"/>
        <w:spacing w:after="0"/>
        <w:ind w:left="720" w:hanging="720"/>
      </w:pPr>
      <w:bookmarkStart w:id="241" w:name="_ENREF_163"/>
      <w:r w:rsidRPr="00DE113E">
        <w:t xml:space="preserve">Morris, M. C., Evans, D. A., Tangney, C., Bienias, J. L., &amp; Wilson, R. J. (2006). Associations of Vegetable and Fruit Consumption With Age-Related Cognitive Change. </w:t>
      </w:r>
      <w:r w:rsidRPr="00DE113E">
        <w:rPr>
          <w:i/>
        </w:rPr>
        <w:t>Neurology</w:t>
      </w:r>
      <w:r w:rsidRPr="00DE113E">
        <w:t>,</w:t>
      </w:r>
      <w:r w:rsidRPr="00DE113E">
        <w:rPr>
          <w:i/>
        </w:rPr>
        <w:t xml:space="preserve"> 67</w:t>
      </w:r>
      <w:r w:rsidRPr="00DE113E">
        <w:t xml:space="preserve">(8), 1370-1376. </w:t>
      </w:r>
      <w:hyperlink r:id="rId250" w:history="1">
        <w:r w:rsidRPr="00DE113E">
          <w:rPr>
            <w:rStyle w:val="Hyperlink"/>
          </w:rPr>
          <w:t>https://doi.org/10.1212/01.wnl.0000240224.38978.d8</w:t>
        </w:r>
      </w:hyperlink>
      <w:r w:rsidRPr="00DE113E">
        <w:t xml:space="preserve"> </w:t>
      </w:r>
      <w:bookmarkEnd w:id="241"/>
    </w:p>
    <w:p w14:paraId="7F29DD01" w14:textId="28966A00" w:rsidR="00DE113E" w:rsidRPr="00DE113E" w:rsidRDefault="00DE113E" w:rsidP="00DE113E">
      <w:pPr>
        <w:pStyle w:val="EndNoteBibliography"/>
        <w:spacing w:after="0"/>
        <w:ind w:left="720" w:hanging="720"/>
      </w:pPr>
      <w:bookmarkStart w:id="242" w:name="_ENREF_164"/>
      <w:r w:rsidRPr="00DE113E">
        <w:t xml:space="preserve">Mou, Y., Mukte, S., Chai, E., Dein, J., &amp; Li, X.-J. (2020). Analyzing Mitochondrial Transport and Morphology in Human Induced Pluripotent Stem Cell-Derived Neurons in Hereditary Spastic Paraplegia. </w:t>
      </w:r>
      <w:r w:rsidRPr="00DE113E">
        <w:rPr>
          <w:i/>
        </w:rPr>
        <w:t>Journal of Visualized Experiments</w:t>
      </w:r>
      <w:r w:rsidRPr="00DE113E">
        <w:t xml:space="preserve">(156). </w:t>
      </w:r>
      <w:hyperlink r:id="rId251" w:history="1">
        <w:r w:rsidRPr="00DE113E">
          <w:rPr>
            <w:rStyle w:val="Hyperlink"/>
          </w:rPr>
          <w:t>https://doi.org/10.3791/60548</w:t>
        </w:r>
      </w:hyperlink>
      <w:r w:rsidRPr="00DE113E">
        <w:t xml:space="preserve"> </w:t>
      </w:r>
      <w:bookmarkEnd w:id="242"/>
    </w:p>
    <w:p w14:paraId="7EBF1A59" w14:textId="56C58CDB" w:rsidR="00DE113E" w:rsidRPr="00DE113E" w:rsidRDefault="00DE113E" w:rsidP="00DE113E">
      <w:pPr>
        <w:pStyle w:val="EndNoteBibliography"/>
        <w:spacing w:after="0"/>
        <w:ind w:left="720" w:hanging="720"/>
      </w:pPr>
      <w:bookmarkStart w:id="243" w:name="_ENREF_165"/>
      <w:r w:rsidRPr="00DE113E">
        <w:t xml:space="preserve">Navarro, A., Gómez, C., López-Cepero, J. M., &amp; Boveris, A. (2004). Beneficial Effects of Moderate Exercise on Mice Aging: Survival, Behavior, Oxidative Stress, and Mitochondrial Electron Transfer. </w:t>
      </w:r>
      <w:r w:rsidRPr="00DE113E">
        <w:rPr>
          <w:i/>
        </w:rPr>
        <w:t>Ajp Regulatory Integrative and Comparative Physiology</w:t>
      </w:r>
      <w:r w:rsidRPr="00DE113E">
        <w:t>,</w:t>
      </w:r>
      <w:r w:rsidRPr="00DE113E">
        <w:rPr>
          <w:i/>
        </w:rPr>
        <w:t xml:space="preserve"> 286</w:t>
      </w:r>
      <w:r w:rsidRPr="00DE113E">
        <w:t xml:space="preserve">(3), R505-R511. </w:t>
      </w:r>
      <w:hyperlink r:id="rId252" w:history="1">
        <w:r w:rsidRPr="00DE113E">
          <w:rPr>
            <w:rStyle w:val="Hyperlink"/>
          </w:rPr>
          <w:t>https://doi.org/10.1152/ajpregu.00208.2003</w:t>
        </w:r>
      </w:hyperlink>
      <w:r w:rsidRPr="00DE113E">
        <w:t xml:space="preserve"> </w:t>
      </w:r>
      <w:bookmarkEnd w:id="243"/>
    </w:p>
    <w:p w14:paraId="37415EE5" w14:textId="113DAFC4" w:rsidR="00DE113E" w:rsidRPr="00DE113E" w:rsidRDefault="00DE113E" w:rsidP="00DE113E">
      <w:pPr>
        <w:pStyle w:val="EndNoteBibliography"/>
        <w:spacing w:after="0"/>
        <w:ind w:left="720" w:hanging="720"/>
      </w:pPr>
      <w:bookmarkStart w:id="244" w:name="_ENREF_166"/>
      <w:r w:rsidRPr="00DE113E">
        <w:t xml:space="preserve">Navawongse, R., &amp; Eichenbaum, H. (2013). Distinct pathways for rule-based retrieval and spatial mapping of memory representations in hippocampal neurons. </w:t>
      </w:r>
      <w:r w:rsidRPr="00DE113E">
        <w:rPr>
          <w:i/>
        </w:rPr>
        <w:t>J Neurosci</w:t>
      </w:r>
      <w:r w:rsidRPr="00DE113E">
        <w:t>,</w:t>
      </w:r>
      <w:r w:rsidRPr="00DE113E">
        <w:rPr>
          <w:i/>
        </w:rPr>
        <w:t xml:space="preserve"> 33</w:t>
      </w:r>
      <w:r w:rsidRPr="00DE113E">
        <w:t xml:space="preserve">(3), 1002-1013. </w:t>
      </w:r>
      <w:hyperlink r:id="rId253" w:history="1">
        <w:r w:rsidRPr="00DE113E">
          <w:rPr>
            <w:rStyle w:val="Hyperlink"/>
          </w:rPr>
          <w:t>https://doi.org/10.1523/jneurosci.3891-12.2013</w:t>
        </w:r>
      </w:hyperlink>
      <w:r w:rsidRPr="00DE113E">
        <w:t xml:space="preserve"> </w:t>
      </w:r>
      <w:bookmarkEnd w:id="244"/>
    </w:p>
    <w:p w14:paraId="0A52ADEC" w14:textId="1476DB5A" w:rsidR="00DE113E" w:rsidRPr="00DE113E" w:rsidRDefault="00DE113E" w:rsidP="00DE113E">
      <w:pPr>
        <w:pStyle w:val="EndNoteBibliography"/>
        <w:spacing w:after="0"/>
        <w:ind w:left="720" w:hanging="720"/>
      </w:pPr>
      <w:bookmarkStart w:id="245" w:name="_ENREF_167"/>
      <w:r w:rsidRPr="00DE113E">
        <w:t xml:space="preserve">Nilsson, S. R. O., Heath, C. J., Takillah, S., Didienne, S., Fejgin, K., Nielsen, V., Nielsen, J., Saksida, L. M., Mariani, J., Faure, P., Didriksen, M., Robbins, T. W., Bussey, T. J., &amp; Mar, A. C. (2018). Continuous performance test impairment in a 22q11.2 microdeletion mouse model: improvement by amphetamine. </w:t>
      </w:r>
      <w:r w:rsidRPr="00DE113E">
        <w:rPr>
          <w:i/>
        </w:rPr>
        <w:t>Translational Psychiatry</w:t>
      </w:r>
      <w:r w:rsidRPr="00DE113E">
        <w:t>,</w:t>
      </w:r>
      <w:r w:rsidRPr="00DE113E">
        <w:rPr>
          <w:i/>
        </w:rPr>
        <w:t xml:space="preserve"> 8</w:t>
      </w:r>
      <w:r w:rsidRPr="00DE113E">
        <w:t xml:space="preserve">(1), 247. </w:t>
      </w:r>
      <w:hyperlink r:id="rId254" w:history="1">
        <w:r w:rsidRPr="00DE113E">
          <w:rPr>
            <w:rStyle w:val="Hyperlink"/>
          </w:rPr>
          <w:t>https://doi.org/10.1038/s41398-018-0295-3</w:t>
        </w:r>
      </w:hyperlink>
      <w:r w:rsidRPr="00DE113E">
        <w:t xml:space="preserve"> </w:t>
      </w:r>
      <w:bookmarkEnd w:id="245"/>
    </w:p>
    <w:p w14:paraId="5AC8EFDD" w14:textId="780958D4" w:rsidR="00DE113E" w:rsidRPr="00DE113E" w:rsidRDefault="00DE113E" w:rsidP="00DE113E">
      <w:pPr>
        <w:pStyle w:val="EndNoteBibliography"/>
        <w:spacing w:after="0"/>
        <w:ind w:left="720" w:hanging="720"/>
      </w:pPr>
      <w:bookmarkStart w:id="246" w:name="_ENREF_168"/>
      <w:r w:rsidRPr="00DE113E">
        <w:t xml:space="preserve">Nithianantharajah, J., Komiyama, N. H., McKechanie, A. G., Johnstone, M., Blackwood, D., Clair, D. S., Emes, R. D., Lagemaat, L. N. v. d., Saksida, L. M., Bussey, T. J., &amp; Grant, S. G. N. (2012). Synaptic Scaffold Evolution Generated Components of Vertebrate Cognitive Complexity. </w:t>
      </w:r>
      <w:r w:rsidRPr="00DE113E">
        <w:rPr>
          <w:i/>
        </w:rPr>
        <w:t>Nature Neuroscience</w:t>
      </w:r>
      <w:r w:rsidRPr="00DE113E">
        <w:t>,</w:t>
      </w:r>
      <w:r w:rsidRPr="00DE113E">
        <w:rPr>
          <w:i/>
        </w:rPr>
        <w:t xml:space="preserve"> 16</w:t>
      </w:r>
      <w:r w:rsidRPr="00DE113E">
        <w:t xml:space="preserve">(1), 16-24. </w:t>
      </w:r>
      <w:hyperlink r:id="rId255" w:history="1">
        <w:r w:rsidRPr="00DE113E">
          <w:rPr>
            <w:rStyle w:val="Hyperlink"/>
          </w:rPr>
          <w:t>https://doi.org/10.1038/nn.3276</w:t>
        </w:r>
      </w:hyperlink>
      <w:r w:rsidRPr="00DE113E">
        <w:t xml:space="preserve"> </w:t>
      </w:r>
      <w:bookmarkEnd w:id="246"/>
    </w:p>
    <w:p w14:paraId="05524109" w14:textId="6560BF45" w:rsidR="00DE113E" w:rsidRPr="00DE113E" w:rsidRDefault="00DE113E" w:rsidP="00DE113E">
      <w:pPr>
        <w:pStyle w:val="EndNoteBibliography"/>
        <w:spacing w:after="0"/>
        <w:ind w:left="720" w:hanging="720"/>
      </w:pPr>
      <w:bookmarkStart w:id="247" w:name="_ENREF_169"/>
      <w:r w:rsidRPr="00DE113E">
        <w:t xml:space="preserve">Nithianantharajah, J., McKechanie, A. G., Stewart, T. J., Johnstone, M., Blackwood, D. H., St Clair, D., Grant, S. G. N., Bussey, T. J., &amp; Saksida, L. M. (2015). Bridging the translational divide: identical cognitive touchscreen testing in mice and humans carrying mutations in a disease-relevant homologous gene. </w:t>
      </w:r>
      <w:r w:rsidRPr="00DE113E">
        <w:rPr>
          <w:i/>
        </w:rPr>
        <w:t>Scientific Reports</w:t>
      </w:r>
      <w:r w:rsidRPr="00DE113E">
        <w:t>,</w:t>
      </w:r>
      <w:r w:rsidRPr="00DE113E">
        <w:rPr>
          <w:i/>
        </w:rPr>
        <w:t xml:space="preserve"> 5</w:t>
      </w:r>
      <w:r w:rsidRPr="00DE113E">
        <w:t xml:space="preserve">(1), 14613. </w:t>
      </w:r>
      <w:hyperlink r:id="rId256" w:history="1">
        <w:r w:rsidRPr="00DE113E">
          <w:rPr>
            <w:rStyle w:val="Hyperlink"/>
          </w:rPr>
          <w:t>https://doi.org/10.1038/srep14613</w:t>
        </w:r>
      </w:hyperlink>
      <w:r w:rsidRPr="00DE113E">
        <w:t xml:space="preserve"> </w:t>
      </w:r>
      <w:bookmarkEnd w:id="247"/>
    </w:p>
    <w:p w14:paraId="4A9A5301" w14:textId="3D3D9FE9" w:rsidR="00DE113E" w:rsidRPr="00DE113E" w:rsidRDefault="00DE113E" w:rsidP="00DE113E">
      <w:pPr>
        <w:pStyle w:val="EndNoteBibliography"/>
        <w:spacing w:after="0"/>
        <w:ind w:left="720" w:hanging="720"/>
      </w:pPr>
      <w:bookmarkStart w:id="248" w:name="_ENREF_170"/>
      <w:r w:rsidRPr="00DE113E">
        <w:t xml:space="preserve">Nuechterlein, K. H., Green, M. F., Calkins, M. E., Greenwood, T. A., Gur, R. E., Gur, R. C., Lazzeroni, L. C., Light, G. A., Radant, A. D., Seidman, L. J., Siever, L. J., Silverman, J. M., Sprock, J., Stone, W. S., Sugar, C. A., Swerdlow, N. R., Tsuang, D. W., Tsuang, M. T., Turetsky, B. I., &amp; Braff, D. L. (2015). Attention/vigilance in schizophrenia: Performance results from a large multi-site study of the Consortium on the Genetics of Schizophrenia (COGS). </w:t>
      </w:r>
      <w:r w:rsidRPr="00DE113E">
        <w:rPr>
          <w:i/>
        </w:rPr>
        <w:t>Schizophrenia Research</w:t>
      </w:r>
      <w:r w:rsidRPr="00DE113E">
        <w:t>,</w:t>
      </w:r>
      <w:r w:rsidRPr="00DE113E">
        <w:rPr>
          <w:i/>
        </w:rPr>
        <w:t xml:space="preserve"> 163</w:t>
      </w:r>
      <w:r w:rsidRPr="00DE113E">
        <w:t xml:space="preserve">(1), 38-46. </w:t>
      </w:r>
      <w:hyperlink r:id="rId257" w:history="1">
        <w:r w:rsidRPr="00DE113E">
          <w:rPr>
            <w:rStyle w:val="Hyperlink"/>
          </w:rPr>
          <w:t>https://doi.org/https://doi.org/10.1016/j.schres.2015.01.017</w:t>
        </w:r>
      </w:hyperlink>
      <w:r w:rsidRPr="00DE113E">
        <w:t xml:space="preserve"> </w:t>
      </w:r>
      <w:bookmarkEnd w:id="248"/>
    </w:p>
    <w:p w14:paraId="4D6D99FC" w14:textId="15FADBAD" w:rsidR="00DE113E" w:rsidRPr="00DE113E" w:rsidRDefault="00DE113E" w:rsidP="00DE113E">
      <w:pPr>
        <w:pStyle w:val="EndNoteBibliography"/>
        <w:spacing w:after="0"/>
        <w:ind w:left="720" w:hanging="720"/>
      </w:pPr>
      <w:bookmarkStart w:id="249" w:name="_ENREF_171"/>
      <w:r w:rsidRPr="00DE113E">
        <w:lastRenderedPageBreak/>
        <w:t xml:space="preserve">Okuyama-Uchimura, F., &amp; Komai, S. (2015). Mouse Ability to Perceive Subjective Contours. </w:t>
      </w:r>
      <w:r w:rsidRPr="00DE113E">
        <w:rPr>
          <w:i/>
        </w:rPr>
        <w:t>Perception</w:t>
      </w:r>
      <w:r w:rsidRPr="00DE113E">
        <w:t>,</w:t>
      </w:r>
      <w:r w:rsidRPr="00DE113E">
        <w:rPr>
          <w:i/>
        </w:rPr>
        <w:t xml:space="preserve"> 45</w:t>
      </w:r>
      <w:r w:rsidRPr="00DE113E">
        <w:t xml:space="preserve">(3), 315-327. </w:t>
      </w:r>
      <w:hyperlink r:id="rId258" w:history="1">
        <w:r w:rsidRPr="00DE113E">
          <w:rPr>
            <w:rStyle w:val="Hyperlink"/>
          </w:rPr>
          <w:t>https://doi.org/10.1177/0301006615614440</w:t>
        </w:r>
      </w:hyperlink>
      <w:r w:rsidRPr="00DE113E">
        <w:t xml:space="preserve"> </w:t>
      </w:r>
      <w:bookmarkEnd w:id="249"/>
    </w:p>
    <w:p w14:paraId="795191E5" w14:textId="13CB8A3E" w:rsidR="00DE113E" w:rsidRPr="00DE113E" w:rsidRDefault="00DE113E" w:rsidP="00DE113E">
      <w:pPr>
        <w:pStyle w:val="EndNoteBibliography"/>
        <w:spacing w:after="0"/>
        <w:ind w:left="720" w:hanging="720"/>
      </w:pPr>
      <w:bookmarkStart w:id="250" w:name="_ENREF_172"/>
      <w:r w:rsidRPr="00DE113E">
        <w:t xml:space="preserve">Oliver, M., Morrison, C., &amp; El-Hulu, S. (2023). Race Differences in the Relationship Between High and Variable Blood Pressure and Domain-Specific Cognitive Change. </w:t>
      </w:r>
      <w:r w:rsidRPr="00DE113E">
        <w:rPr>
          <w:i/>
        </w:rPr>
        <w:t>Innovation in Aging</w:t>
      </w:r>
      <w:r w:rsidRPr="00DE113E">
        <w:t>,</w:t>
      </w:r>
      <w:r w:rsidRPr="00DE113E">
        <w:rPr>
          <w:i/>
        </w:rPr>
        <w:t xml:space="preserve"> 7</w:t>
      </w:r>
      <w:r w:rsidRPr="00DE113E">
        <w:t xml:space="preserve">(Supplement_1), 689-689. </w:t>
      </w:r>
      <w:hyperlink r:id="rId259" w:history="1">
        <w:r w:rsidRPr="00DE113E">
          <w:rPr>
            <w:rStyle w:val="Hyperlink"/>
          </w:rPr>
          <w:t>https://doi.org/10.1093/geroni/igad104.2238</w:t>
        </w:r>
      </w:hyperlink>
      <w:r w:rsidRPr="00DE113E">
        <w:t xml:space="preserve"> </w:t>
      </w:r>
      <w:bookmarkEnd w:id="250"/>
    </w:p>
    <w:p w14:paraId="30AAA6DF" w14:textId="2D99131D" w:rsidR="00DE113E" w:rsidRPr="00DE113E" w:rsidRDefault="00DE113E" w:rsidP="00DE113E">
      <w:pPr>
        <w:pStyle w:val="EndNoteBibliography"/>
        <w:spacing w:after="0"/>
        <w:ind w:left="720" w:hanging="720"/>
      </w:pPr>
      <w:bookmarkStart w:id="251" w:name="_ENREF_173"/>
      <w:r w:rsidRPr="00DE113E">
        <w:t xml:space="preserve">Omotoso, G. O., Gbadamosi, I. T., Afolabi, T. T., Abdulwahab, A., &amp; Akinlolu, A. (2018). Ameliorative Effects of &lt;i&gt;Moringa&lt;/I&gt; on Cuprizone-Induced Memory Decline in Rat Model Of Multiple Sclerosis. </w:t>
      </w:r>
      <w:r w:rsidRPr="00DE113E">
        <w:rPr>
          <w:i/>
        </w:rPr>
        <w:t>Anatomy &amp; Cell Biology</w:t>
      </w:r>
      <w:r w:rsidRPr="00DE113E">
        <w:t>,</w:t>
      </w:r>
      <w:r w:rsidRPr="00DE113E">
        <w:rPr>
          <w:i/>
        </w:rPr>
        <w:t xml:space="preserve"> 51</w:t>
      </w:r>
      <w:r w:rsidRPr="00DE113E">
        <w:t xml:space="preserve">(2), 119. </w:t>
      </w:r>
      <w:hyperlink r:id="rId260" w:history="1">
        <w:r w:rsidRPr="00DE113E">
          <w:rPr>
            <w:rStyle w:val="Hyperlink"/>
          </w:rPr>
          <w:t>https://doi.org/10.5115/acb.2018.51.2.119</w:t>
        </w:r>
      </w:hyperlink>
      <w:r w:rsidRPr="00DE113E">
        <w:t xml:space="preserve"> </w:t>
      </w:r>
      <w:bookmarkEnd w:id="251"/>
    </w:p>
    <w:p w14:paraId="2E708BD0" w14:textId="159E7307" w:rsidR="00DE113E" w:rsidRPr="00DE113E" w:rsidRDefault="00DE113E" w:rsidP="00DE113E">
      <w:pPr>
        <w:pStyle w:val="EndNoteBibliography"/>
        <w:spacing w:after="0"/>
        <w:ind w:left="720" w:hanging="720"/>
      </w:pPr>
      <w:bookmarkStart w:id="252" w:name="_ENREF_174"/>
      <w:r w:rsidRPr="00DE113E">
        <w:t xml:space="preserve">Onaolapo, A. Y., Obelawo, A. Y., &amp; Onaolapo, O. J. (2019). Brain Ageing, Cognition and Diet: A Review of the Emerging Roles of Food-Based Nootropics in Mitigating Age-Related Memory Decline. </w:t>
      </w:r>
      <w:r w:rsidRPr="00DE113E">
        <w:rPr>
          <w:i/>
        </w:rPr>
        <w:t>Current Aging Science</w:t>
      </w:r>
      <w:r w:rsidRPr="00DE113E">
        <w:t>,</w:t>
      </w:r>
      <w:r w:rsidRPr="00DE113E">
        <w:rPr>
          <w:i/>
        </w:rPr>
        <w:t xml:space="preserve"> 12</w:t>
      </w:r>
      <w:r w:rsidRPr="00DE113E">
        <w:t xml:space="preserve">(1), 2-14. </w:t>
      </w:r>
      <w:hyperlink r:id="rId261" w:history="1">
        <w:r w:rsidRPr="00DE113E">
          <w:rPr>
            <w:rStyle w:val="Hyperlink"/>
          </w:rPr>
          <w:t>https://doi.org/10.2174/1874609812666190311160754</w:t>
        </w:r>
      </w:hyperlink>
      <w:r w:rsidRPr="00DE113E">
        <w:t xml:space="preserve"> </w:t>
      </w:r>
      <w:bookmarkEnd w:id="252"/>
    </w:p>
    <w:p w14:paraId="70F6D045" w14:textId="51EFEEB6" w:rsidR="00DE113E" w:rsidRPr="00DE113E" w:rsidRDefault="00DE113E" w:rsidP="00DE113E">
      <w:pPr>
        <w:pStyle w:val="EndNoteBibliography"/>
        <w:spacing w:after="0"/>
        <w:ind w:left="720" w:hanging="720"/>
      </w:pPr>
      <w:bookmarkStart w:id="253" w:name="_ENREF_175"/>
      <w:r w:rsidRPr="00DE113E">
        <w:t xml:space="preserve">Openshaw, R. L., Pratt, J. A., &amp; Morris, B. (2022). The Schizophrenia Risk Gene &lt;i&gt;Map2k7&lt;/I&gt; Regulates Responding in a Novel Contingency-Shifting Rodent Touchscreen Gambling Task. </w:t>
      </w:r>
      <w:r w:rsidRPr="00DE113E">
        <w:rPr>
          <w:i/>
        </w:rPr>
        <w:t>Disease Models &amp; Mechanisms</w:t>
      </w:r>
      <w:r w:rsidRPr="00DE113E">
        <w:t>,</w:t>
      </w:r>
      <w:r w:rsidRPr="00DE113E">
        <w:rPr>
          <w:i/>
        </w:rPr>
        <w:t xml:space="preserve"> 15</w:t>
      </w:r>
      <w:r w:rsidRPr="00DE113E">
        <w:t xml:space="preserve">(3). </w:t>
      </w:r>
      <w:hyperlink r:id="rId262" w:history="1">
        <w:r w:rsidRPr="00DE113E">
          <w:rPr>
            <w:rStyle w:val="Hyperlink"/>
          </w:rPr>
          <w:t>https://doi.org/10.1242/dmm.049310</w:t>
        </w:r>
      </w:hyperlink>
      <w:r w:rsidRPr="00DE113E">
        <w:t xml:space="preserve"> </w:t>
      </w:r>
      <w:bookmarkEnd w:id="253"/>
    </w:p>
    <w:p w14:paraId="3450CF63" w14:textId="165B68D7" w:rsidR="00DE113E" w:rsidRPr="00DE113E" w:rsidRDefault="00DE113E" w:rsidP="00DE113E">
      <w:pPr>
        <w:pStyle w:val="EndNoteBibliography"/>
        <w:spacing w:after="0"/>
        <w:ind w:left="720" w:hanging="720"/>
      </w:pPr>
      <w:bookmarkStart w:id="254" w:name="_ENREF_176"/>
      <w:r w:rsidRPr="00DE113E">
        <w:t xml:space="preserve">Pais, R., Goldani, A., Hutchison, J. M. S., Mazrouei, A., Khavaninzadeh, M., Molina, L. A., Sutherland, R. J., &amp; Mohajerani, M. H. (2025). Assessing Cognitive Flexibility in Mice Using a Custom-Built Touchscreen Chamber. </w:t>
      </w:r>
      <w:r w:rsidRPr="00DE113E">
        <w:rPr>
          <w:i/>
        </w:rPr>
        <w:t>Frontiers in Behavioral Neuroscience</w:t>
      </w:r>
      <w:r w:rsidRPr="00DE113E">
        <w:t>,</w:t>
      </w:r>
      <w:r w:rsidRPr="00DE113E">
        <w:rPr>
          <w:i/>
        </w:rPr>
        <w:t xml:space="preserve"> 19</w:t>
      </w:r>
      <w:r w:rsidRPr="00DE113E">
        <w:t xml:space="preserve">. </w:t>
      </w:r>
      <w:hyperlink r:id="rId263" w:history="1">
        <w:r w:rsidRPr="00DE113E">
          <w:rPr>
            <w:rStyle w:val="Hyperlink"/>
          </w:rPr>
          <w:t>https://doi.org/10.3389/fnbeh.2025.1536458</w:t>
        </w:r>
      </w:hyperlink>
      <w:r w:rsidRPr="00DE113E">
        <w:t xml:space="preserve"> </w:t>
      </w:r>
      <w:bookmarkEnd w:id="254"/>
    </w:p>
    <w:p w14:paraId="21DAFC6E" w14:textId="11B88A78" w:rsidR="00DE113E" w:rsidRPr="00DE113E" w:rsidRDefault="00DE113E" w:rsidP="00DE113E">
      <w:pPr>
        <w:pStyle w:val="EndNoteBibliography"/>
        <w:spacing w:after="0"/>
        <w:ind w:left="720" w:hanging="720"/>
      </w:pPr>
      <w:bookmarkStart w:id="255" w:name="_ENREF_177"/>
      <w:r w:rsidRPr="00DE113E">
        <w:t xml:space="preserve">Palmer, D., Dumont, J. R., Dexter, T. D., Prado, M. A. M., Finger, E., Bussey, T. J., &amp; Saksida, L. M. (2021). Touchscreen cognitive testing: Cross-species translation and co-clinical trials in neurodegenerative and neuropsychiatric disease. </w:t>
      </w:r>
      <w:r w:rsidRPr="00DE113E">
        <w:rPr>
          <w:i/>
        </w:rPr>
        <w:t>Neurobiology of Learning and Memory</w:t>
      </w:r>
      <w:r w:rsidRPr="00DE113E">
        <w:t>,</w:t>
      </w:r>
      <w:r w:rsidRPr="00DE113E">
        <w:rPr>
          <w:i/>
        </w:rPr>
        <w:t xml:space="preserve"> 182</w:t>
      </w:r>
      <w:r w:rsidRPr="00DE113E">
        <w:t xml:space="preserve">, 107443. </w:t>
      </w:r>
      <w:hyperlink r:id="rId264" w:history="1">
        <w:r w:rsidRPr="00DE113E">
          <w:rPr>
            <w:rStyle w:val="Hyperlink"/>
          </w:rPr>
          <w:t>https://doi.org/https://doi.org/10.1016/j.nlm.2021.107443</w:t>
        </w:r>
      </w:hyperlink>
      <w:r w:rsidRPr="00DE113E">
        <w:t xml:space="preserve"> </w:t>
      </w:r>
      <w:bookmarkEnd w:id="255"/>
    </w:p>
    <w:p w14:paraId="0E2E6FD9" w14:textId="77777777" w:rsidR="00DE113E" w:rsidRPr="00DE113E" w:rsidRDefault="00DE113E" w:rsidP="00DE113E">
      <w:pPr>
        <w:pStyle w:val="EndNoteBibliography"/>
        <w:spacing w:after="0"/>
        <w:ind w:left="720" w:hanging="720"/>
      </w:pPr>
      <w:bookmarkStart w:id="256" w:name="_ENREF_178"/>
      <w:r w:rsidRPr="00DE113E">
        <w:t xml:space="preserve">Papathanasiou, I. V., Fradelos, E. C., Malli, F., Stefanidis, I., Zintzaras, E., &amp; Doxani, C. (2021). A SYSTEMATIC REVIEW OF OBSERVATIONAL STUDIES ASSESSING THE IMPACT OF OXIDATIVE STRESS IN COGNITIVE DECLINE. </w:t>
      </w:r>
      <w:r w:rsidRPr="00DE113E">
        <w:rPr>
          <w:i/>
        </w:rPr>
        <w:t>Wiad Lek</w:t>
      </w:r>
      <w:r w:rsidRPr="00DE113E">
        <w:t>,</w:t>
      </w:r>
      <w:r w:rsidRPr="00DE113E">
        <w:rPr>
          <w:i/>
        </w:rPr>
        <w:t xml:space="preserve"> 74</w:t>
      </w:r>
      <w:r w:rsidRPr="00DE113E">
        <w:t xml:space="preserve">(8), 1995-2003. </w:t>
      </w:r>
      <w:bookmarkEnd w:id="256"/>
    </w:p>
    <w:p w14:paraId="7A072BEF" w14:textId="387DEAC1" w:rsidR="00DE113E" w:rsidRPr="00DE113E" w:rsidRDefault="00DE113E" w:rsidP="00DE113E">
      <w:pPr>
        <w:pStyle w:val="EndNoteBibliography"/>
        <w:spacing w:after="0"/>
        <w:ind w:left="720" w:hanging="720"/>
      </w:pPr>
      <w:bookmarkStart w:id="257" w:name="_ENREF_179"/>
      <w:r w:rsidRPr="00DE113E">
        <w:t xml:space="preserve">Papenberg, G., Karalija, N., Salami, A., Johansson, J., Wåhlin, A., Andersson, M., Axelsson, J., Garrett, D. D., Riklund, K., Lindenberger, U., Nyberg, L., &amp; Bäckman, L. (2025). Aging-Related Losses in Dopamine D2/3 Receptor Availability Are Linked to Working-Memory Decline Across Five Years. </w:t>
      </w:r>
      <w:r w:rsidRPr="00DE113E">
        <w:rPr>
          <w:i/>
        </w:rPr>
        <w:t>Cerebral Cortex</w:t>
      </w:r>
      <w:r w:rsidRPr="00DE113E">
        <w:t>,</w:t>
      </w:r>
      <w:r w:rsidRPr="00DE113E">
        <w:rPr>
          <w:i/>
        </w:rPr>
        <w:t xml:space="preserve"> 35</w:t>
      </w:r>
      <w:r w:rsidRPr="00DE113E">
        <w:t xml:space="preserve">(2). </w:t>
      </w:r>
      <w:hyperlink r:id="rId265" w:history="1">
        <w:r w:rsidRPr="00DE113E">
          <w:rPr>
            <w:rStyle w:val="Hyperlink"/>
          </w:rPr>
          <w:t>https://doi.org/10.1093/cercor/bhae481</w:t>
        </w:r>
      </w:hyperlink>
      <w:r w:rsidRPr="00DE113E">
        <w:t xml:space="preserve"> </w:t>
      </w:r>
      <w:bookmarkEnd w:id="257"/>
    </w:p>
    <w:p w14:paraId="2251281C" w14:textId="56E2DDDB" w:rsidR="00DE113E" w:rsidRPr="00DE113E" w:rsidRDefault="00DE113E" w:rsidP="00DE113E">
      <w:pPr>
        <w:pStyle w:val="EndNoteBibliography"/>
        <w:spacing w:after="0"/>
        <w:ind w:left="720" w:hanging="720"/>
      </w:pPr>
      <w:bookmarkStart w:id="258" w:name="_ENREF_180"/>
      <w:r w:rsidRPr="00DE113E">
        <w:t xml:space="preserve">Penido, A. B., Morais, S. M. d., Ribeiro, A. B., Alves, D. R., Rodrigues, A. L. M., Santos, L. H. d., &amp; Menezes, J. E. S. A. d. (2017). Medicinal Plants From Northeastern Brazil Against Alzheimer’s Disease. </w:t>
      </w:r>
      <w:r w:rsidRPr="00DE113E">
        <w:rPr>
          <w:i/>
        </w:rPr>
        <w:t>Evidence-Based Complementary and Alternative Medicine</w:t>
      </w:r>
      <w:r w:rsidRPr="00DE113E">
        <w:t>,</w:t>
      </w:r>
      <w:r w:rsidRPr="00DE113E">
        <w:rPr>
          <w:i/>
        </w:rPr>
        <w:t xml:space="preserve"> 2017</w:t>
      </w:r>
      <w:r w:rsidRPr="00DE113E">
        <w:t xml:space="preserve">(1). </w:t>
      </w:r>
      <w:hyperlink r:id="rId266" w:history="1">
        <w:r w:rsidRPr="00DE113E">
          <w:rPr>
            <w:rStyle w:val="Hyperlink"/>
          </w:rPr>
          <w:t>https://doi.org/10.1155/2017/1753673</w:t>
        </w:r>
      </w:hyperlink>
      <w:r w:rsidRPr="00DE113E">
        <w:t xml:space="preserve"> </w:t>
      </w:r>
      <w:bookmarkEnd w:id="258"/>
    </w:p>
    <w:p w14:paraId="26A409AF" w14:textId="4CD0A454" w:rsidR="00DE113E" w:rsidRPr="00DE113E" w:rsidRDefault="00DE113E" w:rsidP="00DE113E">
      <w:pPr>
        <w:pStyle w:val="EndNoteBibliography"/>
        <w:spacing w:after="0"/>
        <w:ind w:left="720" w:hanging="720"/>
      </w:pPr>
      <w:bookmarkStart w:id="259" w:name="_ENREF_181"/>
      <w:r w:rsidRPr="00DE113E">
        <w:t xml:space="preserve">Penney, J., Ralvenius, W. T., &amp; Tsai, L. H. (2019). Modeling Alzheimer’s Disease With iPSC-derived Brain Cells. </w:t>
      </w:r>
      <w:r w:rsidRPr="00DE113E">
        <w:rPr>
          <w:i/>
        </w:rPr>
        <w:t>Molecular Psychiatry</w:t>
      </w:r>
      <w:r w:rsidRPr="00DE113E">
        <w:t>,</w:t>
      </w:r>
      <w:r w:rsidRPr="00DE113E">
        <w:rPr>
          <w:i/>
        </w:rPr>
        <w:t xml:space="preserve"> 25</w:t>
      </w:r>
      <w:r w:rsidRPr="00DE113E">
        <w:t xml:space="preserve">(1), 148-167. </w:t>
      </w:r>
      <w:hyperlink r:id="rId267" w:history="1">
        <w:r w:rsidRPr="00DE113E">
          <w:rPr>
            <w:rStyle w:val="Hyperlink"/>
          </w:rPr>
          <w:t>https://doi.org/10.1038/s41380-019-0468-3</w:t>
        </w:r>
      </w:hyperlink>
      <w:r w:rsidRPr="00DE113E">
        <w:t xml:space="preserve"> </w:t>
      </w:r>
      <w:bookmarkEnd w:id="259"/>
    </w:p>
    <w:p w14:paraId="77EBBC90" w14:textId="5F30E354" w:rsidR="00DE113E" w:rsidRPr="00EF5663" w:rsidRDefault="00DE113E" w:rsidP="00DE113E">
      <w:pPr>
        <w:pStyle w:val="EndNoteBibliography"/>
        <w:spacing w:after="0"/>
        <w:ind w:left="720" w:hanging="720"/>
        <w:rPr>
          <w:lang w:val="it-IT"/>
        </w:rPr>
      </w:pPr>
      <w:bookmarkStart w:id="260" w:name="_ENREF_182"/>
      <w:r w:rsidRPr="00DE113E">
        <w:t xml:space="preserve">Piiponniemi, T. O., Bragge, T., Vauhkonen, E. E., Vartiainen, P., Puoliväli, J., Sweeney, P. J., &amp; Kopanitsa, M. V. (2017). Acquisition and Reversal of Visual Discrimination Learning in APPSwDI/Nos2−/− (CVN) Mice. </w:t>
      </w:r>
      <w:r w:rsidRPr="00EF5663">
        <w:rPr>
          <w:i/>
          <w:lang w:val="it-IT"/>
        </w:rPr>
        <w:t>Neuroscience Letters</w:t>
      </w:r>
      <w:r w:rsidRPr="00EF5663">
        <w:rPr>
          <w:lang w:val="it-IT"/>
        </w:rPr>
        <w:t>,</w:t>
      </w:r>
      <w:r w:rsidRPr="00EF5663">
        <w:rPr>
          <w:i/>
          <w:lang w:val="it-IT"/>
        </w:rPr>
        <w:t xml:space="preserve"> 650</w:t>
      </w:r>
      <w:r w:rsidRPr="00EF5663">
        <w:rPr>
          <w:lang w:val="it-IT"/>
        </w:rPr>
        <w:t xml:space="preserve">, 126-133. </w:t>
      </w:r>
      <w:hyperlink r:id="rId268" w:history="1">
        <w:r w:rsidRPr="00EF5663">
          <w:rPr>
            <w:rStyle w:val="Hyperlink"/>
            <w:lang w:val="it-IT"/>
          </w:rPr>
          <w:t>https://doi.org/10.1016/j.neulet.2017.04.049</w:t>
        </w:r>
      </w:hyperlink>
      <w:r w:rsidRPr="00EF5663">
        <w:rPr>
          <w:lang w:val="it-IT"/>
        </w:rPr>
        <w:t xml:space="preserve"> </w:t>
      </w:r>
      <w:bookmarkEnd w:id="260"/>
    </w:p>
    <w:p w14:paraId="41FE0C81" w14:textId="72AC2EDC" w:rsidR="00DE113E" w:rsidRPr="00DE113E" w:rsidRDefault="00DE113E" w:rsidP="00DE113E">
      <w:pPr>
        <w:pStyle w:val="EndNoteBibliography"/>
        <w:spacing w:after="0"/>
        <w:ind w:left="720" w:hanging="720"/>
      </w:pPr>
      <w:bookmarkStart w:id="261" w:name="_ENREF_183"/>
      <w:r w:rsidRPr="00EF5663">
        <w:rPr>
          <w:lang w:val="it-IT"/>
        </w:rPr>
        <w:t xml:space="preserve">Piva, A., Benvegnù, G., Negri, S., Commisso, M., Ceccato, S., Avesani, L., Guzzo, F., &amp; Chiamulera, C. (2024). </w:t>
      </w:r>
      <w:r w:rsidRPr="00DE113E">
        <w:t xml:space="preserve">Whole Plant Extracts for Neurocognitive Disorders: A </w:t>
      </w:r>
      <w:r w:rsidRPr="00DE113E">
        <w:lastRenderedPageBreak/>
        <w:t xml:space="preserve">Narrative Review of Neuropsychological and Preclinical Studies. </w:t>
      </w:r>
      <w:r w:rsidRPr="00DE113E">
        <w:rPr>
          <w:i/>
        </w:rPr>
        <w:t>Nutrients</w:t>
      </w:r>
      <w:r w:rsidRPr="00DE113E">
        <w:t>,</w:t>
      </w:r>
      <w:r w:rsidRPr="00DE113E">
        <w:rPr>
          <w:i/>
        </w:rPr>
        <w:t xml:space="preserve"> 16</w:t>
      </w:r>
      <w:r w:rsidRPr="00DE113E">
        <w:t xml:space="preserve">(18), 3156. </w:t>
      </w:r>
      <w:hyperlink r:id="rId269" w:history="1">
        <w:r w:rsidRPr="00DE113E">
          <w:rPr>
            <w:rStyle w:val="Hyperlink"/>
          </w:rPr>
          <w:t>https://www.mdpi.com/2072-6643/16/18/3156</w:t>
        </w:r>
      </w:hyperlink>
      <w:r w:rsidRPr="00DE113E">
        <w:t xml:space="preserve"> </w:t>
      </w:r>
      <w:bookmarkEnd w:id="261"/>
    </w:p>
    <w:p w14:paraId="2A495BA0" w14:textId="0D5EFBBB" w:rsidR="00DE113E" w:rsidRPr="00DE113E" w:rsidRDefault="00DE113E" w:rsidP="00DE113E">
      <w:pPr>
        <w:pStyle w:val="EndNoteBibliography"/>
        <w:spacing w:after="0"/>
        <w:ind w:left="720" w:hanging="720"/>
      </w:pPr>
      <w:bookmarkStart w:id="262" w:name="_ENREF_184"/>
      <w:r w:rsidRPr="00DE113E">
        <w:t xml:space="preserve">Portelius, E., Olsson, B., Höglund, K., Cullen, N., Kvartsberg, H., Andréasson, U., Zetterberg, H., Sandelius, Å., Shaw, L. M., Lee, V. M. Y., Irwin, D. J., Grossman, M., Weintraub, D., Chen‐Plotkin, A., Wolk, D. A., McCluskey, L., Elman, L., McBride, J. D., Toledo, J. B., Trojanowski, J. Q., &amp; Blennow, K. (2018). Cerebrospinal Fluid Neurogranin Concentration in Neurodegeneration: Relation to Clinical Phenotypes and Neuropathology. </w:t>
      </w:r>
      <w:r w:rsidRPr="00DE113E">
        <w:rPr>
          <w:i/>
        </w:rPr>
        <w:t>Acta Neuropathologica</w:t>
      </w:r>
      <w:r w:rsidRPr="00DE113E">
        <w:t>,</w:t>
      </w:r>
      <w:r w:rsidRPr="00DE113E">
        <w:rPr>
          <w:i/>
        </w:rPr>
        <w:t xml:space="preserve"> 136</w:t>
      </w:r>
      <w:r w:rsidRPr="00DE113E">
        <w:t xml:space="preserve">(3), 363-376. </w:t>
      </w:r>
      <w:hyperlink r:id="rId270" w:history="1">
        <w:r w:rsidRPr="00DE113E">
          <w:rPr>
            <w:rStyle w:val="Hyperlink"/>
          </w:rPr>
          <w:t>https://doi.org/10.1007/s00401-018-1851-x</w:t>
        </w:r>
      </w:hyperlink>
      <w:r w:rsidRPr="00DE113E">
        <w:t xml:space="preserve"> </w:t>
      </w:r>
      <w:bookmarkEnd w:id="262"/>
    </w:p>
    <w:p w14:paraId="04614375" w14:textId="6E6FDFC0" w:rsidR="00DE113E" w:rsidRPr="00DE113E" w:rsidRDefault="00DE113E" w:rsidP="00DE113E">
      <w:pPr>
        <w:pStyle w:val="EndNoteBibliography"/>
        <w:spacing w:after="0"/>
        <w:ind w:left="720" w:hanging="720"/>
      </w:pPr>
      <w:bookmarkStart w:id="263" w:name="_ENREF_185"/>
      <w:r w:rsidRPr="00DE113E">
        <w:t xml:space="preserve">Pound, P., &amp; Ritskes-Hoitinga, M. (2018). Is it possible to overcome issues of external validity in preclinical animal research? Why most animal models are bound to fail. </w:t>
      </w:r>
      <w:r w:rsidRPr="00DE113E">
        <w:rPr>
          <w:i/>
        </w:rPr>
        <w:t>J Transl Med</w:t>
      </w:r>
      <w:r w:rsidRPr="00DE113E">
        <w:t>,</w:t>
      </w:r>
      <w:r w:rsidRPr="00DE113E">
        <w:rPr>
          <w:i/>
        </w:rPr>
        <w:t xml:space="preserve"> 16</w:t>
      </w:r>
      <w:r w:rsidRPr="00DE113E">
        <w:t xml:space="preserve">(1), 304. </w:t>
      </w:r>
      <w:hyperlink r:id="rId271" w:history="1">
        <w:r w:rsidRPr="00DE113E">
          <w:rPr>
            <w:rStyle w:val="Hyperlink"/>
          </w:rPr>
          <w:t>https://doi.org/10.1186/s12967-018-1678-1</w:t>
        </w:r>
      </w:hyperlink>
      <w:r w:rsidRPr="00DE113E">
        <w:t xml:space="preserve"> </w:t>
      </w:r>
      <w:bookmarkEnd w:id="263"/>
    </w:p>
    <w:p w14:paraId="22E0442D" w14:textId="5B7BFB09" w:rsidR="00DE113E" w:rsidRPr="00DE113E" w:rsidRDefault="00DE113E" w:rsidP="00DE113E">
      <w:pPr>
        <w:pStyle w:val="EndNoteBibliography"/>
        <w:spacing w:after="0"/>
        <w:ind w:left="720" w:hanging="720"/>
      </w:pPr>
      <w:bookmarkStart w:id="264" w:name="_ENREF_186"/>
      <w:r w:rsidRPr="00DE113E">
        <w:t xml:space="preserve">Pratt, J. A., &amp; Morris, B. J. (2025). Maximising translational value of the Iowa gambling task in preclinical studies through the use of the rodent touchscreen [Review]. </w:t>
      </w:r>
      <w:r w:rsidRPr="00DE113E">
        <w:rPr>
          <w:i/>
        </w:rPr>
        <w:t>Frontiers in Psychiatry</w:t>
      </w:r>
      <w:r w:rsidRPr="00DE113E">
        <w:t>,</w:t>
      </w:r>
      <w:r w:rsidRPr="00DE113E">
        <w:rPr>
          <w:i/>
        </w:rPr>
        <w:t xml:space="preserve"> Volume 16 - 2025</w:t>
      </w:r>
      <w:r w:rsidRPr="00DE113E">
        <w:t xml:space="preserve">. </w:t>
      </w:r>
      <w:hyperlink r:id="rId272" w:history="1">
        <w:r w:rsidRPr="00DE113E">
          <w:rPr>
            <w:rStyle w:val="Hyperlink"/>
          </w:rPr>
          <w:t>https://doi.org/10.3389/fpsyt.2025.1518435</w:t>
        </w:r>
      </w:hyperlink>
      <w:r w:rsidRPr="00DE113E">
        <w:t xml:space="preserve"> </w:t>
      </w:r>
      <w:bookmarkEnd w:id="264"/>
    </w:p>
    <w:p w14:paraId="037847AD" w14:textId="71356376" w:rsidR="00DE113E" w:rsidRPr="00DE113E" w:rsidRDefault="00DE113E" w:rsidP="00DE113E">
      <w:pPr>
        <w:pStyle w:val="EndNoteBibliography"/>
        <w:spacing w:after="0"/>
        <w:ind w:left="720" w:hanging="720"/>
      </w:pPr>
      <w:bookmarkStart w:id="265" w:name="_ENREF_187"/>
      <w:r w:rsidRPr="00DE113E">
        <w:t xml:space="preserve">Prichardt, S., Caballero-Puntiverio, M., Klem, L., Arvastson, L., Lerdrup, L., &amp; Andreasen, J. T. (2023). Assessing the nature of premature responses in the rodent continuous performance test variable intertrial interval schedule using atomoxetine and amphetamine. </w:t>
      </w:r>
      <w:r w:rsidRPr="00DE113E">
        <w:rPr>
          <w:i/>
        </w:rPr>
        <w:t>Journal of Neuroscience Methods</w:t>
      </w:r>
      <w:r w:rsidRPr="00DE113E">
        <w:t>,</w:t>
      </w:r>
      <w:r w:rsidRPr="00DE113E">
        <w:rPr>
          <w:i/>
        </w:rPr>
        <w:t xml:space="preserve"> 384</w:t>
      </w:r>
      <w:r w:rsidRPr="00DE113E">
        <w:t xml:space="preserve">, 109749. </w:t>
      </w:r>
      <w:hyperlink r:id="rId273" w:history="1">
        <w:r w:rsidRPr="00DE113E">
          <w:rPr>
            <w:rStyle w:val="Hyperlink"/>
          </w:rPr>
          <w:t>https://doi.org/https://doi.org/10.1016/j.jneumeth.2022.109749</w:t>
        </w:r>
      </w:hyperlink>
      <w:r w:rsidRPr="00DE113E">
        <w:t xml:space="preserve"> </w:t>
      </w:r>
      <w:bookmarkEnd w:id="265"/>
    </w:p>
    <w:p w14:paraId="0FD778A0" w14:textId="6F9E730D" w:rsidR="00DE113E" w:rsidRPr="00DE113E" w:rsidRDefault="00DE113E" w:rsidP="00DE113E">
      <w:pPr>
        <w:pStyle w:val="EndNoteBibliography"/>
        <w:spacing w:after="0"/>
        <w:ind w:left="720" w:hanging="720"/>
      </w:pPr>
      <w:bookmarkStart w:id="266" w:name="_ENREF_188"/>
      <w:r w:rsidRPr="00DE113E">
        <w:t xml:space="preserve">Przedborski, S. (2017). Neurodegeneration. In T. Ikezu &amp; H. E. Gendelman (Eds.), </w:t>
      </w:r>
      <w:r w:rsidRPr="00DE113E">
        <w:rPr>
          <w:i/>
        </w:rPr>
        <w:t>Neuroimmune Pharmacology</w:t>
      </w:r>
      <w:r w:rsidRPr="00DE113E">
        <w:t xml:space="preserve"> (pp. 345-354). Springer International Publishing. </w:t>
      </w:r>
      <w:hyperlink r:id="rId274" w:history="1">
        <w:r w:rsidRPr="00DE113E">
          <w:rPr>
            <w:rStyle w:val="Hyperlink"/>
          </w:rPr>
          <w:t>https://doi.org/10.1007/978-3-319-44022-4_22</w:t>
        </w:r>
      </w:hyperlink>
      <w:r w:rsidRPr="00DE113E">
        <w:t xml:space="preserve"> </w:t>
      </w:r>
      <w:bookmarkEnd w:id="266"/>
    </w:p>
    <w:p w14:paraId="09E5AAA2" w14:textId="610BC2BE" w:rsidR="00DE113E" w:rsidRPr="00DE113E" w:rsidRDefault="00DE113E" w:rsidP="00DE113E">
      <w:pPr>
        <w:pStyle w:val="EndNoteBibliography"/>
        <w:spacing w:after="0"/>
        <w:ind w:left="720" w:hanging="720"/>
      </w:pPr>
      <w:bookmarkStart w:id="267" w:name="_ENREF_189"/>
      <w:r w:rsidRPr="00DE113E">
        <w:t xml:space="preserve">Przedborski, S., Vila, M., &amp; Jackson-Lewis, V. (2003). Series Introduction: Neurodegeneration: What is it and where are we? </w:t>
      </w:r>
      <w:r w:rsidRPr="00DE113E">
        <w:rPr>
          <w:i/>
        </w:rPr>
        <w:t>The Journal of Clinical Investigation</w:t>
      </w:r>
      <w:r w:rsidRPr="00DE113E">
        <w:t>,</w:t>
      </w:r>
      <w:r w:rsidRPr="00DE113E">
        <w:rPr>
          <w:i/>
        </w:rPr>
        <w:t xml:space="preserve"> 111</w:t>
      </w:r>
      <w:r w:rsidRPr="00DE113E">
        <w:t xml:space="preserve">(1), 3-10. </w:t>
      </w:r>
      <w:hyperlink r:id="rId275" w:history="1">
        <w:r w:rsidRPr="00DE113E">
          <w:rPr>
            <w:rStyle w:val="Hyperlink"/>
          </w:rPr>
          <w:t>https://doi.org/10.1172/JCI17522</w:t>
        </w:r>
      </w:hyperlink>
      <w:r w:rsidRPr="00DE113E">
        <w:t xml:space="preserve"> </w:t>
      </w:r>
      <w:bookmarkEnd w:id="267"/>
    </w:p>
    <w:p w14:paraId="765760E2" w14:textId="17DC4404" w:rsidR="00DE113E" w:rsidRPr="00DE113E" w:rsidRDefault="00DE113E" w:rsidP="00DE113E">
      <w:pPr>
        <w:pStyle w:val="EndNoteBibliography"/>
        <w:spacing w:after="0"/>
        <w:ind w:left="720" w:hanging="720"/>
      </w:pPr>
      <w:bookmarkStart w:id="268" w:name="_ENREF_190"/>
      <w:r w:rsidRPr="00DE113E">
        <w:t xml:space="preserve">Ptak, R. (2012). The frontoparietal attention network of the human brain: action, saliency, and a priority map of the environment. </w:t>
      </w:r>
      <w:r w:rsidRPr="00DE113E">
        <w:rPr>
          <w:i/>
        </w:rPr>
        <w:t>Neuroscientist</w:t>
      </w:r>
      <w:r w:rsidRPr="00DE113E">
        <w:t>,</w:t>
      </w:r>
      <w:r w:rsidRPr="00DE113E">
        <w:rPr>
          <w:i/>
        </w:rPr>
        <w:t xml:space="preserve"> 18</w:t>
      </w:r>
      <w:r w:rsidRPr="00DE113E">
        <w:t xml:space="preserve">(5), 502-515. </w:t>
      </w:r>
      <w:hyperlink r:id="rId276" w:history="1">
        <w:r w:rsidRPr="00DE113E">
          <w:rPr>
            <w:rStyle w:val="Hyperlink"/>
          </w:rPr>
          <w:t>https://doi.org/10.1177/1073858411409051</w:t>
        </w:r>
      </w:hyperlink>
      <w:r w:rsidRPr="00DE113E">
        <w:t xml:space="preserve"> </w:t>
      </w:r>
      <w:bookmarkEnd w:id="268"/>
    </w:p>
    <w:p w14:paraId="7B657553" w14:textId="136533CB" w:rsidR="00DE113E" w:rsidRPr="00DE113E" w:rsidRDefault="00DE113E" w:rsidP="00DE113E">
      <w:pPr>
        <w:pStyle w:val="EndNoteBibliography"/>
        <w:spacing w:after="0"/>
        <w:ind w:left="720" w:hanging="720"/>
      </w:pPr>
      <w:bookmarkStart w:id="269" w:name="_ENREF_191"/>
      <w:r w:rsidRPr="00DE113E">
        <w:t xml:space="preserve">Ptak, R., &amp; Müri, R. M. (2013). The Parietal Cortex and Saccade Planning: Lessons From Human Lesion Studies. </w:t>
      </w:r>
      <w:r w:rsidRPr="00DE113E">
        <w:rPr>
          <w:i/>
        </w:rPr>
        <w:t>Frontiers in Human Neuroscience</w:t>
      </w:r>
      <w:r w:rsidRPr="00DE113E">
        <w:t>,</w:t>
      </w:r>
      <w:r w:rsidRPr="00DE113E">
        <w:rPr>
          <w:i/>
        </w:rPr>
        <w:t xml:space="preserve"> 7</w:t>
      </w:r>
      <w:r w:rsidRPr="00DE113E">
        <w:t xml:space="preserve">. </w:t>
      </w:r>
      <w:hyperlink r:id="rId277" w:history="1">
        <w:r w:rsidRPr="00DE113E">
          <w:rPr>
            <w:rStyle w:val="Hyperlink"/>
          </w:rPr>
          <w:t>https://doi.org/10.3389/fnhum.2013.00254</w:t>
        </w:r>
      </w:hyperlink>
      <w:r w:rsidRPr="00DE113E">
        <w:t xml:space="preserve"> </w:t>
      </w:r>
      <w:bookmarkEnd w:id="269"/>
    </w:p>
    <w:p w14:paraId="3C7C2730" w14:textId="213C663A" w:rsidR="00DE113E" w:rsidRPr="00DE113E" w:rsidRDefault="00DE113E" w:rsidP="00DE113E">
      <w:pPr>
        <w:pStyle w:val="EndNoteBibliography"/>
        <w:spacing w:after="0"/>
        <w:ind w:left="720" w:hanging="720"/>
      </w:pPr>
      <w:bookmarkStart w:id="270" w:name="_ENREF_192"/>
      <w:r w:rsidRPr="00DE113E">
        <w:t xml:space="preserve">Purro, S. A., Dickins, E. M., &amp; Salinas, P. C. (2012). The Secreted WNT Antagonist Dickkopf-1 Is Required for Amyloid Β-Mediated Synaptic Loss. </w:t>
      </w:r>
      <w:r w:rsidRPr="00DE113E">
        <w:rPr>
          <w:i/>
        </w:rPr>
        <w:t>Journal of Neuroscience</w:t>
      </w:r>
      <w:r w:rsidRPr="00DE113E">
        <w:t>,</w:t>
      </w:r>
      <w:r w:rsidRPr="00DE113E">
        <w:rPr>
          <w:i/>
        </w:rPr>
        <w:t xml:space="preserve"> 32</w:t>
      </w:r>
      <w:r w:rsidRPr="00DE113E">
        <w:t xml:space="preserve">(10), 3492-3498. </w:t>
      </w:r>
      <w:hyperlink r:id="rId278" w:history="1">
        <w:r w:rsidRPr="00DE113E">
          <w:rPr>
            <w:rStyle w:val="Hyperlink"/>
          </w:rPr>
          <w:t>https://doi.org/10.1523/jneurosci.4562-11.2012</w:t>
        </w:r>
      </w:hyperlink>
      <w:r w:rsidRPr="00DE113E">
        <w:t xml:space="preserve"> </w:t>
      </w:r>
      <w:bookmarkEnd w:id="270"/>
    </w:p>
    <w:p w14:paraId="60EB427C" w14:textId="1581646F" w:rsidR="00DE113E" w:rsidRPr="00DE113E" w:rsidRDefault="00DE113E" w:rsidP="00DE113E">
      <w:pPr>
        <w:pStyle w:val="EndNoteBibliography"/>
        <w:spacing w:after="0"/>
        <w:ind w:left="720" w:hanging="720"/>
      </w:pPr>
      <w:bookmarkStart w:id="271" w:name="_ENREF_193"/>
      <w:r w:rsidRPr="00DE113E">
        <w:t xml:space="preserve">Quenon, L., Xivry, J. J. O. d., Hanseeuw, B., &amp; Ivanoiu, A. (2015). Investigating Associative Learning Effects in Patients With Prodromal Alzheimer’s Disease Using the Temporal Context Model. </w:t>
      </w:r>
      <w:r w:rsidRPr="00DE113E">
        <w:rPr>
          <w:i/>
        </w:rPr>
        <w:t>Journal of the International Neuropsychological Society</w:t>
      </w:r>
      <w:r w:rsidRPr="00DE113E">
        <w:t>,</w:t>
      </w:r>
      <w:r w:rsidRPr="00DE113E">
        <w:rPr>
          <w:i/>
        </w:rPr>
        <w:t xml:space="preserve"> 21</w:t>
      </w:r>
      <w:r w:rsidRPr="00DE113E">
        <w:t xml:space="preserve">(9), 699-708. </w:t>
      </w:r>
      <w:hyperlink r:id="rId279" w:history="1">
        <w:r w:rsidRPr="00DE113E">
          <w:rPr>
            <w:rStyle w:val="Hyperlink"/>
          </w:rPr>
          <w:t>https://doi.org/10.1017/s1355617715000855</w:t>
        </w:r>
      </w:hyperlink>
      <w:r w:rsidRPr="00DE113E">
        <w:t xml:space="preserve"> </w:t>
      </w:r>
      <w:bookmarkEnd w:id="271"/>
    </w:p>
    <w:p w14:paraId="7A916DB6" w14:textId="498A3081" w:rsidR="00DE113E" w:rsidRPr="00DE113E" w:rsidRDefault="00DE113E" w:rsidP="00DE113E">
      <w:pPr>
        <w:pStyle w:val="EndNoteBibliography"/>
        <w:spacing w:after="0"/>
        <w:ind w:left="720" w:hanging="720"/>
      </w:pPr>
      <w:bookmarkStart w:id="272" w:name="_ENREF_194"/>
      <w:r w:rsidRPr="00DE113E">
        <w:t xml:space="preserve">R, A. V. P., Seema, A., &amp; P, K. R. (2020). Effect of Short-Term Memory and Working Memory in Diabetes With Comorbidities Condition. </w:t>
      </w:r>
      <w:r w:rsidRPr="00DE113E">
        <w:rPr>
          <w:i/>
        </w:rPr>
        <w:t>International Journal of Research in Pharmaceutical Sciences</w:t>
      </w:r>
      <w:r w:rsidRPr="00DE113E">
        <w:t>,</w:t>
      </w:r>
      <w:r w:rsidRPr="00DE113E">
        <w:rPr>
          <w:i/>
        </w:rPr>
        <w:t xml:space="preserve"> 11</w:t>
      </w:r>
      <w:r w:rsidRPr="00DE113E">
        <w:t xml:space="preserve">(4), 5367-5372. </w:t>
      </w:r>
      <w:hyperlink r:id="rId280" w:history="1">
        <w:r w:rsidRPr="00DE113E">
          <w:rPr>
            <w:rStyle w:val="Hyperlink"/>
          </w:rPr>
          <w:t>https://doi.org/10.26452/ijrps.v11i4.3158</w:t>
        </w:r>
      </w:hyperlink>
      <w:r w:rsidRPr="00DE113E">
        <w:t xml:space="preserve"> </w:t>
      </w:r>
      <w:bookmarkEnd w:id="272"/>
    </w:p>
    <w:p w14:paraId="48FB9EEA" w14:textId="6E405232" w:rsidR="00DE113E" w:rsidRPr="00DE113E" w:rsidRDefault="00DE113E" w:rsidP="00DE113E">
      <w:pPr>
        <w:pStyle w:val="EndNoteBibliography"/>
        <w:spacing w:after="0"/>
        <w:ind w:left="720" w:hanging="720"/>
      </w:pPr>
      <w:bookmarkStart w:id="273" w:name="_ENREF_195"/>
      <w:r w:rsidRPr="00DE113E">
        <w:t xml:space="preserve">Ramsden, M., Kotilinek, L., Forster, C., Paulson, J., McGowan, E., SantaCruz, K., Guimaraes, A., Yue, M., Lewis, J., Carlson, G., Hutton, M., &amp; Ashe, K. H. (2005). Age-dependent neurofibrillary tangle formation, neuron loss, and memory impairment in a mouse model of human tauopathy (P301L). </w:t>
      </w:r>
      <w:r w:rsidRPr="00DE113E">
        <w:rPr>
          <w:i/>
        </w:rPr>
        <w:t>J Neurosci</w:t>
      </w:r>
      <w:r w:rsidRPr="00DE113E">
        <w:t>,</w:t>
      </w:r>
      <w:r w:rsidRPr="00DE113E">
        <w:rPr>
          <w:i/>
        </w:rPr>
        <w:t xml:space="preserve"> 25</w:t>
      </w:r>
      <w:r w:rsidRPr="00DE113E">
        <w:t xml:space="preserve">(46), 10637-10647. </w:t>
      </w:r>
      <w:hyperlink r:id="rId281" w:history="1">
        <w:r w:rsidRPr="00DE113E">
          <w:rPr>
            <w:rStyle w:val="Hyperlink"/>
          </w:rPr>
          <w:t>https://doi.org/10.1523/jneurosci.3279-05.2005</w:t>
        </w:r>
      </w:hyperlink>
      <w:r w:rsidRPr="00DE113E">
        <w:t xml:space="preserve"> </w:t>
      </w:r>
      <w:bookmarkEnd w:id="273"/>
    </w:p>
    <w:p w14:paraId="14EF63D8" w14:textId="4616772E" w:rsidR="00DE113E" w:rsidRPr="00DE113E" w:rsidRDefault="00DE113E" w:rsidP="00DE113E">
      <w:pPr>
        <w:pStyle w:val="EndNoteBibliography"/>
        <w:spacing w:after="0"/>
        <w:ind w:left="720" w:hanging="720"/>
      </w:pPr>
      <w:bookmarkStart w:id="274" w:name="_ENREF_196"/>
      <w:r w:rsidRPr="00DE113E">
        <w:lastRenderedPageBreak/>
        <w:t xml:space="preserve">Reddy, P. H., &amp; Oliver, D. (2019). Amyloid Beta and Phosphorylated Tau-Induced Defective Autophagy and Mitophagy in Alzheimer’s Disease. </w:t>
      </w:r>
      <w:r w:rsidRPr="00DE113E">
        <w:rPr>
          <w:i/>
        </w:rPr>
        <w:t>Cells</w:t>
      </w:r>
      <w:r w:rsidRPr="00DE113E">
        <w:t>,</w:t>
      </w:r>
      <w:r w:rsidRPr="00DE113E">
        <w:rPr>
          <w:i/>
        </w:rPr>
        <w:t xml:space="preserve"> 8</w:t>
      </w:r>
      <w:r w:rsidRPr="00DE113E">
        <w:t xml:space="preserve">(5), 488. </w:t>
      </w:r>
      <w:hyperlink r:id="rId282" w:history="1">
        <w:r w:rsidRPr="00DE113E">
          <w:rPr>
            <w:rStyle w:val="Hyperlink"/>
          </w:rPr>
          <w:t>https://doi.org/10.3390/cells8050488</w:t>
        </w:r>
      </w:hyperlink>
      <w:r w:rsidRPr="00DE113E">
        <w:t xml:space="preserve"> </w:t>
      </w:r>
      <w:bookmarkEnd w:id="274"/>
    </w:p>
    <w:p w14:paraId="1E4875D2" w14:textId="44DFC78D" w:rsidR="00DE113E" w:rsidRPr="00DE113E" w:rsidRDefault="00DE113E" w:rsidP="00DE113E">
      <w:pPr>
        <w:pStyle w:val="EndNoteBibliography"/>
        <w:spacing w:after="0"/>
        <w:ind w:left="720" w:hanging="720"/>
      </w:pPr>
      <w:bookmarkStart w:id="275" w:name="_ENREF_197"/>
      <w:r w:rsidRPr="00DE113E">
        <w:t xml:space="preserve">Reddy, P. H., &amp; Reddy, T. P. (2011). Mitochondria as a Therapeutic Target for Aging and Neurodegenerative Diseases. </w:t>
      </w:r>
      <w:r w:rsidRPr="00DE113E">
        <w:rPr>
          <w:i/>
        </w:rPr>
        <w:t>Current Alzheimer Research</w:t>
      </w:r>
      <w:r w:rsidRPr="00DE113E">
        <w:t>,</w:t>
      </w:r>
      <w:r w:rsidRPr="00DE113E">
        <w:rPr>
          <w:i/>
        </w:rPr>
        <w:t xml:space="preserve"> 8</w:t>
      </w:r>
      <w:r w:rsidRPr="00DE113E">
        <w:t xml:space="preserve">(4), 393-409. </w:t>
      </w:r>
      <w:hyperlink r:id="rId283" w:history="1">
        <w:r w:rsidRPr="00DE113E">
          <w:rPr>
            <w:rStyle w:val="Hyperlink"/>
          </w:rPr>
          <w:t>https://doi.org/10.2174/156720511795745401</w:t>
        </w:r>
      </w:hyperlink>
      <w:r w:rsidRPr="00DE113E">
        <w:t xml:space="preserve"> </w:t>
      </w:r>
      <w:bookmarkEnd w:id="275"/>
    </w:p>
    <w:p w14:paraId="18E82C5C" w14:textId="7E826CDE" w:rsidR="00DE113E" w:rsidRPr="00DE113E" w:rsidRDefault="00DE113E" w:rsidP="00DE113E">
      <w:pPr>
        <w:pStyle w:val="EndNoteBibliography"/>
        <w:spacing w:after="0"/>
        <w:ind w:left="720" w:hanging="720"/>
      </w:pPr>
      <w:bookmarkStart w:id="276" w:name="_ENREF_198"/>
      <w:r w:rsidRPr="00DE113E">
        <w:t xml:space="preserve">Riccio, C. A., Waldrop, J. J. M., Reynolds, C. R., &amp; Lowe, P. (2001). Effects of Stimulants on the Continuous Performance Test (CPT). </w:t>
      </w:r>
      <w:r w:rsidRPr="00DE113E">
        <w:rPr>
          <w:i/>
        </w:rPr>
        <w:t>The Journal of Neuropsychiatry and Clinical Neurosciences</w:t>
      </w:r>
      <w:r w:rsidRPr="00DE113E">
        <w:t>,</w:t>
      </w:r>
      <w:r w:rsidRPr="00DE113E">
        <w:rPr>
          <w:i/>
        </w:rPr>
        <w:t xml:space="preserve"> 13</w:t>
      </w:r>
      <w:r w:rsidRPr="00DE113E">
        <w:t xml:space="preserve">(3), 326-335. </w:t>
      </w:r>
      <w:hyperlink r:id="rId284" w:history="1">
        <w:r w:rsidRPr="00DE113E">
          <w:rPr>
            <w:rStyle w:val="Hyperlink"/>
          </w:rPr>
          <w:t>https://doi.org/10.1176/jnp.13.3.326</w:t>
        </w:r>
      </w:hyperlink>
      <w:r w:rsidRPr="00DE113E">
        <w:t xml:space="preserve"> </w:t>
      </w:r>
      <w:bookmarkEnd w:id="276"/>
    </w:p>
    <w:p w14:paraId="3758E216" w14:textId="3ADC3F98" w:rsidR="00DE113E" w:rsidRPr="00DE113E" w:rsidRDefault="00DE113E" w:rsidP="00DE113E">
      <w:pPr>
        <w:pStyle w:val="EndNoteBibliography"/>
        <w:spacing w:after="0"/>
        <w:ind w:left="720" w:hanging="720"/>
      </w:pPr>
      <w:bookmarkStart w:id="277" w:name="_ENREF_199"/>
      <w:r w:rsidRPr="00DE113E">
        <w:t xml:space="preserve">Robison, M. K., Unsworth, N., &amp; Brewer, G. A. (2021). Examining the Effects of Goal-Setting, Feedback, and Incentives on Sustained Attention. </w:t>
      </w:r>
      <w:r w:rsidRPr="00DE113E">
        <w:rPr>
          <w:i/>
        </w:rPr>
        <w:t>Journal of Experimental Psychology Human Perception &amp; Performance</w:t>
      </w:r>
      <w:r w:rsidRPr="00DE113E">
        <w:t>,</w:t>
      </w:r>
      <w:r w:rsidRPr="00DE113E">
        <w:rPr>
          <w:i/>
        </w:rPr>
        <w:t xml:space="preserve"> 47</w:t>
      </w:r>
      <w:r w:rsidRPr="00DE113E">
        <w:t xml:space="preserve">(6), 869-891. </w:t>
      </w:r>
      <w:hyperlink r:id="rId285" w:history="1">
        <w:r w:rsidRPr="00DE113E">
          <w:rPr>
            <w:rStyle w:val="Hyperlink"/>
          </w:rPr>
          <w:t>https://doi.org/10.1037/xhp0000926</w:t>
        </w:r>
      </w:hyperlink>
      <w:r w:rsidRPr="00DE113E">
        <w:t xml:space="preserve"> </w:t>
      </w:r>
      <w:bookmarkEnd w:id="277"/>
    </w:p>
    <w:p w14:paraId="0399892E" w14:textId="00F08446" w:rsidR="00DE113E" w:rsidRPr="00DE113E" w:rsidRDefault="00DE113E" w:rsidP="00DE113E">
      <w:pPr>
        <w:pStyle w:val="EndNoteBibliography"/>
        <w:spacing w:after="0"/>
        <w:ind w:left="720" w:hanging="720"/>
      </w:pPr>
      <w:bookmarkStart w:id="278" w:name="_ENREF_200"/>
      <w:r w:rsidRPr="00DE113E">
        <w:t xml:space="preserve">Roe, A. L., &amp; Venkataraman, A. (2021). The Safety and Efficacy of Botanicals With Nootropic Effects. </w:t>
      </w:r>
      <w:r w:rsidRPr="00DE113E">
        <w:rPr>
          <w:i/>
        </w:rPr>
        <w:t>Current Neuropharmacology</w:t>
      </w:r>
      <w:r w:rsidRPr="00DE113E">
        <w:t>,</w:t>
      </w:r>
      <w:r w:rsidRPr="00DE113E">
        <w:rPr>
          <w:i/>
        </w:rPr>
        <w:t xml:space="preserve"> 19</w:t>
      </w:r>
      <w:r w:rsidRPr="00DE113E">
        <w:t xml:space="preserve">(9), 1442-1467. </w:t>
      </w:r>
      <w:hyperlink r:id="rId286" w:history="1">
        <w:r w:rsidRPr="00DE113E">
          <w:rPr>
            <w:rStyle w:val="Hyperlink"/>
          </w:rPr>
          <w:t>https://doi.org/10.2174/1570159x19666210726150432</w:t>
        </w:r>
      </w:hyperlink>
      <w:r w:rsidRPr="00DE113E">
        <w:t xml:space="preserve"> </w:t>
      </w:r>
      <w:bookmarkEnd w:id="278"/>
    </w:p>
    <w:p w14:paraId="38519741" w14:textId="017BE766" w:rsidR="00DE113E" w:rsidRPr="00DE113E" w:rsidRDefault="00DE113E" w:rsidP="00DE113E">
      <w:pPr>
        <w:pStyle w:val="EndNoteBibliography"/>
        <w:spacing w:after="0"/>
        <w:ind w:left="720" w:hanging="720"/>
      </w:pPr>
      <w:bookmarkStart w:id="279" w:name="_ENREF_201"/>
      <w:r w:rsidRPr="00DE113E">
        <w:t xml:space="preserve">Roehr, S., Pabst, A., Luck, T., &amp; Riedel-Heller, S. G. (2018). Is dementia incidence declining in high-income countries? A systematic review and meta-analysis. </w:t>
      </w:r>
      <w:r w:rsidRPr="00DE113E">
        <w:rPr>
          <w:i/>
        </w:rPr>
        <w:t>Clin Epidemiol</w:t>
      </w:r>
      <w:r w:rsidRPr="00DE113E">
        <w:t>,</w:t>
      </w:r>
      <w:r w:rsidRPr="00DE113E">
        <w:rPr>
          <w:i/>
        </w:rPr>
        <w:t xml:space="preserve"> 10</w:t>
      </w:r>
      <w:r w:rsidRPr="00DE113E">
        <w:t xml:space="preserve">, 1233-1247. </w:t>
      </w:r>
      <w:hyperlink r:id="rId287" w:history="1">
        <w:r w:rsidRPr="00DE113E">
          <w:rPr>
            <w:rStyle w:val="Hyperlink"/>
          </w:rPr>
          <w:t>https://doi.org/10.2147/clep.S163649</w:t>
        </w:r>
      </w:hyperlink>
      <w:r w:rsidRPr="00DE113E">
        <w:t xml:space="preserve"> </w:t>
      </w:r>
      <w:bookmarkEnd w:id="279"/>
    </w:p>
    <w:p w14:paraId="378D5755" w14:textId="0E2E7D78" w:rsidR="00DE113E" w:rsidRPr="00DE113E" w:rsidRDefault="00DE113E" w:rsidP="00DE113E">
      <w:pPr>
        <w:pStyle w:val="EndNoteBibliography"/>
        <w:spacing w:after="0"/>
        <w:ind w:left="720" w:hanging="720"/>
      </w:pPr>
      <w:bookmarkStart w:id="280" w:name="_ENREF_202"/>
      <w:r w:rsidRPr="00DE113E">
        <w:t xml:space="preserve">Rolls, E. T. (2001). The Parietal Cortex. 70-80. </w:t>
      </w:r>
      <w:hyperlink r:id="rId288" w:history="1">
        <w:r w:rsidRPr="00DE113E">
          <w:rPr>
            <w:rStyle w:val="Hyperlink"/>
          </w:rPr>
          <w:t>https://doi.org/10.1093/acprof:oso/9780198524885.003.0004</w:t>
        </w:r>
      </w:hyperlink>
      <w:r w:rsidRPr="00DE113E">
        <w:t xml:space="preserve"> </w:t>
      </w:r>
      <w:bookmarkEnd w:id="280"/>
    </w:p>
    <w:p w14:paraId="1F50F880" w14:textId="78078352" w:rsidR="00DE113E" w:rsidRPr="00DE113E" w:rsidRDefault="00DE113E" w:rsidP="00DE113E">
      <w:pPr>
        <w:pStyle w:val="EndNoteBibliography"/>
        <w:spacing w:after="0"/>
        <w:ind w:left="720" w:hanging="720"/>
      </w:pPr>
      <w:bookmarkStart w:id="281" w:name="_ENREF_203"/>
      <w:r w:rsidRPr="00DE113E">
        <w:t xml:space="preserve">Rolls, E. T. (2023). The Parietal Cortex, Spatial Functions, and Navigation. 459-474. </w:t>
      </w:r>
      <w:hyperlink r:id="rId289" w:history="1">
        <w:r w:rsidRPr="00DE113E">
          <w:rPr>
            <w:rStyle w:val="Hyperlink"/>
          </w:rPr>
          <w:t>https://doi.org/10.1093/oso/9780198887911.003.0010</w:t>
        </w:r>
      </w:hyperlink>
      <w:r w:rsidRPr="00DE113E">
        <w:t xml:space="preserve"> </w:t>
      </w:r>
      <w:bookmarkEnd w:id="281"/>
    </w:p>
    <w:p w14:paraId="18B70DCA" w14:textId="46D397D5" w:rsidR="00DE113E" w:rsidRPr="00DE113E" w:rsidRDefault="00DE113E" w:rsidP="00DE113E">
      <w:pPr>
        <w:pStyle w:val="EndNoteBibliography"/>
        <w:spacing w:after="0"/>
        <w:ind w:left="720" w:hanging="720"/>
      </w:pPr>
      <w:bookmarkStart w:id="282" w:name="_ENREF_204"/>
      <w:r w:rsidRPr="00DE113E">
        <w:t xml:space="preserve">Romberg, C., Horner, A. E., Bussey, T. J., &amp; Saksida, L. M. (2013). A touch screen-automated cognitive test battery reveals impaired attention, memory abnormalities, and increased response inhibition in the TgCRND8 mouse model of Alzheimer's disease. </w:t>
      </w:r>
      <w:r w:rsidRPr="00DE113E">
        <w:rPr>
          <w:i/>
        </w:rPr>
        <w:t>Neurobiology of Aging</w:t>
      </w:r>
      <w:r w:rsidRPr="00DE113E">
        <w:t>,</w:t>
      </w:r>
      <w:r w:rsidRPr="00DE113E">
        <w:rPr>
          <w:i/>
        </w:rPr>
        <w:t xml:space="preserve"> 34</w:t>
      </w:r>
      <w:r w:rsidRPr="00DE113E">
        <w:t xml:space="preserve">(3), 731-744. </w:t>
      </w:r>
      <w:hyperlink r:id="rId290" w:history="1">
        <w:r w:rsidRPr="00DE113E">
          <w:rPr>
            <w:rStyle w:val="Hyperlink"/>
          </w:rPr>
          <w:t>https://doi.org/https://doi.org/10.1016/j.neurobiolaging.2012.08.006</w:t>
        </w:r>
      </w:hyperlink>
      <w:r w:rsidRPr="00DE113E">
        <w:t xml:space="preserve"> </w:t>
      </w:r>
      <w:bookmarkEnd w:id="282"/>
    </w:p>
    <w:p w14:paraId="1C94F6FE" w14:textId="226D5985" w:rsidR="00DE113E" w:rsidRPr="00DE113E" w:rsidRDefault="00DE113E" w:rsidP="00DE113E">
      <w:pPr>
        <w:pStyle w:val="EndNoteBibliography"/>
        <w:spacing w:after="0"/>
        <w:ind w:left="720" w:hanging="720"/>
      </w:pPr>
      <w:bookmarkStart w:id="283" w:name="_ENREF_205"/>
      <w:r w:rsidRPr="00DE113E">
        <w:t xml:space="preserve">Romberg, C., Mattson, M. P., Mughal, M. R., Bussey, T. J., &amp; Saksida, L. M. (2011). Impaired Attention in the 3xTgAD Mouse Model of Alzheimer's Disease: Rescue by Donepezil (Aricept). </w:t>
      </w:r>
      <w:r w:rsidRPr="00DE113E">
        <w:rPr>
          <w:i/>
        </w:rPr>
        <w:t>The Journal of Neuroscience</w:t>
      </w:r>
      <w:r w:rsidRPr="00DE113E">
        <w:t>,</w:t>
      </w:r>
      <w:r w:rsidRPr="00DE113E">
        <w:rPr>
          <w:i/>
        </w:rPr>
        <w:t xml:space="preserve"> 31</w:t>
      </w:r>
      <w:r w:rsidRPr="00DE113E">
        <w:t xml:space="preserve">(9), 3500-3507. </w:t>
      </w:r>
      <w:hyperlink r:id="rId291" w:history="1">
        <w:r w:rsidRPr="00DE113E">
          <w:rPr>
            <w:rStyle w:val="Hyperlink"/>
          </w:rPr>
          <w:t>https://doi.org/10.1523/jneurosci.5242-10.2011</w:t>
        </w:r>
      </w:hyperlink>
      <w:r w:rsidRPr="00DE113E">
        <w:t xml:space="preserve"> </w:t>
      </w:r>
      <w:bookmarkEnd w:id="283"/>
    </w:p>
    <w:p w14:paraId="1026A179" w14:textId="593BCBC8" w:rsidR="00DE113E" w:rsidRPr="00DE113E" w:rsidRDefault="00DE113E" w:rsidP="00DE113E">
      <w:pPr>
        <w:pStyle w:val="EndNoteBibliography"/>
        <w:spacing w:after="0"/>
        <w:ind w:left="720" w:hanging="720"/>
      </w:pPr>
      <w:bookmarkStart w:id="284" w:name="_ENREF_206"/>
      <w:r w:rsidRPr="00DE113E">
        <w:t xml:space="preserve">Romberg, C., Mattson, M. P., Mughal, M. R., Bussey, T. J., &amp; Saksida, L. M. (2011). Impaired attention in the 3xTgAD mouse model of Alzheimer's disease: rescue by donepezil (Aricept). </w:t>
      </w:r>
      <w:r w:rsidRPr="00DE113E">
        <w:rPr>
          <w:i/>
        </w:rPr>
        <w:t>J Neurosci</w:t>
      </w:r>
      <w:r w:rsidRPr="00DE113E">
        <w:t>,</w:t>
      </w:r>
      <w:r w:rsidRPr="00DE113E">
        <w:rPr>
          <w:i/>
        </w:rPr>
        <w:t xml:space="preserve"> 31</w:t>
      </w:r>
      <w:r w:rsidRPr="00DE113E">
        <w:t xml:space="preserve">(9), 3500-3507. </w:t>
      </w:r>
      <w:hyperlink r:id="rId292" w:history="1">
        <w:r w:rsidRPr="00DE113E">
          <w:rPr>
            <w:rStyle w:val="Hyperlink"/>
          </w:rPr>
          <w:t>https://doi.org/10.1523/jneurosci.5242-10.2011</w:t>
        </w:r>
      </w:hyperlink>
      <w:r w:rsidRPr="00DE113E">
        <w:t xml:space="preserve"> </w:t>
      </w:r>
      <w:bookmarkEnd w:id="284"/>
    </w:p>
    <w:p w14:paraId="698EF7E5" w14:textId="610287D0" w:rsidR="00DE113E" w:rsidRPr="00DE113E" w:rsidRDefault="00DE113E" w:rsidP="00DE113E">
      <w:pPr>
        <w:pStyle w:val="EndNoteBibliography"/>
        <w:spacing w:after="0"/>
        <w:ind w:left="720" w:hanging="720"/>
      </w:pPr>
      <w:bookmarkStart w:id="285" w:name="_ENREF_207"/>
      <w:r w:rsidRPr="00DE113E">
        <w:t xml:space="preserve">Rosen, M. L., Stern, C. E., Michalka, S., Devaney, K. J., &amp; Somers, D. C. (2015). Influences of Long-Term Memory-Guided Attention and Stimulus-Guided Attention on Visuospatial Representations Within Human Intraparietal Sulcus. </w:t>
      </w:r>
      <w:r w:rsidRPr="00DE113E">
        <w:rPr>
          <w:i/>
        </w:rPr>
        <w:t>Journal of Neuroscience</w:t>
      </w:r>
      <w:r w:rsidRPr="00DE113E">
        <w:t>,</w:t>
      </w:r>
      <w:r w:rsidRPr="00DE113E">
        <w:rPr>
          <w:i/>
        </w:rPr>
        <w:t xml:space="preserve"> 35</w:t>
      </w:r>
      <w:r w:rsidRPr="00DE113E">
        <w:t xml:space="preserve">(32), 11358-11363. </w:t>
      </w:r>
      <w:hyperlink r:id="rId293" w:history="1">
        <w:r w:rsidRPr="00DE113E">
          <w:rPr>
            <w:rStyle w:val="Hyperlink"/>
          </w:rPr>
          <w:t>https://doi.org/10.1523/jneurosci.1055-15.2015</w:t>
        </w:r>
      </w:hyperlink>
      <w:r w:rsidRPr="00DE113E">
        <w:t xml:space="preserve"> </w:t>
      </w:r>
      <w:bookmarkEnd w:id="285"/>
    </w:p>
    <w:p w14:paraId="03593E7F" w14:textId="4193A8CD" w:rsidR="00DE113E" w:rsidRPr="00DE113E" w:rsidRDefault="00DE113E" w:rsidP="00DE113E">
      <w:pPr>
        <w:pStyle w:val="EndNoteBibliography"/>
        <w:spacing w:after="0"/>
        <w:ind w:left="720" w:hanging="720"/>
      </w:pPr>
      <w:bookmarkStart w:id="286" w:name="_ENREF_208"/>
      <w:r w:rsidRPr="00DE113E">
        <w:t xml:space="preserve">Saenghong, N., Wattanathorn, J., Muchimapura, S., Tong-un, T., Piyavhatkul, N., Banchonglikitkul, C., &amp; Kajsongkram, T. (2012). &lt;i&gt;Zingiber Officinale&lt;/I&gt;Improves Cognitive Function of the Middle-Aged Healthy Women. </w:t>
      </w:r>
      <w:r w:rsidRPr="00DE113E">
        <w:rPr>
          <w:i/>
        </w:rPr>
        <w:t>Evidence-Based Complementary and Alternative Medicine</w:t>
      </w:r>
      <w:r w:rsidRPr="00DE113E">
        <w:t>,</w:t>
      </w:r>
      <w:r w:rsidRPr="00DE113E">
        <w:rPr>
          <w:i/>
        </w:rPr>
        <w:t xml:space="preserve"> 2012</w:t>
      </w:r>
      <w:r w:rsidRPr="00DE113E">
        <w:t xml:space="preserve">, 1-9. </w:t>
      </w:r>
      <w:hyperlink r:id="rId294" w:history="1">
        <w:r w:rsidRPr="00DE113E">
          <w:rPr>
            <w:rStyle w:val="Hyperlink"/>
          </w:rPr>
          <w:t>https://doi.org/10.1155/2012/383062</w:t>
        </w:r>
      </w:hyperlink>
      <w:r w:rsidRPr="00DE113E">
        <w:t xml:space="preserve"> </w:t>
      </w:r>
      <w:bookmarkEnd w:id="286"/>
    </w:p>
    <w:p w14:paraId="31362FBB" w14:textId="085B84B3" w:rsidR="00DE113E" w:rsidRPr="00DE113E" w:rsidRDefault="00DE113E" w:rsidP="00DE113E">
      <w:pPr>
        <w:pStyle w:val="EndNoteBibliography"/>
        <w:spacing w:after="0"/>
        <w:ind w:left="720" w:hanging="720"/>
      </w:pPr>
      <w:bookmarkStart w:id="287" w:name="_ENREF_209"/>
      <w:r w:rsidRPr="00DE113E">
        <w:t xml:space="preserve">Sagalajev, B., Lennartz, L., Vieth, L., Gunawan, C. T., Neumaier, B., Drzezga, A., Visser‐Vandewalle, V., Endepols, H., &amp; Sesia, T. (2023). TgF344-AD Rat Model of Alzheimer’s Disease: Spatial Disorientation and Asymmetry in Hemispheric Neurodegeneration. </w:t>
      </w:r>
      <w:hyperlink r:id="rId295" w:history="1">
        <w:r w:rsidRPr="00DE113E">
          <w:rPr>
            <w:rStyle w:val="Hyperlink"/>
          </w:rPr>
          <w:t>https://doi.org/10.1101/2023.08.14.553199</w:t>
        </w:r>
      </w:hyperlink>
      <w:r w:rsidRPr="00DE113E">
        <w:t xml:space="preserve"> </w:t>
      </w:r>
      <w:bookmarkEnd w:id="287"/>
    </w:p>
    <w:p w14:paraId="761E4122" w14:textId="298EA486" w:rsidR="00DE113E" w:rsidRPr="00DE113E" w:rsidRDefault="00DE113E" w:rsidP="00DE113E">
      <w:pPr>
        <w:pStyle w:val="EndNoteBibliography"/>
        <w:spacing w:after="0"/>
        <w:ind w:left="720" w:hanging="720"/>
      </w:pPr>
      <w:bookmarkStart w:id="288" w:name="_ENREF_210"/>
      <w:r w:rsidRPr="00DE113E">
        <w:lastRenderedPageBreak/>
        <w:t xml:space="preserve">Saha, P., &amp; Sen, N. (2019). Tauopathy: A Common Mechanism for Neurodegeneration and Brain Aging. </w:t>
      </w:r>
      <w:r w:rsidRPr="00DE113E">
        <w:rPr>
          <w:i/>
        </w:rPr>
        <w:t>Mechanisms of Ageing and Development</w:t>
      </w:r>
      <w:r w:rsidRPr="00DE113E">
        <w:t>,</w:t>
      </w:r>
      <w:r w:rsidRPr="00DE113E">
        <w:rPr>
          <w:i/>
        </w:rPr>
        <w:t xml:space="preserve"> 178</w:t>
      </w:r>
      <w:r w:rsidRPr="00DE113E">
        <w:t xml:space="preserve">, 72-79. </w:t>
      </w:r>
      <w:hyperlink r:id="rId296" w:history="1">
        <w:r w:rsidRPr="00DE113E">
          <w:rPr>
            <w:rStyle w:val="Hyperlink"/>
          </w:rPr>
          <w:t>https://doi.org/10.1016/j.mad.2019.01.007</w:t>
        </w:r>
      </w:hyperlink>
      <w:r w:rsidRPr="00DE113E">
        <w:t xml:space="preserve"> </w:t>
      </w:r>
      <w:bookmarkEnd w:id="288"/>
    </w:p>
    <w:p w14:paraId="18218640" w14:textId="37F9BDFA" w:rsidR="00DE113E" w:rsidRPr="00DE113E" w:rsidRDefault="00DE113E" w:rsidP="00DE113E">
      <w:pPr>
        <w:pStyle w:val="EndNoteBibliography"/>
        <w:spacing w:after="0"/>
        <w:ind w:left="720" w:hanging="720"/>
      </w:pPr>
      <w:bookmarkStart w:id="289" w:name="_ENREF_211"/>
      <w:r w:rsidRPr="00DE113E">
        <w:t xml:space="preserve">Saifullah, A. B., Komine, O., Dong, Y., Fukumoto, K., Sobue, A., Endo, F., Saito, T., Saido, T. C., Yamanaka, K., &amp; Mizoguchi, H. (2020). Touchscreen-Based Location Discrimination and Paired Associate Learning Tasks Detect Cognitive Impairment at an Early Stage in an App Knock-in Mouse Model of Alzheimer’s Disease. </w:t>
      </w:r>
      <w:r w:rsidRPr="00DE113E">
        <w:rPr>
          <w:i/>
        </w:rPr>
        <w:t>Molecular Brain</w:t>
      </w:r>
      <w:r w:rsidRPr="00DE113E">
        <w:t>,</w:t>
      </w:r>
      <w:r w:rsidRPr="00DE113E">
        <w:rPr>
          <w:i/>
        </w:rPr>
        <w:t xml:space="preserve"> 13</w:t>
      </w:r>
      <w:r w:rsidRPr="00DE113E">
        <w:t xml:space="preserve">(1). </w:t>
      </w:r>
      <w:hyperlink r:id="rId297" w:history="1">
        <w:r w:rsidRPr="00DE113E">
          <w:rPr>
            <w:rStyle w:val="Hyperlink"/>
          </w:rPr>
          <w:t>https://doi.org/10.1186/s13041-020-00690-6</w:t>
        </w:r>
      </w:hyperlink>
      <w:r w:rsidRPr="00DE113E">
        <w:t xml:space="preserve"> </w:t>
      </w:r>
      <w:bookmarkEnd w:id="289"/>
    </w:p>
    <w:p w14:paraId="32B9FEFC" w14:textId="5D92A294" w:rsidR="00DE113E" w:rsidRPr="00DE113E" w:rsidRDefault="00DE113E" w:rsidP="00DE113E">
      <w:pPr>
        <w:pStyle w:val="EndNoteBibliography"/>
        <w:spacing w:after="0"/>
        <w:ind w:left="720" w:hanging="720"/>
      </w:pPr>
      <w:bookmarkStart w:id="290" w:name="_ENREF_212"/>
      <w:r w:rsidRPr="00DE113E">
        <w:t xml:space="preserve">Salmon, C., Li, S., Burrows, E. L., &amp; Johnson, K. A. (2024). Translational Validity of Neuropsychological Tasks of Sustained Attention Between Rodents and Humans: A Systematic Review of Three Rodent Tasks. </w:t>
      </w:r>
      <w:r w:rsidRPr="00DE113E">
        <w:rPr>
          <w:i/>
        </w:rPr>
        <w:t>Journal of Neurochemistry</w:t>
      </w:r>
      <w:r w:rsidRPr="00DE113E">
        <w:t>,</w:t>
      </w:r>
      <w:r w:rsidRPr="00DE113E">
        <w:rPr>
          <w:i/>
        </w:rPr>
        <w:t xml:space="preserve"> 168</w:t>
      </w:r>
      <w:r w:rsidRPr="00DE113E">
        <w:t xml:space="preserve">(9), 2170-2189. </w:t>
      </w:r>
      <w:hyperlink r:id="rId298" w:history="1">
        <w:r w:rsidRPr="00DE113E">
          <w:rPr>
            <w:rStyle w:val="Hyperlink"/>
          </w:rPr>
          <w:t>https://doi.org/10.1111/jnc.16117</w:t>
        </w:r>
      </w:hyperlink>
      <w:r w:rsidRPr="00DE113E">
        <w:t xml:space="preserve"> </w:t>
      </w:r>
      <w:bookmarkEnd w:id="290"/>
    </w:p>
    <w:p w14:paraId="5A3B17BF" w14:textId="7F611D03" w:rsidR="00DE113E" w:rsidRPr="00DE113E" w:rsidRDefault="00DE113E" w:rsidP="00DE113E">
      <w:pPr>
        <w:pStyle w:val="EndNoteBibliography"/>
        <w:spacing w:after="0"/>
        <w:ind w:left="720" w:hanging="720"/>
      </w:pPr>
      <w:bookmarkStart w:id="291" w:name="_ENREF_213"/>
      <w:r w:rsidRPr="00DE113E">
        <w:t xml:space="preserve">Sánchez-Vincitore, L. V., Cubilla-Bonnetier, D., Marte-Santana, H., &amp; Duñabeitia, J. A. (2023). Cognitive Decline Monitoring Through a Web-Based Application. </w:t>
      </w:r>
      <w:r w:rsidRPr="00DE113E">
        <w:rPr>
          <w:i/>
        </w:rPr>
        <w:t>Frontiers in Aging Neuroscience</w:t>
      </w:r>
      <w:r w:rsidRPr="00DE113E">
        <w:t>,</w:t>
      </w:r>
      <w:r w:rsidRPr="00DE113E">
        <w:rPr>
          <w:i/>
        </w:rPr>
        <w:t xml:space="preserve"> 15</w:t>
      </w:r>
      <w:r w:rsidRPr="00DE113E">
        <w:t xml:space="preserve">. </w:t>
      </w:r>
      <w:hyperlink r:id="rId299" w:history="1">
        <w:r w:rsidRPr="00DE113E">
          <w:rPr>
            <w:rStyle w:val="Hyperlink"/>
          </w:rPr>
          <w:t>https://doi.org/10.3389/fnagi.2023.1212496</w:t>
        </w:r>
      </w:hyperlink>
      <w:r w:rsidRPr="00DE113E">
        <w:t xml:space="preserve"> </w:t>
      </w:r>
      <w:bookmarkEnd w:id="291"/>
    </w:p>
    <w:p w14:paraId="1C9E9B27" w14:textId="475E5638" w:rsidR="00DE113E" w:rsidRPr="00DE113E" w:rsidRDefault="00DE113E" w:rsidP="00DE113E">
      <w:pPr>
        <w:pStyle w:val="EndNoteBibliography"/>
        <w:spacing w:after="0"/>
        <w:ind w:left="720" w:hanging="720"/>
      </w:pPr>
      <w:bookmarkStart w:id="292" w:name="_ENREF_214"/>
      <w:r w:rsidRPr="00DE113E">
        <w:t xml:space="preserve">Sangeet, S., Khan, A., Mahanta, S., Roy, N., Das, S. K., Mohanta, Y. K., Saravanan, M., Tag, H., &amp; Hui, P. K. (2023). Computational Analysis of &lt;i&gt;Bacopa Monnieri&lt;/I&gt; (L.) Wettst. Compounds For Drug Development Against Neurodegenerative Disorders. </w:t>
      </w:r>
      <w:r w:rsidRPr="00DE113E">
        <w:rPr>
          <w:i/>
        </w:rPr>
        <w:t>Current Computer - Aided Drug Design</w:t>
      </w:r>
      <w:r w:rsidRPr="00DE113E">
        <w:t>,</w:t>
      </w:r>
      <w:r w:rsidRPr="00DE113E">
        <w:rPr>
          <w:i/>
        </w:rPr>
        <w:t xml:space="preserve"> 19</w:t>
      </w:r>
      <w:r w:rsidRPr="00DE113E">
        <w:t xml:space="preserve">(1), 24-36. </w:t>
      </w:r>
      <w:hyperlink r:id="rId300" w:history="1">
        <w:r w:rsidRPr="00DE113E">
          <w:rPr>
            <w:rStyle w:val="Hyperlink"/>
          </w:rPr>
          <w:t>https://doi.org/10.2174/1573409918666221010103652</w:t>
        </w:r>
      </w:hyperlink>
      <w:r w:rsidRPr="00DE113E">
        <w:t xml:space="preserve"> </w:t>
      </w:r>
      <w:bookmarkEnd w:id="292"/>
    </w:p>
    <w:p w14:paraId="7DCDF20F" w14:textId="00F6FD98" w:rsidR="00DE113E" w:rsidRPr="00DE113E" w:rsidRDefault="00DE113E" w:rsidP="00DE113E">
      <w:pPr>
        <w:pStyle w:val="EndNoteBibliography"/>
        <w:spacing w:after="0"/>
        <w:ind w:left="720" w:hanging="720"/>
      </w:pPr>
      <w:bookmarkStart w:id="293" w:name="_ENREF_215"/>
      <w:r w:rsidRPr="00DE113E">
        <w:t xml:space="preserve">Santos, R. L., Sousa, M. F. B. d., Neto, J. P. S., Bertrand, E., Mograbi, D. C., Landeira‐Fernandez, J., Laks, J., &amp; Dourado, M. C. N. (2017). MacArthur Competence Assessment Tool for Treatment in Alzheimer Disease: Cross-Cultural Adaptation. </w:t>
      </w:r>
      <w:r w:rsidRPr="00DE113E">
        <w:rPr>
          <w:i/>
        </w:rPr>
        <w:t>Arquivos De Neuro-Psiquiatria</w:t>
      </w:r>
      <w:r w:rsidRPr="00DE113E">
        <w:t>,</w:t>
      </w:r>
      <w:r w:rsidRPr="00DE113E">
        <w:rPr>
          <w:i/>
        </w:rPr>
        <w:t xml:space="preserve"> 75</w:t>
      </w:r>
      <w:r w:rsidRPr="00DE113E">
        <w:t xml:space="preserve">(1), 36-43. </w:t>
      </w:r>
      <w:hyperlink r:id="rId301" w:history="1">
        <w:r w:rsidRPr="00DE113E">
          <w:rPr>
            <w:rStyle w:val="Hyperlink"/>
          </w:rPr>
          <w:t>https://doi.org/10.1590/0004-282x20160181</w:t>
        </w:r>
      </w:hyperlink>
      <w:r w:rsidRPr="00DE113E">
        <w:t xml:space="preserve"> </w:t>
      </w:r>
      <w:bookmarkEnd w:id="293"/>
    </w:p>
    <w:p w14:paraId="49BEEBD7" w14:textId="4955D7BC" w:rsidR="00DE113E" w:rsidRPr="00DE113E" w:rsidRDefault="00DE113E" w:rsidP="00DE113E">
      <w:pPr>
        <w:pStyle w:val="EndNoteBibliography"/>
        <w:spacing w:after="0"/>
        <w:ind w:left="720" w:hanging="720"/>
      </w:pPr>
      <w:bookmarkStart w:id="294" w:name="_ENREF_216"/>
      <w:r w:rsidRPr="00DE113E">
        <w:t xml:space="preserve">Schroll, H., Vitay, J., &amp; Hamker, F. H. (2013). Dysfunctional and Compensatory Synaptic Plasticity in &lt;scp&gt;P&lt;/Scp&gt;arkinson's Disease. </w:t>
      </w:r>
      <w:r w:rsidRPr="00DE113E">
        <w:rPr>
          <w:i/>
        </w:rPr>
        <w:t>European Journal of Neuroscience</w:t>
      </w:r>
      <w:r w:rsidRPr="00DE113E">
        <w:t>,</w:t>
      </w:r>
      <w:r w:rsidRPr="00DE113E">
        <w:rPr>
          <w:i/>
        </w:rPr>
        <w:t xml:space="preserve"> 39</w:t>
      </w:r>
      <w:r w:rsidRPr="00DE113E">
        <w:t xml:space="preserve">(4), 688-702. </w:t>
      </w:r>
      <w:hyperlink r:id="rId302" w:history="1">
        <w:r w:rsidRPr="00DE113E">
          <w:rPr>
            <w:rStyle w:val="Hyperlink"/>
          </w:rPr>
          <w:t>https://doi.org/10.1111/ejn.12434</w:t>
        </w:r>
      </w:hyperlink>
      <w:r w:rsidRPr="00DE113E">
        <w:t xml:space="preserve"> </w:t>
      </w:r>
      <w:bookmarkEnd w:id="294"/>
    </w:p>
    <w:p w14:paraId="4208BFB0" w14:textId="1B5336D3" w:rsidR="00DE113E" w:rsidRPr="00DE113E" w:rsidRDefault="00DE113E" w:rsidP="00DE113E">
      <w:pPr>
        <w:pStyle w:val="EndNoteBibliography"/>
        <w:spacing w:after="0"/>
        <w:ind w:left="720" w:hanging="720"/>
      </w:pPr>
      <w:bookmarkStart w:id="295" w:name="_ENREF_217"/>
      <w:r w:rsidRPr="00DE113E">
        <w:t xml:space="preserve">Schutsky, K., Ouyang, M., &amp; Thomas, S. A. (2011). Xamoterol impairs hippocampus-dependent emotional memory retrieval via Gi/o-coupled β2-adrenergic signaling. </w:t>
      </w:r>
      <w:r w:rsidRPr="00DE113E">
        <w:rPr>
          <w:i/>
        </w:rPr>
        <w:t>Learn Mem</w:t>
      </w:r>
      <w:r w:rsidRPr="00DE113E">
        <w:t>,</w:t>
      </w:r>
      <w:r w:rsidRPr="00DE113E">
        <w:rPr>
          <w:i/>
        </w:rPr>
        <w:t xml:space="preserve"> 18</w:t>
      </w:r>
      <w:r w:rsidRPr="00DE113E">
        <w:t xml:space="preserve">(9), 598-604. </w:t>
      </w:r>
      <w:hyperlink r:id="rId303" w:history="1">
        <w:r w:rsidRPr="00DE113E">
          <w:rPr>
            <w:rStyle w:val="Hyperlink"/>
          </w:rPr>
          <w:t>https://doi.org/10.1101/lm.2302811</w:t>
        </w:r>
      </w:hyperlink>
      <w:r w:rsidRPr="00DE113E">
        <w:t xml:space="preserve"> </w:t>
      </w:r>
      <w:bookmarkEnd w:id="295"/>
    </w:p>
    <w:p w14:paraId="089F4924" w14:textId="445C1AD3" w:rsidR="00DE113E" w:rsidRPr="00DE113E" w:rsidRDefault="00DE113E" w:rsidP="00DE113E">
      <w:pPr>
        <w:pStyle w:val="EndNoteBibliography"/>
        <w:spacing w:after="0"/>
        <w:ind w:left="720" w:hanging="720"/>
      </w:pPr>
      <w:bookmarkStart w:id="296" w:name="_ENREF_218"/>
      <w:r w:rsidRPr="00DE113E">
        <w:t xml:space="preserve">Seddon, J., Wadd, S., Elliott, L., &amp; Madoc-Jones, I. (2021). Cognitive impairment and treatment outcomes amongst people attending an alcohol intervention service for those aged 50+. </w:t>
      </w:r>
      <w:r w:rsidRPr="00DE113E">
        <w:rPr>
          <w:i/>
        </w:rPr>
        <w:t>Advances in Dual Diagnosis</w:t>
      </w:r>
      <w:r w:rsidRPr="00DE113E">
        <w:t>,</w:t>
      </w:r>
      <w:r w:rsidRPr="00DE113E">
        <w:rPr>
          <w:i/>
        </w:rPr>
        <w:t xml:space="preserve"> 14</w:t>
      </w:r>
      <w:r w:rsidRPr="00DE113E">
        <w:t xml:space="preserve">(2), 58-69. </w:t>
      </w:r>
      <w:hyperlink r:id="rId304" w:history="1">
        <w:r w:rsidRPr="00DE113E">
          <w:rPr>
            <w:rStyle w:val="Hyperlink"/>
          </w:rPr>
          <w:t>https://doi.org/10.1108/add-02-2021-0003</w:t>
        </w:r>
      </w:hyperlink>
      <w:r w:rsidRPr="00DE113E">
        <w:t xml:space="preserve"> </w:t>
      </w:r>
      <w:bookmarkEnd w:id="296"/>
    </w:p>
    <w:p w14:paraId="6FFF9764" w14:textId="07499C07" w:rsidR="00DE113E" w:rsidRPr="00DE113E" w:rsidRDefault="00DE113E" w:rsidP="00DE113E">
      <w:pPr>
        <w:pStyle w:val="EndNoteBibliography"/>
        <w:spacing w:after="0"/>
        <w:ind w:left="720" w:hanging="720"/>
      </w:pPr>
      <w:bookmarkStart w:id="297" w:name="_ENREF_219"/>
      <w:r w:rsidRPr="00DE113E">
        <w:t xml:space="preserve">Shany‐Ur, T., Poorzand, P., Grossman, S. N., Growdon, M. E., Jang, J. Y., Ketelle, R., Miller, B. L., &amp; Rankin, K. P. (2012). Comprehension of Insincere Communication in Neurodegenerative Disease: Lies, Sarcasm, and Theory of Mind. </w:t>
      </w:r>
      <w:r w:rsidRPr="00DE113E">
        <w:rPr>
          <w:i/>
        </w:rPr>
        <w:t>Cortex</w:t>
      </w:r>
      <w:r w:rsidRPr="00DE113E">
        <w:t>,</w:t>
      </w:r>
      <w:r w:rsidRPr="00DE113E">
        <w:rPr>
          <w:i/>
        </w:rPr>
        <w:t xml:space="preserve"> 48</w:t>
      </w:r>
      <w:r w:rsidRPr="00DE113E">
        <w:t xml:space="preserve">(10), 1329-1341. </w:t>
      </w:r>
      <w:hyperlink r:id="rId305" w:history="1">
        <w:r w:rsidRPr="00DE113E">
          <w:rPr>
            <w:rStyle w:val="Hyperlink"/>
          </w:rPr>
          <w:t>https://doi.org/10.1016/j.cortex.2011.08.003</w:t>
        </w:r>
      </w:hyperlink>
      <w:r w:rsidRPr="00DE113E">
        <w:t xml:space="preserve"> </w:t>
      </w:r>
      <w:bookmarkEnd w:id="297"/>
    </w:p>
    <w:p w14:paraId="77DFA384" w14:textId="78D94035" w:rsidR="00DE113E" w:rsidRPr="00DE113E" w:rsidRDefault="00DE113E" w:rsidP="00DE113E">
      <w:pPr>
        <w:pStyle w:val="EndNoteBibliography"/>
        <w:spacing w:after="0"/>
        <w:ind w:left="720" w:hanging="720"/>
      </w:pPr>
      <w:bookmarkStart w:id="298" w:name="_ENREF_220"/>
      <w:r w:rsidRPr="00DE113E">
        <w:t xml:space="preserve">Sharma, C., Kim, S., Nam, Y., Jung, U. J., &amp; Kim, S. R. (2021). Mitochondrial Dysfunction as a Driver of Cognitive Impairment in Alzheimer’s Disease. </w:t>
      </w:r>
      <w:r w:rsidRPr="00DE113E">
        <w:rPr>
          <w:i/>
        </w:rPr>
        <w:t>International Journal of Molecular Sciences</w:t>
      </w:r>
      <w:r w:rsidRPr="00DE113E">
        <w:t>,</w:t>
      </w:r>
      <w:r w:rsidRPr="00DE113E">
        <w:rPr>
          <w:i/>
        </w:rPr>
        <w:t xml:space="preserve"> 22</w:t>
      </w:r>
      <w:r w:rsidRPr="00DE113E">
        <w:t xml:space="preserve">(9), 4850. </w:t>
      </w:r>
      <w:hyperlink r:id="rId306" w:history="1">
        <w:r w:rsidRPr="00DE113E">
          <w:rPr>
            <w:rStyle w:val="Hyperlink"/>
          </w:rPr>
          <w:t>https://doi.org/10.3390/ijms22094850</w:t>
        </w:r>
      </w:hyperlink>
      <w:r w:rsidRPr="00DE113E">
        <w:t xml:space="preserve"> </w:t>
      </w:r>
      <w:bookmarkEnd w:id="298"/>
    </w:p>
    <w:p w14:paraId="77BFE71C" w14:textId="6749EEF5" w:rsidR="00DE113E" w:rsidRPr="00DE113E" w:rsidRDefault="00DE113E" w:rsidP="00DE113E">
      <w:pPr>
        <w:pStyle w:val="EndNoteBibliography"/>
        <w:spacing w:after="0"/>
        <w:ind w:left="720" w:hanging="720"/>
      </w:pPr>
      <w:bookmarkStart w:id="299" w:name="_ENREF_221"/>
      <w:r w:rsidRPr="00DE113E">
        <w:t xml:space="preserve">Sheng, B., Wang, X., Su, B., Lee, H. g., Casadesús, G., Perry, G., &amp; Zhu, X. (2011). Impaired Mitochondrial Biogenesis Contributes to Mitochondrial Dysfunction in Alzheimer’s Disease. </w:t>
      </w:r>
      <w:r w:rsidRPr="00DE113E">
        <w:rPr>
          <w:i/>
        </w:rPr>
        <w:t>Journal of Neurochemistry</w:t>
      </w:r>
      <w:r w:rsidRPr="00DE113E">
        <w:t>,</w:t>
      </w:r>
      <w:r w:rsidRPr="00DE113E">
        <w:rPr>
          <w:i/>
        </w:rPr>
        <w:t xml:space="preserve"> 120</w:t>
      </w:r>
      <w:r w:rsidRPr="00DE113E">
        <w:t xml:space="preserve">(3), 419-429. </w:t>
      </w:r>
      <w:hyperlink r:id="rId307" w:history="1">
        <w:r w:rsidRPr="00DE113E">
          <w:rPr>
            <w:rStyle w:val="Hyperlink"/>
          </w:rPr>
          <w:t>https://doi.org/10.1111/j.1471-4159.2011.07581.x</w:t>
        </w:r>
      </w:hyperlink>
      <w:r w:rsidRPr="00DE113E">
        <w:t xml:space="preserve"> </w:t>
      </w:r>
      <w:bookmarkEnd w:id="299"/>
    </w:p>
    <w:p w14:paraId="157B1BF0" w14:textId="2E160C1C" w:rsidR="00DE113E" w:rsidRPr="00DE113E" w:rsidRDefault="00DE113E" w:rsidP="00DE113E">
      <w:pPr>
        <w:pStyle w:val="EndNoteBibliography"/>
        <w:spacing w:after="0"/>
        <w:ind w:left="720" w:hanging="720"/>
      </w:pPr>
      <w:bookmarkStart w:id="300" w:name="_ENREF_222"/>
      <w:r w:rsidRPr="00DE113E">
        <w:t xml:space="preserve">Shepherd, A., May, C., Churilov, L., Adlard, P. A., Hannan, A. J., &amp; Burrows, E. L. (2021). Evaluation of attention in APP/PS1 mice shows impulsive and compulsive </w:t>
      </w:r>
      <w:r w:rsidRPr="00DE113E">
        <w:lastRenderedPageBreak/>
        <w:t xml:space="preserve">behaviours. </w:t>
      </w:r>
      <w:r w:rsidRPr="00DE113E">
        <w:rPr>
          <w:i/>
        </w:rPr>
        <w:t>Genes, Brain and Behavior</w:t>
      </w:r>
      <w:r w:rsidRPr="00DE113E">
        <w:t>,</w:t>
      </w:r>
      <w:r w:rsidRPr="00DE113E">
        <w:rPr>
          <w:i/>
        </w:rPr>
        <w:t xml:space="preserve"> 20</w:t>
      </w:r>
      <w:r w:rsidRPr="00DE113E">
        <w:t xml:space="preserve">(1), e12594. </w:t>
      </w:r>
      <w:hyperlink r:id="rId308" w:history="1">
        <w:r w:rsidRPr="00DE113E">
          <w:rPr>
            <w:rStyle w:val="Hyperlink"/>
          </w:rPr>
          <w:t>https://doi.org/https://doi.org/10.1111/gbb.12594</w:t>
        </w:r>
      </w:hyperlink>
      <w:r w:rsidRPr="00DE113E">
        <w:t xml:space="preserve"> </w:t>
      </w:r>
      <w:bookmarkEnd w:id="300"/>
    </w:p>
    <w:p w14:paraId="2B8B3681" w14:textId="2F26A822" w:rsidR="00DE113E" w:rsidRPr="00DE113E" w:rsidRDefault="00DE113E" w:rsidP="00DE113E">
      <w:pPr>
        <w:pStyle w:val="EndNoteBibliography"/>
        <w:spacing w:after="0"/>
        <w:ind w:left="720" w:hanging="720"/>
      </w:pPr>
      <w:bookmarkStart w:id="301" w:name="_ENREF_223"/>
      <w:r w:rsidRPr="00DE113E">
        <w:t xml:space="preserve">Shepherd, A., Zhang, T., Hoffmann, L. B., Zeleznikow-Johnston, A., Churilov, L., Hannan, A. J., &amp; Burrows, E. L. (2021). A Preclinical Model of Computerized Cognitive Training: Touchscreen Cognitive Testing Enhances Cognition and Hippocampal Cellular Plasticity in Wildtype and Alzheimer’s Disease Mice. </w:t>
      </w:r>
      <w:r w:rsidRPr="00DE113E">
        <w:rPr>
          <w:i/>
        </w:rPr>
        <w:t>Frontiers in Behavioral Neuroscience</w:t>
      </w:r>
      <w:r w:rsidRPr="00DE113E">
        <w:t>,</w:t>
      </w:r>
      <w:r w:rsidRPr="00DE113E">
        <w:rPr>
          <w:i/>
        </w:rPr>
        <w:t xml:space="preserve"> 15</w:t>
      </w:r>
      <w:r w:rsidRPr="00DE113E">
        <w:t xml:space="preserve">. </w:t>
      </w:r>
      <w:hyperlink r:id="rId309" w:history="1">
        <w:r w:rsidRPr="00DE113E">
          <w:rPr>
            <w:rStyle w:val="Hyperlink"/>
          </w:rPr>
          <w:t>https://doi.org/10.3389/fnbeh.2021.766745</w:t>
        </w:r>
      </w:hyperlink>
      <w:r w:rsidRPr="00DE113E">
        <w:t xml:space="preserve"> </w:t>
      </w:r>
      <w:bookmarkEnd w:id="301"/>
    </w:p>
    <w:p w14:paraId="3803AA49" w14:textId="417B96F0" w:rsidR="00DE113E" w:rsidRPr="00DE113E" w:rsidRDefault="00DE113E" w:rsidP="00DE113E">
      <w:pPr>
        <w:pStyle w:val="EndNoteBibliography"/>
        <w:spacing w:after="0"/>
        <w:ind w:left="720" w:hanging="720"/>
      </w:pPr>
      <w:bookmarkStart w:id="302" w:name="_ENREF_224"/>
      <w:r w:rsidRPr="00DE113E">
        <w:t xml:space="preserve">Shi, J., Li, M., Zhang, H., Feng, l., Wang, Y., Li, Y., Guo, Y., Li, m., He, l., Cheng, j., &amp; Wu, H. (2023). Metabolomic Analysis Identifies Guanosine as an Early Biomarker in Diabetic Cognitive Dysfunction in High-Altitude. </w:t>
      </w:r>
      <w:hyperlink r:id="rId310" w:history="1">
        <w:r w:rsidRPr="00DE113E">
          <w:rPr>
            <w:rStyle w:val="Hyperlink"/>
          </w:rPr>
          <w:t>https://doi.org/10.21203/rs.3.rs-3271134/v1</w:t>
        </w:r>
      </w:hyperlink>
      <w:r w:rsidRPr="00DE113E">
        <w:t xml:space="preserve"> </w:t>
      </w:r>
      <w:bookmarkEnd w:id="302"/>
    </w:p>
    <w:p w14:paraId="13B7D290" w14:textId="0A8B9916" w:rsidR="00DE113E" w:rsidRPr="00DE113E" w:rsidRDefault="00DE113E" w:rsidP="00DE113E">
      <w:pPr>
        <w:pStyle w:val="EndNoteBibliography"/>
        <w:spacing w:after="0"/>
        <w:ind w:left="720" w:hanging="720"/>
      </w:pPr>
      <w:bookmarkStart w:id="303" w:name="_ENREF_225"/>
      <w:r w:rsidRPr="00DE113E">
        <w:t xml:space="preserve">Shomstein, S., &amp; Gottlieb, J. (2016). Spatial and non-spatial aspects of visual attention: Interactive cognitive mechanisms and neural underpinnings. </w:t>
      </w:r>
      <w:r w:rsidRPr="00DE113E">
        <w:rPr>
          <w:i/>
        </w:rPr>
        <w:t>Neuropsychologia</w:t>
      </w:r>
      <w:r w:rsidRPr="00DE113E">
        <w:t>,</w:t>
      </w:r>
      <w:r w:rsidRPr="00DE113E">
        <w:rPr>
          <w:i/>
        </w:rPr>
        <w:t xml:space="preserve"> 92</w:t>
      </w:r>
      <w:r w:rsidRPr="00DE113E">
        <w:t xml:space="preserve">, 9-19. </w:t>
      </w:r>
      <w:hyperlink r:id="rId311" w:history="1">
        <w:r w:rsidRPr="00DE113E">
          <w:rPr>
            <w:rStyle w:val="Hyperlink"/>
          </w:rPr>
          <w:t>https://doi.org/10.1016/j.neuropsychologia.2016.05.021</w:t>
        </w:r>
      </w:hyperlink>
      <w:r w:rsidRPr="00DE113E">
        <w:t xml:space="preserve"> </w:t>
      </w:r>
      <w:bookmarkEnd w:id="303"/>
    </w:p>
    <w:p w14:paraId="3FD2758C" w14:textId="57A6C074" w:rsidR="00DE113E" w:rsidRPr="00DE113E" w:rsidRDefault="00DE113E" w:rsidP="00DE113E">
      <w:pPr>
        <w:pStyle w:val="EndNoteBibliography"/>
        <w:spacing w:after="0"/>
        <w:ind w:left="720" w:hanging="720"/>
      </w:pPr>
      <w:bookmarkStart w:id="304" w:name="_ENREF_226"/>
      <w:r w:rsidRPr="00DE113E">
        <w:t xml:space="preserve">Šimić, G., Babić Leko, M., Wray, S., Harrington, C., Delalle, I., Jovanov-Milošević, N., Bažadona, D., Buée, L., de Silva, R., Di Giovanni, G., Wischik, C., &amp; Hof, P. R. (2016). Tau Protein Hyperphosphorylation and Aggregation in Alzheimer's Disease and Other Tauopathies, and Possible Neuroprotective Strategies. </w:t>
      </w:r>
      <w:r w:rsidRPr="00DE113E">
        <w:rPr>
          <w:i/>
        </w:rPr>
        <w:t>Biomolecules</w:t>
      </w:r>
      <w:r w:rsidRPr="00DE113E">
        <w:t>,</w:t>
      </w:r>
      <w:r w:rsidRPr="00DE113E">
        <w:rPr>
          <w:i/>
        </w:rPr>
        <w:t xml:space="preserve"> 6</w:t>
      </w:r>
      <w:r w:rsidRPr="00DE113E">
        <w:t xml:space="preserve">(1), 6. </w:t>
      </w:r>
      <w:hyperlink r:id="rId312" w:history="1">
        <w:r w:rsidRPr="00DE113E">
          <w:rPr>
            <w:rStyle w:val="Hyperlink"/>
          </w:rPr>
          <w:t>https://doi.org/10.3390/biom6010006</w:t>
        </w:r>
      </w:hyperlink>
      <w:r w:rsidRPr="00DE113E">
        <w:t xml:space="preserve"> </w:t>
      </w:r>
      <w:bookmarkEnd w:id="304"/>
    </w:p>
    <w:p w14:paraId="090A4593" w14:textId="39BD476F" w:rsidR="00DE113E" w:rsidRPr="00DE113E" w:rsidRDefault="00DE113E" w:rsidP="00DE113E">
      <w:pPr>
        <w:pStyle w:val="EndNoteBibliography"/>
        <w:spacing w:after="0"/>
        <w:ind w:left="720" w:hanging="720"/>
      </w:pPr>
      <w:bookmarkStart w:id="305" w:name="_ENREF_227"/>
      <w:r w:rsidRPr="00DE113E">
        <w:t xml:space="preserve">Snyder, K., Barry, M., &amp; Valentino, R. J. (2014). Cognitive Impact of Social Stress and Coping Strategy Throughout Development. </w:t>
      </w:r>
      <w:r w:rsidRPr="00DE113E">
        <w:rPr>
          <w:i/>
        </w:rPr>
        <w:t>Psychopharmacology</w:t>
      </w:r>
      <w:r w:rsidRPr="00DE113E">
        <w:t>,</w:t>
      </w:r>
      <w:r w:rsidRPr="00DE113E">
        <w:rPr>
          <w:i/>
        </w:rPr>
        <w:t xml:space="preserve"> 232</w:t>
      </w:r>
      <w:r w:rsidRPr="00DE113E">
        <w:t xml:space="preserve">(1), 185-195. </w:t>
      </w:r>
      <w:hyperlink r:id="rId313" w:history="1">
        <w:r w:rsidRPr="00DE113E">
          <w:rPr>
            <w:rStyle w:val="Hyperlink"/>
          </w:rPr>
          <w:t>https://doi.org/10.1007/s00213-014-3654-7</w:t>
        </w:r>
      </w:hyperlink>
      <w:r w:rsidRPr="00DE113E">
        <w:t xml:space="preserve"> </w:t>
      </w:r>
      <w:bookmarkEnd w:id="305"/>
    </w:p>
    <w:p w14:paraId="1CFAD147" w14:textId="61332E8F" w:rsidR="00DE113E" w:rsidRPr="00DE113E" w:rsidRDefault="00DE113E" w:rsidP="00DE113E">
      <w:pPr>
        <w:pStyle w:val="EndNoteBibliography"/>
        <w:spacing w:after="0"/>
        <w:ind w:left="720" w:hanging="720"/>
      </w:pPr>
      <w:bookmarkStart w:id="306" w:name="_ENREF_228"/>
      <w:r w:rsidRPr="00DE113E">
        <w:t xml:space="preserve">Solomon, T. M., Leech, J., DeBros, G., Murphy, C., Budson, A. E., Vassey, E. A., &amp; Solomon, P. R. (2016). A Randomized, Double‐blind, Placebo Controlled, Parallel Group, Efficacy Study of Alpha BRAIN® Administered Orally. </w:t>
      </w:r>
      <w:r w:rsidRPr="00DE113E">
        <w:rPr>
          <w:i/>
        </w:rPr>
        <w:t>Human Psychopharmacology Clinical and Experimental</w:t>
      </w:r>
      <w:r w:rsidRPr="00DE113E">
        <w:t>,</w:t>
      </w:r>
      <w:r w:rsidRPr="00DE113E">
        <w:rPr>
          <w:i/>
        </w:rPr>
        <w:t xml:space="preserve"> 31</w:t>
      </w:r>
      <w:r w:rsidRPr="00DE113E">
        <w:t xml:space="preserve">(2), 135-143. </w:t>
      </w:r>
      <w:hyperlink r:id="rId314" w:history="1">
        <w:r w:rsidRPr="00DE113E">
          <w:rPr>
            <w:rStyle w:val="Hyperlink"/>
          </w:rPr>
          <w:t>https://doi.org/10.1002/hup.2520</w:t>
        </w:r>
      </w:hyperlink>
      <w:r w:rsidRPr="00DE113E">
        <w:t xml:space="preserve"> </w:t>
      </w:r>
      <w:bookmarkEnd w:id="306"/>
    </w:p>
    <w:p w14:paraId="717495AE" w14:textId="4BB5CB80" w:rsidR="00DE113E" w:rsidRPr="00DE113E" w:rsidRDefault="00DE113E" w:rsidP="00DE113E">
      <w:pPr>
        <w:pStyle w:val="EndNoteBibliography"/>
        <w:spacing w:after="0"/>
        <w:ind w:left="720" w:hanging="720"/>
      </w:pPr>
      <w:bookmarkStart w:id="307" w:name="_ENREF_229"/>
      <w:r w:rsidRPr="00DE113E">
        <w:t>Stern, Y. (2009). Cognitive Reserve</w:t>
      </w:r>
      <w:r w:rsidRPr="00DE113E">
        <w:rPr>
          <w:rFonts w:ascii="Segoe UI Symbol" w:hAnsi="Segoe UI Symbol" w:cs="Segoe UI Symbol"/>
        </w:rPr>
        <w:t>☆</w:t>
      </w:r>
      <w:r w:rsidRPr="00DE113E">
        <w:t xml:space="preserve">. </w:t>
      </w:r>
      <w:r w:rsidRPr="00DE113E">
        <w:rPr>
          <w:i/>
        </w:rPr>
        <w:t>Neuropsychologia</w:t>
      </w:r>
      <w:r w:rsidRPr="00DE113E">
        <w:t>,</w:t>
      </w:r>
      <w:r w:rsidRPr="00DE113E">
        <w:rPr>
          <w:i/>
        </w:rPr>
        <w:t xml:space="preserve"> 47</w:t>
      </w:r>
      <w:r w:rsidRPr="00DE113E">
        <w:t xml:space="preserve">(10), 2015-2028. </w:t>
      </w:r>
      <w:hyperlink r:id="rId315" w:history="1">
        <w:r w:rsidRPr="00DE113E">
          <w:rPr>
            <w:rStyle w:val="Hyperlink"/>
          </w:rPr>
          <w:t>https://doi.org/10.1016/j.neuropsychologia.2009.03.004</w:t>
        </w:r>
      </w:hyperlink>
      <w:r w:rsidRPr="00DE113E">
        <w:t xml:space="preserve"> </w:t>
      </w:r>
      <w:bookmarkEnd w:id="307"/>
    </w:p>
    <w:p w14:paraId="225EBD2B" w14:textId="5DA3DDEE" w:rsidR="00DE113E" w:rsidRPr="00DE113E" w:rsidRDefault="00DE113E" w:rsidP="00DE113E">
      <w:pPr>
        <w:pStyle w:val="EndNoteBibliography"/>
        <w:spacing w:after="0"/>
        <w:ind w:left="720" w:hanging="720"/>
      </w:pPr>
      <w:bookmarkStart w:id="308" w:name="_ENREF_230"/>
      <w:r w:rsidRPr="00EF5663">
        <w:rPr>
          <w:lang w:val="it-IT"/>
        </w:rPr>
        <w:t xml:space="preserve">Subbanna, S., &amp; Basavarajappa, B. S. (2014). </w:t>
      </w:r>
      <w:r w:rsidRPr="00DE113E">
        <w:t xml:space="preserve">Pre-Administration of G9a/GLP Inhibitor During Synaptogenesis Prevents Postnatal Ethanol-Induced LTP Deficits and Neurobehavioral Abnormalities in Adult Mice. </w:t>
      </w:r>
      <w:r w:rsidRPr="00DE113E">
        <w:rPr>
          <w:i/>
        </w:rPr>
        <w:t>Experimental Neurology</w:t>
      </w:r>
      <w:r w:rsidRPr="00DE113E">
        <w:t>,</w:t>
      </w:r>
      <w:r w:rsidRPr="00DE113E">
        <w:rPr>
          <w:i/>
        </w:rPr>
        <w:t xml:space="preserve"> 261</w:t>
      </w:r>
      <w:r w:rsidRPr="00DE113E">
        <w:t xml:space="preserve">, 34-43. </w:t>
      </w:r>
      <w:hyperlink r:id="rId316" w:history="1">
        <w:r w:rsidRPr="00DE113E">
          <w:rPr>
            <w:rStyle w:val="Hyperlink"/>
          </w:rPr>
          <w:t>https://doi.org/10.1016/j.expneurol.2014.07.003</w:t>
        </w:r>
      </w:hyperlink>
      <w:r w:rsidRPr="00DE113E">
        <w:t xml:space="preserve"> </w:t>
      </w:r>
      <w:bookmarkEnd w:id="308"/>
    </w:p>
    <w:p w14:paraId="25DEB9DB" w14:textId="417A24CB" w:rsidR="00DE113E" w:rsidRPr="00DE113E" w:rsidRDefault="00DE113E" w:rsidP="00DE113E">
      <w:pPr>
        <w:pStyle w:val="EndNoteBibliography"/>
        <w:spacing w:after="0"/>
        <w:ind w:left="720" w:hanging="720"/>
      </w:pPr>
      <w:bookmarkStart w:id="309" w:name="_ENREF_231"/>
      <w:r w:rsidRPr="00DE113E">
        <w:t xml:space="preserve">Subburaj, N., &amp; Rani, P. U. (2021). A Meta-Analysis Method for Identifying Potential Blood Based Protein Markers Associated With Alzheimer’s Disease. </w:t>
      </w:r>
      <w:hyperlink r:id="rId317" w:history="1">
        <w:r w:rsidRPr="00DE113E">
          <w:rPr>
            <w:rStyle w:val="Hyperlink"/>
          </w:rPr>
          <w:t>https://doi.org/10.4108/eai.7-12-2021.2314513</w:t>
        </w:r>
      </w:hyperlink>
      <w:r w:rsidRPr="00DE113E">
        <w:t xml:space="preserve"> </w:t>
      </w:r>
      <w:bookmarkEnd w:id="309"/>
    </w:p>
    <w:p w14:paraId="1239DDB4" w14:textId="363AE54E" w:rsidR="00DE113E" w:rsidRPr="00DE113E" w:rsidRDefault="00DE113E" w:rsidP="00DE113E">
      <w:pPr>
        <w:pStyle w:val="EndNoteBibliography"/>
        <w:spacing w:after="0"/>
        <w:ind w:left="720" w:hanging="720"/>
      </w:pPr>
      <w:bookmarkStart w:id="310" w:name="_ENREF_232"/>
      <w:r w:rsidRPr="00DE113E">
        <w:t xml:space="preserve">Suk, K. (2010). Combined Analysis of the Glia Secretome and the CSF Proteome: Neuroinflammation and Novel Biomarkers. </w:t>
      </w:r>
      <w:r w:rsidRPr="00DE113E">
        <w:rPr>
          <w:i/>
        </w:rPr>
        <w:t>Expert Review of Proteomics</w:t>
      </w:r>
      <w:r w:rsidRPr="00DE113E">
        <w:t>,</w:t>
      </w:r>
      <w:r w:rsidRPr="00DE113E">
        <w:rPr>
          <w:i/>
        </w:rPr>
        <w:t xml:space="preserve"> 7</w:t>
      </w:r>
      <w:r w:rsidRPr="00DE113E">
        <w:t xml:space="preserve">(2), 263-274. </w:t>
      </w:r>
      <w:hyperlink r:id="rId318" w:history="1">
        <w:r w:rsidRPr="00DE113E">
          <w:rPr>
            <w:rStyle w:val="Hyperlink"/>
          </w:rPr>
          <w:t>https://doi.org/10.1586/epr.10.6</w:t>
        </w:r>
      </w:hyperlink>
      <w:r w:rsidRPr="00DE113E">
        <w:t xml:space="preserve"> </w:t>
      </w:r>
      <w:bookmarkEnd w:id="310"/>
    </w:p>
    <w:p w14:paraId="39F9F036" w14:textId="1557B86F" w:rsidR="00DE113E" w:rsidRPr="00DE113E" w:rsidRDefault="00DE113E" w:rsidP="00DE113E">
      <w:pPr>
        <w:pStyle w:val="EndNoteBibliography"/>
        <w:spacing w:after="0"/>
        <w:ind w:left="720" w:hanging="720"/>
      </w:pPr>
      <w:bookmarkStart w:id="311" w:name="_ENREF_233"/>
      <w:r w:rsidRPr="00DE113E">
        <w:t xml:space="preserve">Sullivan, J., Dumont, J. R., Memar, S., Skirzewski, M., Wan, J., Mofrad, M. H., Ansari, H. Z., Li, Y., Muller, L., Prado, V. F., Prado, M. A. M., Saksida, L. M., &amp; Bussey, T. J. (2020). New Frontiers in Translational Research: Touchscreens, Open Science, and the Mouse Translational Research Accelerator Platform. </w:t>
      </w:r>
      <w:r w:rsidRPr="00DE113E">
        <w:rPr>
          <w:i/>
        </w:rPr>
        <w:t>Genes Brain &amp; Behavior</w:t>
      </w:r>
      <w:r w:rsidRPr="00DE113E">
        <w:t>,</w:t>
      </w:r>
      <w:r w:rsidRPr="00DE113E">
        <w:rPr>
          <w:i/>
        </w:rPr>
        <w:t xml:space="preserve"> 20</w:t>
      </w:r>
      <w:r w:rsidRPr="00DE113E">
        <w:t xml:space="preserve">(1). </w:t>
      </w:r>
      <w:hyperlink r:id="rId319" w:history="1">
        <w:r w:rsidRPr="00DE113E">
          <w:rPr>
            <w:rStyle w:val="Hyperlink"/>
          </w:rPr>
          <w:t>https://doi.org/10.1111/gbb.12705</w:t>
        </w:r>
      </w:hyperlink>
      <w:r w:rsidRPr="00DE113E">
        <w:t xml:space="preserve"> </w:t>
      </w:r>
      <w:bookmarkEnd w:id="311"/>
    </w:p>
    <w:p w14:paraId="34554FD8" w14:textId="32D36B65" w:rsidR="00DE113E" w:rsidRPr="00DE113E" w:rsidRDefault="00DE113E" w:rsidP="00DE113E">
      <w:pPr>
        <w:pStyle w:val="EndNoteBibliography"/>
        <w:spacing w:after="0"/>
        <w:ind w:left="720" w:hanging="720"/>
      </w:pPr>
      <w:bookmarkStart w:id="312" w:name="_ENREF_234"/>
      <w:r w:rsidRPr="00DE113E">
        <w:t xml:space="preserve">Sullivan, M. A., Fritch, H. A., &amp; Slotnick, S. D. (2024). Spatial Memory Encoding Is Associated With the Anterior and Posterior Hippocampus: An &lt;scp&gt;fMRI&lt;/Scp&gt; Activation Likelihood Estimation Meta‐analysis. </w:t>
      </w:r>
      <w:r w:rsidRPr="00DE113E">
        <w:rPr>
          <w:i/>
        </w:rPr>
        <w:t>Hippocampus</w:t>
      </w:r>
      <w:r w:rsidRPr="00DE113E">
        <w:t>,</w:t>
      </w:r>
      <w:r w:rsidRPr="00DE113E">
        <w:rPr>
          <w:i/>
        </w:rPr>
        <w:t xml:space="preserve"> 34</w:t>
      </w:r>
      <w:r w:rsidRPr="00DE113E">
        <w:t xml:space="preserve">(11), 575-582. </w:t>
      </w:r>
      <w:hyperlink r:id="rId320" w:history="1">
        <w:r w:rsidRPr="00DE113E">
          <w:rPr>
            <w:rStyle w:val="Hyperlink"/>
          </w:rPr>
          <w:t>https://doi.org/10.1002/hipo.23632</w:t>
        </w:r>
      </w:hyperlink>
      <w:r w:rsidRPr="00DE113E">
        <w:t xml:space="preserve"> </w:t>
      </w:r>
      <w:bookmarkEnd w:id="312"/>
    </w:p>
    <w:p w14:paraId="2E08DD67" w14:textId="46EAAB3F" w:rsidR="00DE113E" w:rsidRPr="00DE113E" w:rsidRDefault="00DE113E" w:rsidP="00DE113E">
      <w:pPr>
        <w:pStyle w:val="EndNoteBibliography"/>
        <w:spacing w:after="0"/>
        <w:ind w:left="720" w:hanging="720"/>
      </w:pPr>
      <w:bookmarkStart w:id="313" w:name="_ENREF_235"/>
      <w:r w:rsidRPr="00DE113E">
        <w:lastRenderedPageBreak/>
        <w:t xml:space="preserve">Sun, S., Madge, V., Djordjevic, J., Gagnon, J. F., Collins, D. L., Dagher, A., &amp; Sharp, M. (2024). Selective Effects of Dopaminergic and Noradrenergic Degeneration on Cognition in Parkinson’s Disease. </w:t>
      </w:r>
      <w:hyperlink r:id="rId321" w:history="1">
        <w:r w:rsidRPr="00DE113E">
          <w:rPr>
            <w:rStyle w:val="Hyperlink"/>
          </w:rPr>
          <w:t>https://doi.org/10.1101/2024.09.16.24313753</w:t>
        </w:r>
      </w:hyperlink>
      <w:r w:rsidRPr="00DE113E">
        <w:t xml:space="preserve"> </w:t>
      </w:r>
      <w:bookmarkEnd w:id="313"/>
    </w:p>
    <w:p w14:paraId="14922E27" w14:textId="6A7174EF" w:rsidR="00DE113E" w:rsidRPr="00DE113E" w:rsidRDefault="00DE113E" w:rsidP="00DE113E">
      <w:pPr>
        <w:pStyle w:val="EndNoteBibliography"/>
        <w:spacing w:after="0"/>
        <w:ind w:left="720" w:hanging="720"/>
      </w:pPr>
      <w:bookmarkStart w:id="314" w:name="_ENREF_236"/>
      <w:r w:rsidRPr="00DE113E">
        <w:t xml:space="preserve">Surguchov, A., Bernal, L., &amp; Surguchev, A. (2021). Phytochemicals as Regulators of Genes Involved in Synucleinopathies. </w:t>
      </w:r>
      <w:r w:rsidRPr="00DE113E">
        <w:rPr>
          <w:i/>
        </w:rPr>
        <w:t>Biomolecules</w:t>
      </w:r>
      <w:r w:rsidRPr="00DE113E">
        <w:t>,</w:t>
      </w:r>
      <w:r w:rsidRPr="00DE113E">
        <w:rPr>
          <w:i/>
        </w:rPr>
        <w:t xml:space="preserve"> 11</w:t>
      </w:r>
      <w:r w:rsidRPr="00DE113E">
        <w:t xml:space="preserve">(5), 624. </w:t>
      </w:r>
      <w:hyperlink r:id="rId322" w:history="1">
        <w:r w:rsidRPr="00DE113E">
          <w:rPr>
            <w:rStyle w:val="Hyperlink"/>
          </w:rPr>
          <w:t>https://doi.org/10.3390/biom11050624</w:t>
        </w:r>
      </w:hyperlink>
      <w:r w:rsidRPr="00DE113E">
        <w:t xml:space="preserve"> </w:t>
      </w:r>
      <w:bookmarkEnd w:id="314"/>
    </w:p>
    <w:p w14:paraId="36A122A4" w14:textId="082130BC" w:rsidR="00DE113E" w:rsidRPr="00DE113E" w:rsidRDefault="00DE113E" w:rsidP="00DE113E">
      <w:pPr>
        <w:pStyle w:val="EndNoteBibliography"/>
        <w:spacing w:after="0"/>
        <w:ind w:left="720" w:hanging="720"/>
      </w:pPr>
      <w:bookmarkStart w:id="315" w:name="_ENREF_237"/>
      <w:r w:rsidRPr="00DE113E">
        <w:t xml:space="preserve">Surtees, R. (2002). Understanding neurodegenerative disorders. </w:t>
      </w:r>
      <w:r w:rsidRPr="00DE113E">
        <w:rPr>
          <w:i/>
        </w:rPr>
        <w:t>Current Paediatrics</w:t>
      </w:r>
      <w:r w:rsidRPr="00DE113E">
        <w:t>,</w:t>
      </w:r>
      <w:r w:rsidRPr="00DE113E">
        <w:rPr>
          <w:i/>
        </w:rPr>
        <w:t xml:space="preserve"> 12</w:t>
      </w:r>
      <w:r w:rsidRPr="00DE113E">
        <w:t xml:space="preserve">(3), 191-198. </w:t>
      </w:r>
      <w:hyperlink r:id="rId323" w:history="1">
        <w:r w:rsidRPr="00DE113E">
          <w:rPr>
            <w:rStyle w:val="Hyperlink"/>
          </w:rPr>
          <w:t>https://doi.org/https://doi.org/10.1054/cupe.2001.0283</w:t>
        </w:r>
      </w:hyperlink>
      <w:r w:rsidRPr="00DE113E">
        <w:t xml:space="preserve"> </w:t>
      </w:r>
      <w:bookmarkEnd w:id="315"/>
    </w:p>
    <w:p w14:paraId="3677ED48" w14:textId="6C5DABBD" w:rsidR="00DE113E" w:rsidRPr="00DE113E" w:rsidRDefault="00DE113E" w:rsidP="00DE113E">
      <w:pPr>
        <w:pStyle w:val="EndNoteBibliography"/>
        <w:spacing w:after="0"/>
        <w:ind w:left="720" w:hanging="720"/>
      </w:pPr>
      <w:bookmarkStart w:id="316" w:name="_ENREF_238"/>
      <w:r w:rsidRPr="00DE113E">
        <w:t xml:space="preserve">Tadokoro, K., Morihara, R., Ohta, Y., Hishikawa, N., Kawano, S., Sasaki, R., Matsumoto, N., Nomura, E., Nakano, Y., Takahashi, Y., Takemoto, M., Yamashita, T., Ueno, S., Wakutani, Y., Takao, Y., Morimoto, N., Kutoku, Y., Sunada, Y., Taomoto, K., Manabe, Y., Deguchi, K., Higashi, Y., Inufusa, H., You, F., Yoshikawa, T., Greiffenclau, M. M. v., &amp; Abe, K. (2019). Clinical Benefits of Antioxidative Supplement Twendee X for Mild Cognitive Impairment: A Multicenter, Randomized, Double-Blind, and Placebo-Controlled Prospective Interventional Study. </w:t>
      </w:r>
      <w:r w:rsidRPr="00DE113E">
        <w:rPr>
          <w:i/>
        </w:rPr>
        <w:t>Journal of Alzheimer S Disease</w:t>
      </w:r>
      <w:r w:rsidRPr="00DE113E">
        <w:t>,</w:t>
      </w:r>
      <w:r w:rsidRPr="00DE113E">
        <w:rPr>
          <w:i/>
        </w:rPr>
        <w:t xml:space="preserve"> 71</w:t>
      </w:r>
      <w:r w:rsidRPr="00DE113E">
        <w:t xml:space="preserve">(3), 1063-1069. </w:t>
      </w:r>
      <w:hyperlink r:id="rId324" w:history="1">
        <w:r w:rsidRPr="00DE113E">
          <w:rPr>
            <w:rStyle w:val="Hyperlink"/>
          </w:rPr>
          <w:t>https://doi.org/10.3233/jad-190644</w:t>
        </w:r>
      </w:hyperlink>
      <w:r w:rsidRPr="00DE113E">
        <w:t xml:space="preserve"> </w:t>
      </w:r>
      <w:bookmarkEnd w:id="316"/>
    </w:p>
    <w:p w14:paraId="2DEE8471" w14:textId="50CC9C69" w:rsidR="00DE113E" w:rsidRPr="00DE113E" w:rsidRDefault="00DE113E" w:rsidP="00DE113E">
      <w:pPr>
        <w:pStyle w:val="EndNoteBibliography"/>
        <w:spacing w:after="0"/>
        <w:ind w:left="720" w:hanging="720"/>
      </w:pPr>
      <w:bookmarkStart w:id="317" w:name="_ENREF_239"/>
      <w:r w:rsidRPr="00DE113E">
        <w:t xml:space="preserve">Talpos, J. C., McTighe, S. M., Dias, R., Saksida, L. M., &amp; Bussey, T. J. (2010a). Trial-unique, delayed nonmatching-to-location (TUNL): A novel, highly hippocampus-dependent automated touchscreen test of location memory and pattern separation. </w:t>
      </w:r>
      <w:r w:rsidRPr="00DE113E">
        <w:rPr>
          <w:i/>
        </w:rPr>
        <w:t>Neurobiology of Learning and Memory</w:t>
      </w:r>
      <w:r w:rsidRPr="00DE113E">
        <w:t>,</w:t>
      </w:r>
      <w:r w:rsidRPr="00DE113E">
        <w:rPr>
          <w:i/>
        </w:rPr>
        <w:t xml:space="preserve"> 94</w:t>
      </w:r>
      <w:r w:rsidRPr="00DE113E">
        <w:t xml:space="preserve">(3), 341-352. </w:t>
      </w:r>
      <w:hyperlink r:id="rId325" w:history="1">
        <w:r w:rsidRPr="00DE113E">
          <w:rPr>
            <w:rStyle w:val="Hyperlink"/>
          </w:rPr>
          <w:t>https://doi.org/https://doi.org/10.1016/j.nlm.2010.07.006</w:t>
        </w:r>
      </w:hyperlink>
      <w:r w:rsidRPr="00DE113E">
        <w:t xml:space="preserve"> </w:t>
      </w:r>
      <w:bookmarkEnd w:id="317"/>
    </w:p>
    <w:p w14:paraId="094CC7EE" w14:textId="53EE4B79" w:rsidR="00DE113E" w:rsidRPr="00DE113E" w:rsidRDefault="00DE113E" w:rsidP="00DE113E">
      <w:pPr>
        <w:pStyle w:val="EndNoteBibliography"/>
        <w:spacing w:after="0"/>
        <w:ind w:left="720" w:hanging="720"/>
      </w:pPr>
      <w:bookmarkStart w:id="318" w:name="_ENREF_240"/>
      <w:r w:rsidRPr="00DE113E">
        <w:t xml:space="preserve">Talpos, J. C., McTighe, S. M., Dias, R., Saksida, L. M., &amp; Bussey, T. J. (2010b). Trial-unique, delayed nonmatching-to-location (TUNL): a novel, highly hippocampus-dependent automated touchscreen test of location memory and pattern separation. </w:t>
      </w:r>
      <w:r w:rsidRPr="00DE113E">
        <w:rPr>
          <w:i/>
        </w:rPr>
        <w:t>Neurobiol Learn Mem</w:t>
      </w:r>
      <w:r w:rsidRPr="00DE113E">
        <w:t>,</w:t>
      </w:r>
      <w:r w:rsidRPr="00DE113E">
        <w:rPr>
          <w:i/>
        </w:rPr>
        <w:t xml:space="preserve"> 94</w:t>
      </w:r>
      <w:r w:rsidRPr="00DE113E">
        <w:t xml:space="preserve">(3), 341-352. </w:t>
      </w:r>
      <w:hyperlink r:id="rId326" w:history="1">
        <w:r w:rsidRPr="00DE113E">
          <w:rPr>
            <w:rStyle w:val="Hyperlink"/>
          </w:rPr>
          <w:t>https://doi.org/10.1016/j.nlm.2010.07.006</w:t>
        </w:r>
      </w:hyperlink>
      <w:r w:rsidRPr="00DE113E">
        <w:t xml:space="preserve"> </w:t>
      </w:r>
      <w:bookmarkEnd w:id="318"/>
    </w:p>
    <w:p w14:paraId="4F8ECFE2" w14:textId="5A3E67D1" w:rsidR="00DE113E" w:rsidRPr="00DE113E" w:rsidRDefault="00DE113E" w:rsidP="00DE113E">
      <w:pPr>
        <w:pStyle w:val="EndNoteBibliography"/>
        <w:spacing w:after="0"/>
        <w:ind w:left="720" w:hanging="720"/>
      </w:pPr>
      <w:bookmarkStart w:id="319" w:name="_ENREF_241"/>
      <w:r w:rsidRPr="00DE113E">
        <w:t xml:space="preserve">Tamura, T., Yamashita, M., Sone, M., &amp; Okazawa, H. (2009). Glial Cell Lineage Expression of Mutant Ataxin-1 and Huntingtin Induces Developmental and Late-Onset Neuronal Pathologies in Drosophila Models. </w:t>
      </w:r>
      <w:r w:rsidRPr="00DE113E">
        <w:rPr>
          <w:i/>
        </w:rPr>
        <w:t>Neuroscience Research</w:t>
      </w:r>
      <w:r w:rsidRPr="00DE113E">
        <w:t>,</w:t>
      </w:r>
      <w:r w:rsidRPr="00DE113E">
        <w:rPr>
          <w:i/>
        </w:rPr>
        <w:t xml:space="preserve"> 65</w:t>
      </w:r>
      <w:r w:rsidRPr="00DE113E">
        <w:t xml:space="preserve">, S247. </w:t>
      </w:r>
      <w:hyperlink r:id="rId327" w:history="1">
        <w:r w:rsidRPr="00DE113E">
          <w:rPr>
            <w:rStyle w:val="Hyperlink"/>
          </w:rPr>
          <w:t>https://doi.org/10.1016/j.neures.2009.09.1399</w:t>
        </w:r>
      </w:hyperlink>
      <w:r w:rsidRPr="00DE113E">
        <w:t xml:space="preserve"> </w:t>
      </w:r>
      <w:bookmarkEnd w:id="319"/>
    </w:p>
    <w:p w14:paraId="7E7E8CF3" w14:textId="6CA00D61" w:rsidR="00DE113E" w:rsidRPr="00DE113E" w:rsidRDefault="00DE113E" w:rsidP="00DE113E">
      <w:pPr>
        <w:pStyle w:val="EndNoteBibliography"/>
        <w:spacing w:after="0"/>
        <w:ind w:left="720" w:hanging="720"/>
      </w:pPr>
      <w:bookmarkStart w:id="320" w:name="_ENREF_242"/>
      <w:r w:rsidRPr="00DE113E">
        <w:t xml:space="preserve">Tan, C.-C., Yu, J.-T., Wang, H.-F., Tan, M.-S., Meng, X.-F., Wang, C., Jiang, T., Zhu, X.-C., &amp; Tan, L. (2014). Efficacy and Safety of Donepezil, Galantamine, Rivastigmine, and Memantine for the Treatment of Alzheimer's Disease: A Systematic Review and Meta-Analysis. </w:t>
      </w:r>
      <w:r w:rsidRPr="00DE113E">
        <w:rPr>
          <w:i/>
        </w:rPr>
        <w:t>Journal of Alzheimer’s Disease</w:t>
      </w:r>
      <w:r w:rsidRPr="00DE113E">
        <w:t>,</w:t>
      </w:r>
      <w:r w:rsidRPr="00DE113E">
        <w:rPr>
          <w:i/>
        </w:rPr>
        <w:t xml:space="preserve"> 41</w:t>
      </w:r>
      <w:r w:rsidRPr="00DE113E">
        <w:t xml:space="preserve">(2), 615-631. </w:t>
      </w:r>
      <w:hyperlink r:id="rId328" w:history="1">
        <w:r w:rsidRPr="00DE113E">
          <w:rPr>
            <w:rStyle w:val="Hyperlink"/>
          </w:rPr>
          <w:t>https://doi.org/10.3233/jad-132690</w:t>
        </w:r>
      </w:hyperlink>
      <w:r w:rsidRPr="00DE113E">
        <w:t xml:space="preserve"> </w:t>
      </w:r>
      <w:bookmarkEnd w:id="320"/>
    </w:p>
    <w:p w14:paraId="0B18085B" w14:textId="7DDD5D50" w:rsidR="00DE113E" w:rsidRPr="00DE113E" w:rsidRDefault="00DE113E" w:rsidP="00DE113E">
      <w:pPr>
        <w:pStyle w:val="EndNoteBibliography"/>
        <w:spacing w:after="0"/>
        <w:ind w:left="720" w:hanging="720"/>
      </w:pPr>
      <w:bookmarkStart w:id="321" w:name="_ENREF_243"/>
      <w:r w:rsidRPr="00DE113E">
        <w:t xml:space="preserve">Tang, Y., Liu, M.-L., Zang, T., &amp; Zhang, C. L. (2017). Direct Reprogramming Rather Than iPSC-Based Reprogramming Maintains Aging Hallmarks in Human Motor Neurons. </w:t>
      </w:r>
      <w:r w:rsidRPr="00DE113E">
        <w:rPr>
          <w:i/>
        </w:rPr>
        <w:t>Frontiers in Molecular Neuroscience</w:t>
      </w:r>
      <w:r w:rsidRPr="00DE113E">
        <w:t>,</w:t>
      </w:r>
      <w:r w:rsidRPr="00DE113E">
        <w:rPr>
          <w:i/>
        </w:rPr>
        <w:t xml:space="preserve"> 10</w:t>
      </w:r>
      <w:r w:rsidRPr="00DE113E">
        <w:t xml:space="preserve">. </w:t>
      </w:r>
      <w:hyperlink r:id="rId329" w:history="1">
        <w:r w:rsidRPr="00DE113E">
          <w:rPr>
            <w:rStyle w:val="Hyperlink"/>
          </w:rPr>
          <w:t>https://doi.org/10.3389/fnmol.2017.00359</w:t>
        </w:r>
      </w:hyperlink>
      <w:r w:rsidRPr="00DE113E">
        <w:t xml:space="preserve"> </w:t>
      </w:r>
      <w:bookmarkEnd w:id="321"/>
    </w:p>
    <w:p w14:paraId="676F919C" w14:textId="7BEF4EF5" w:rsidR="00DE113E" w:rsidRPr="00DE113E" w:rsidRDefault="00DE113E" w:rsidP="00DE113E">
      <w:pPr>
        <w:pStyle w:val="EndNoteBibliography"/>
        <w:spacing w:after="0"/>
        <w:ind w:left="720" w:hanging="720"/>
      </w:pPr>
      <w:bookmarkStart w:id="322" w:name="_ENREF_244"/>
      <w:r w:rsidRPr="00DE113E">
        <w:t xml:space="preserve">Tansey, M. G., Wallings, R. L., Houser, M. C., Herrick, M. K., Keating, C. E., &amp; Joers, V. (2022). Inflammation and Immune Dysfunction in Parkinson Disease. </w:t>
      </w:r>
      <w:r w:rsidRPr="00DE113E">
        <w:rPr>
          <w:i/>
        </w:rPr>
        <w:t>Nature Reviews Immunology</w:t>
      </w:r>
      <w:r w:rsidRPr="00DE113E">
        <w:t>,</w:t>
      </w:r>
      <w:r w:rsidRPr="00DE113E">
        <w:rPr>
          <w:i/>
        </w:rPr>
        <w:t xml:space="preserve"> 22</w:t>
      </w:r>
      <w:r w:rsidRPr="00DE113E">
        <w:t xml:space="preserve">(11), 657-673. </w:t>
      </w:r>
      <w:hyperlink r:id="rId330" w:history="1">
        <w:r w:rsidRPr="00DE113E">
          <w:rPr>
            <w:rStyle w:val="Hyperlink"/>
          </w:rPr>
          <w:t>https://doi.org/10.1038/s41577-022-00684-6</w:t>
        </w:r>
      </w:hyperlink>
      <w:r w:rsidRPr="00DE113E">
        <w:t xml:space="preserve"> </w:t>
      </w:r>
      <w:bookmarkEnd w:id="322"/>
    </w:p>
    <w:p w14:paraId="47D6C433" w14:textId="63A1EADD" w:rsidR="00DE113E" w:rsidRPr="00DE113E" w:rsidRDefault="00DE113E" w:rsidP="00DE113E">
      <w:pPr>
        <w:pStyle w:val="EndNoteBibliography"/>
        <w:spacing w:after="0"/>
        <w:ind w:left="720" w:hanging="720"/>
      </w:pPr>
      <w:bookmarkStart w:id="323" w:name="_ENREF_245"/>
      <w:r w:rsidRPr="00DE113E">
        <w:t xml:space="preserve">Tapias, V., Jainuddin, S., Ahuja, M., Stack, C., Elipenahli, C., Vignisse, J., Gerges, M., Starkova, N., Xu, H., Starkov, A. A., Bettendorff, L., Hushpulian, D. M., Smirnova, N. A., Gazaryan, I. G., Kaidery, N. A., Wakade, S., Calingasan, N. Y., Thomas, B., Gibson, G. E., Dumont, M., &amp; Beal, M. F. (2018). Benfotiamine treatment activates the Nrf2/ARE pathway and is neuroprotective in a transgenic mouse </w:t>
      </w:r>
      <w:r w:rsidRPr="00DE113E">
        <w:lastRenderedPageBreak/>
        <w:t xml:space="preserve">model of tauopathy. </w:t>
      </w:r>
      <w:r w:rsidRPr="00DE113E">
        <w:rPr>
          <w:i/>
        </w:rPr>
        <w:t>Hum Mol Genet</w:t>
      </w:r>
      <w:r w:rsidRPr="00DE113E">
        <w:t>,</w:t>
      </w:r>
      <w:r w:rsidRPr="00DE113E">
        <w:rPr>
          <w:i/>
        </w:rPr>
        <w:t xml:space="preserve"> 27</w:t>
      </w:r>
      <w:r w:rsidRPr="00DE113E">
        <w:t xml:space="preserve">(16), 2874-2892. </w:t>
      </w:r>
      <w:hyperlink r:id="rId331" w:history="1">
        <w:r w:rsidRPr="00DE113E">
          <w:rPr>
            <w:rStyle w:val="Hyperlink"/>
          </w:rPr>
          <w:t>https://doi.org/10.1093/hmg/ddy201</w:t>
        </w:r>
      </w:hyperlink>
      <w:r w:rsidRPr="00DE113E">
        <w:t xml:space="preserve"> </w:t>
      </w:r>
      <w:bookmarkEnd w:id="323"/>
    </w:p>
    <w:p w14:paraId="55411964" w14:textId="06A8D27B" w:rsidR="00DE113E" w:rsidRPr="00DE113E" w:rsidRDefault="00DE113E" w:rsidP="00DE113E">
      <w:pPr>
        <w:pStyle w:val="EndNoteBibliography"/>
        <w:spacing w:after="0"/>
        <w:ind w:left="720" w:hanging="720"/>
      </w:pPr>
      <w:bookmarkStart w:id="324" w:name="_ENREF_246"/>
      <w:r w:rsidRPr="00DE113E">
        <w:t xml:space="preserve">Tayler, K. K., Tanaka, K. Z., Reijmers, L. G., &amp; Wiltgen, B. J. (2013). Reactivation of neural ensembles during the retrieval of recent and remote memory. </w:t>
      </w:r>
      <w:r w:rsidRPr="00DE113E">
        <w:rPr>
          <w:i/>
        </w:rPr>
        <w:t>Curr Biol</w:t>
      </w:r>
      <w:r w:rsidRPr="00DE113E">
        <w:t>,</w:t>
      </w:r>
      <w:r w:rsidRPr="00DE113E">
        <w:rPr>
          <w:i/>
        </w:rPr>
        <w:t xml:space="preserve"> 23</w:t>
      </w:r>
      <w:r w:rsidRPr="00DE113E">
        <w:t xml:space="preserve">(2), 99-106. </w:t>
      </w:r>
      <w:hyperlink r:id="rId332" w:history="1">
        <w:r w:rsidRPr="00DE113E">
          <w:rPr>
            <w:rStyle w:val="Hyperlink"/>
          </w:rPr>
          <w:t>https://doi.org/10.1016/j.cub.2012.11.019</w:t>
        </w:r>
      </w:hyperlink>
      <w:r w:rsidRPr="00DE113E">
        <w:t xml:space="preserve"> </w:t>
      </w:r>
      <w:bookmarkEnd w:id="324"/>
    </w:p>
    <w:p w14:paraId="5254C919" w14:textId="6C156208" w:rsidR="00DE113E" w:rsidRPr="00DE113E" w:rsidRDefault="00DE113E" w:rsidP="00DE113E">
      <w:pPr>
        <w:pStyle w:val="EndNoteBibliography"/>
        <w:spacing w:after="0"/>
        <w:ind w:left="720" w:hanging="720"/>
      </w:pPr>
      <w:bookmarkStart w:id="325" w:name="_ENREF_247"/>
      <w:r w:rsidRPr="00DE113E">
        <w:t xml:space="preserve">Therrien, S., Anthony, M., Turnbull, A., &amp; Lin, F. (2024). Risk-Taking Behavior Differs Between Older Adults With and Without Mild Cognitive Impairment. </w:t>
      </w:r>
      <w:r w:rsidRPr="00DE113E">
        <w:rPr>
          <w:i/>
        </w:rPr>
        <w:t>Journal of Alzheimer S Disease</w:t>
      </w:r>
      <w:r w:rsidRPr="00DE113E">
        <w:t>,</w:t>
      </w:r>
      <w:r w:rsidRPr="00DE113E">
        <w:rPr>
          <w:i/>
        </w:rPr>
        <w:t xml:space="preserve"> 100</w:t>
      </w:r>
      <w:r w:rsidRPr="00DE113E">
        <w:t xml:space="preserve">(4), 1227-1235. </w:t>
      </w:r>
      <w:hyperlink r:id="rId333" w:history="1">
        <w:r w:rsidRPr="00DE113E">
          <w:rPr>
            <w:rStyle w:val="Hyperlink"/>
          </w:rPr>
          <w:t>https://doi.org/10.3233/jad-231448</w:t>
        </w:r>
      </w:hyperlink>
      <w:r w:rsidRPr="00DE113E">
        <w:t xml:space="preserve"> </w:t>
      </w:r>
      <w:bookmarkEnd w:id="325"/>
    </w:p>
    <w:p w14:paraId="5AC4747A" w14:textId="4B9FA699" w:rsidR="00DE113E" w:rsidRPr="00DE113E" w:rsidRDefault="00DE113E" w:rsidP="00DE113E">
      <w:pPr>
        <w:pStyle w:val="EndNoteBibliography"/>
        <w:spacing w:after="0"/>
        <w:ind w:left="720" w:hanging="720"/>
      </w:pPr>
      <w:bookmarkStart w:id="326" w:name="_ENREF_248"/>
      <w:r w:rsidRPr="00DE113E">
        <w:t xml:space="preserve">Thomson, D. M., Openshaw, R. L., Mitchell, E. J., Kouskou, M., Millan, M. J., Cour, C. M. l., Morris, B., &amp; Pratt, J. A. (2020). Impaired Working Memory, Cognitive Flexibility and Reward Processing in Mice Genetically Lacking Gpr88: Evidence for a Key Role for Gpr88 in Multiple Cortico‐striatal‐thalamic Circuits. </w:t>
      </w:r>
      <w:r w:rsidRPr="00DE113E">
        <w:rPr>
          <w:i/>
        </w:rPr>
        <w:t>Genes Brain &amp; Behavior</w:t>
      </w:r>
      <w:r w:rsidRPr="00DE113E">
        <w:t>,</w:t>
      </w:r>
      <w:r w:rsidRPr="00DE113E">
        <w:rPr>
          <w:i/>
        </w:rPr>
        <w:t xml:space="preserve"> 20</w:t>
      </w:r>
      <w:r w:rsidRPr="00DE113E">
        <w:t xml:space="preserve">(2). </w:t>
      </w:r>
      <w:hyperlink r:id="rId334" w:history="1">
        <w:r w:rsidRPr="00DE113E">
          <w:rPr>
            <w:rStyle w:val="Hyperlink"/>
          </w:rPr>
          <w:t>https://doi.org/10.1111/gbb.12710</w:t>
        </w:r>
      </w:hyperlink>
      <w:r w:rsidRPr="00DE113E">
        <w:t xml:space="preserve"> </w:t>
      </w:r>
      <w:bookmarkEnd w:id="326"/>
    </w:p>
    <w:p w14:paraId="7B85A28C" w14:textId="44D9B136" w:rsidR="00DE113E" w:rsidRPr="00DE113E" w:rsidRDefault="00DE113E" w:rsidP="00DE113E">
      <w:pPr>
        <w:pStyle w:val="EndNoteBibliography"/>
        <w:spacing w:after="0"/>
        <w:ind w:left="720" w:hanging="720"/>
      </w:pPr>
      <w:bookmarkStart w:id="327" w:name="_ENREF_249"/>
      <w:r w:rsidRPr="00DE113E">
        <w:t xml:space="preserve">Thomson, D. M., Openshaw, R. L., Mitchell, E. J., Kouskou, M., Millan, M. J., Mannoury la Cour, C., Morris, B. J., &amp; Pratt, J. A. (2021). Impaired working memory, cognitive flexibility and reward processing in mice genetically lacking Gpr88: Evidence for a key role for Gpr88 in multiple cortico-striatal-thalamic circuits. </w:t>
      </w:r>
      <w:r w:rsidRPr="00DE113E">
        <w:rPr>
          <w:i/>
        </w:rPr>
        <w:t>Genes, Brain and Behavior</w:t>
      </w:r>
      <w:r w:rsidRPr="00DE113E">
        <w:t>,</w:t>
      </w:r>
      <w:r w:rsidRPr="00DE113E">
        <w:rPr>
          <w:i/>
        </w:rPr>
        <w:t xml:space="preserve"> 20</w:t>
      </w:r>
      <w:r w:rsidRPr="00DE113E">
        <w:t xml:space="preserve">(2), e12710. </w:t>
      </w:r>
      <w:hyperlink r:id="rId335" w:history="1">
        <w:r w:rsidRPr="00DE113E">
          <w:rPr>
            <w:rStyle w:val="Hyperlink"/>
          </w:rPr>
          <w:t>https://doi.org/https://doi.org/10.1111/gbb.12710</w:t>
        </w:r>
      </w:hyperlink>
      <w:r w:rsidRPr="00DE113E">
        <w:t xml:space="preserve"> </w:t>
      </w:r>
      <w:bookmarkEnd w:id="327"/>
    </w:p>
    <w:p w14:paraId="0BBEB344" w14:textId="35530D4B" w:rsidR="00DE113E" w:rsidRPr="00DE113E" w:rsidRDefault="00DE113E" w:rsidP="00DE113E">
      <w:pPr>
        <w:pStyle w:val="EndNoteBibliography"/>
        <w:spacing w:after="0"/>
        <w:ind w:left="720" w:hanging="720"/>
      </w:pPr>
      <w:bookmarkStart w:id="328" w:name="_ENREF_250"/>
      <w:r w:rsidRPr="00DE113E">
        <w:t xml:space="preserve">Trach, J., deBettencourt, M. T., Radulescu, A., &amp; McDougle, S. D. (2022). Reward Feedback Enhances Sustained Attention on Short Timescales. </w:t>
      </w:r>
      <w:hyperlink r:id="rId336" w:history="1">
        <w:r w:rsidRPr="00DE113E">
          <w:rPr>
            <w:rStyle w:val="Hyperlink"/>
          </w:rPr>
          <w:t>https://doi.org/10.31234/osf.io/c8zq7</w:t>
        </w:r>
      </w:hyperlink>
      <w:r w:rsidRPr="00DE113E">
        <w:t xml:space="preserve"> </w:t>
      </w:r>
      <w:bookmarkEnd w:id="328"/>
    </w:p>
    <w:p w14:paraId="66917E39" w14:textId="7D5432B1" w:rsidR="00DE113E" w:rsidRPr="00DE113E" w:rsidRDefault="00DE113E" w:rsidP="00DE113E">
      <w:pPr>
        <w:pStyle w:val="EndNoteBibliography"/>
        <w:spacing w:after="0"/>
        <w:ind w:left="720" w:hanging="720"/>
      </w:pPr>
      <w:bookmarkStart w:id="329" w:name="_ENREF_251"/>
      <w:r w:rsidRPr="00DE113E">
        <w:t xml:space="preserve">Vargová, G., Vogels, T., Kostecká, Z., &amp; Hromádka, T. (2018). Inhibitory Interneurons in Alzheimer’s Disease. </w:t>
      </w:r>
      <w:r w:rsidRPr="00DE113E">
        <w:rPr>
          <w:i/>
        </w:rPr>
        <w:t>Bratislava Medical Journal</w:t>
      </w:r>
      <w:r w:rsidRPr="00DE113E">
        <w:t>,</w:t>
      </w:r>
      <w:r w:rsidRPr="00DE113E">
        <w:rPr>
          <w:i/>
        </w:rPr>
        <w:t xml:space="preserve"> 119</w:t>
      </w:r>
      <w:r w:rsidRPr="00DE113E">
        <w:t xml:space="preserve">(04), 205-209. </w:t>
      </w:r>
      <w:hyperlink r:id="rId337" w:history="1">
        <w:r w:rsidRPr="00DE113E">
          <w:rPr>
            <w:rStyle w:val="Hyperlink"/>
          </w:rPr>
          <w:t>https://doi.org/10.4149/bll_2018_038</w:t>
        </w:r>
      </w:hyperlink>
      <w:r w:rsidRPr="00DE113E">
        <w:t xml:space="preserve"> </w:t>
      </w:r>
      <w:bookmarkEnd w:id="329"/>
    </w:p>
    <w:p w14:paraId="2EED4FD6" w14:textId="2CCFFF8C" w:rsidR="00DE113E" w:rsidRPr="00DE113E" w:rsidRDefault="00DE113E" w:rsidP="00DE113E">
      <w:pPr>
        <w:pStyle w:val="EndNoteBibliography"/>
        <w:spacing w:after="0"/>
        <w:ind w:left="720" w:hanging="720"/>
      </w:pPr>
      <w:bookmarkStart w:id="330" w:name="_ENREF_252"/>
      <w:r w:rsidRPr="00DE113E">
        <w:t xml:space="preserve">Verbaan, D., Marinus, J., Visser, M., Rooden, S. M. v., Stiggelbout, A. M., Middelkoop, H. A. M., &amp; Hilten, J. J. v. (2007). Cognitive Impairment in Parkinson's Disease. </w:t>
      </w:r>
      <w:r w:rsidRPr="00DE113E">
        <w:rPr>
          <w:i/>
        </w:rPr>
        <w:t>Journal of Neurology Neurosurgery &amp; Psychiatry</w:t>
      </w:r>
      <w:r w:rsidRPr="00DE113E">
        <w:t>,</w:t>
      </w:r>
      <w:r w:rsidRPr="00DE113E">
        <w:rPr>
          <w:i/>
        </w:rPr>
        <w:t xml:space="preserve"> 78</w:t>
      </w:r>
      <w:r w:rsidRPr="00DE113E">
        <w:t xml:space="preserve">(11), 1182-1187. </w:t>
      </w:r>
      <w:hyperlink r:id="rId338" w:history="1">
        <w:r w:rsidRPr="00DE113E">
          <w:rPr>
            <w:rStyle w:val="Hyperlink"/>
          </w:rPr>
          <w:t>https://doi.org/10.1136/jnnp.2006.112367</w:t>
        </w:r>
      </w:hyperlink>
      <w:r w:rsidRPr="00DE113E">
        <w:t xml:space="preserve"> </w:t>
      </w:r>
      <w:bookmarkEnd w:id="330"/>
    </w:p>
    <w:p w14:paraId="7146BF80" w14:textId="3C79A9F1" w:rsidR="00DE113E" w:rsidRPr="00DE113E" w:rsidRDefault="00DE113E" w:rsidP="00DE113E">
      <w:pPr>
        <w:pStyle w:val="EndNoteBibliography"/>
        <w:spacing w:after="0"/>
        <w:ind w:left="720" w:hanging="720"/>
      </w:pPr>
      <w:bookmarkStart w:id="331" w:name="_ENREF_253"/>
      <w:r w:rsidRPr="00EF5663">
        <w:rPr>
          <w:lang w:val="it-IT"/>
        </w:rPr>
        <w:t xml:space="preserve">Vicente-Acosta, A., Herranz-Martín, S., Pazos, M. R., Galán-Cruz, J., Amores, M., Loría, F., &amp; Díaz‐Nido, J. (2024). </w:t>
      </w:r>
      <w:r w:rsidRPr="00DE113E">
        <w:t xml:space="preserve">Glial Cell Activation Precedes Neurodegeneration in the Cerebellar Cortex of the YG8-800 Murine Model of Friedreich’s Ataxia. </w:t>
      </w:r>
      <w:hyperlink r:id="rId339" w:history="1">
        <w:r w:rsidRPr="00DE113E">
          <w:rPr>
            <w:rStyle w:val="Hyperlink"/>
          </w:rPr>
          <w:t>https://doi.org/10.1101/2024.05.17.594658</w:t>
        </w:r>
      </w:hyperlink>
      <w:r w:rsidRPr="00DE113E">
        <w:t xml:space="preserve"> </w:t>
      </w:r>
      <w:bookmarkEnd w:id="331"/>
    </w:p>
    <w:p w14:paraId="1BD2032E" w14:textId="50284A4A" w:rsidR="00DE113E" w:rsidRPr="00DE113E" w:rsidRDefault="00DE113E" w:rsidP="00DE113E">
      <w:pPr>
        <w:pStyle w:val="EndNoteBibliography"/>
        <w:spacing w:after="0"/>
        <w:ind w:left="720" w:hanging="720"/>
      </w:pPr>
      <w:bookmarkStart w:id="332" w:name="_ENREF_254"/>
      <w:r w:rsidRPr="00EF5663">
        <w:rPr>
          <w:lang w:val="it-IT"/>
        </w:rPr>
        <w:t xml:space="preserve">Wang, W., Zhao, F., Ma, X., Perry, G., &amp; Zhu, X. (2020). </w:t>
      </w:r>
      <w:r w:rsidRPr="00DE113E">
        <w:t xml:space="preserve">Mitochondria Dysfunction in the Pathogenesis of Alzheimer’s Disease: Recent Advances. </w:t>
      </w:r>
      <w:r w:rsidRPr="00DE113E">
        <w:rPr>
          <w:i/>
        </w:rPr>
        <w:t>Molecular Neurodegeneration</w:t>
      </w:r>
      <w:r w:rsidRPr="00DE113E">
        <w:t>,</w:t>
      </w:r>
      <w:r w:rsidRPr="00DE113E">
        <w:rPr>
          <w:i/>
        </w:rPr>
        <w:t xml:space="preserve"> 15</w:t>
      </w:r>
      <w:r w:rsidRPr="00DE113E">
        <w:t xml:space="preserve">(1). </w:t>
      </w:r>
      <w:hyperlink r:id="rId340" w:history="1">
        <w:r w:rsidRPr="00DE113E">
          <w:rPr>
            <w:rStyle w:val="Hyperlink"/>
          </w:rPr>
          <w:t>https://doi.org/10.1186/s13024-020-00376-6</w:t>
        </w:r>
      </w:hyperlink>
      <w:r w:rsidRPr="00DE113E">
        <w:t xml:space="preserve"> </w:t>
      </w:r>
      <w:bookmarkEnd w:id="332"/>
    </w:p>
    <w:p w14:paraId="4360D1B7" w14:textId="25601CFF" w:rsidR="00DE113E" w:rsidRPr="00DE113E" w:rsidRDefault="00DE113E" w:rsidP="00DE113E">
      <w:pPr>
        <w:pStyle w:val="EndNoteBibliography"/>
        <w:spacing w:after="0"/>
        <w:ind w:left="720" w:hanging="720"/>
      </w:pPr>
      <w:bookmarkStart w:id="333" w:name="_ENREF_255"/>
      <w:r w:rsidRPr="00DE113E">
        <w:t xml:space="preserve">Whelan, R., Barbey, F., Cominetti, M. R., Gillan, C. M., &amp; Rosická, A. M. (2022). Developments in Scalable Strategies for Detecting Early Markers of Cognitive Decline. </w:t>
      </w:r>
      <w:r w:rsidRPr="00DE113E">
        <w:rPr>
          <w:i/>
        </w:rPr>
        <w:t>Translational Psychiatry</w:t>
      </w:r>
      <w:r w:rsidRPr="00DE113E">
        <w:t>,</w:t>
      </w:r>
      <w:r w:rsidRPr="00DE113E">
        <w:rPr>
          <w:i/>
        </w:rPr>
        <w:t xml:space="preserve"> 12</w:t>
      </w:r>
      <w:r w:rsidRPr="00DE113E">
        <w:t xml:space="preserve">(1). </w:t>
      </w:r>
      <w:hyperlink r:id="rId341" w:history="1">
        <w:r w:rsidRPr="00DE113E">
          <w:rPr>
            <w:rStyle w:val="Hyperlink"/>
          </w:rPr>
          <w:t>https://doi.org/10.1038/s41398-022-02237-w</w:t>
        </w:r>
      </w:hyperlink>
      <w:r w:rsidRPr="00DE113E">
        <w:t xml:space="preserve"> </w:t>
      </w:r>
      <w:bookmarkEnd w:id="333"/>
    </w:p>
    <w:p w14:paraId="45528CBC" w14:textId="6918038A" w:rsidR="00DE113E" w:rsidRPr="00DE113E" w:rsidRDefault="00DE113E" w:rsidP="00DE113E">
      <w:pPr>
        <w:pStyle w:val="EndNoteBibliography"/>
        <w:spacing w:after="0"/>
        <w:ind w:left="720" w:hanging="720"/>
      </w:pPr>
      <w:bookmarkStart w:id="334" w:name="_ENREF_256"/>
      <w:r w:rsidRPr="00DE113E">
        <w:t xml:space="preserve">WHO, W. H. O. (2025a). </w:t>
      </w:r>
      <w:r w:rsidRPr="00DE113E">
        <w:rPr>
          <w:i/>
        </w:rPr>
        <w:t>11 million lives lost each year: urgent action needed on neurological care</w:t>
      </w:r>
      <w:r w:rsidRPr="00DE113E">
        <w:t xml:space="preserve">. </w:t>
      </w:r>
      <w:hyperlink r:id="rId342" w:history="1">
        <w:r w:rsidRPr="00DE113E">
          <w:rPr>
            <w:rStyle w:val="Hyperlink"/>
          </w:rPr>
          <w:t>https://www.who.int/news/item/14-10-2025-11-million-lives-lost-each-year-urgent-action-needed-on-neurological-care</w:t>
        </w:r>
      </w:hyperlink>
      <w:r w:rsidRPr="00DE113E">
        <w:t xml:space="preserve">. </w:t>
      </w:r>
      <w:bookmarkEnd w:id="334"/>
    </w:p>
    <w:p w14:paraId="61F85C6A" w14:textId="673AC696" w:rsidR="00DE113E" w:rsidRPr="00DE113E" w:rsidRDefault="00DE113E" w:rsidP="00DE113E">
      <w:pPr>
        <w:pStyle w:val="EndNoteBibliography"/>
        <w:spacing w:after="0"/>
        <w:ind w:left="720" w:hanging="720"/>
      </w:pPr>
      <w:bookmarkStart w:id="335" w:name="_ENREF_257"/>
      <w:r w:rsidRPr="00DE113E">
        <w:t xml:space="preserve">Who, W. H. O. (2025b). </w:t>
      </w:r>
      <w:r w:rsidRPr="00DE113E">
        <w:rPr>
          <w:i/>
        </w:rPr>
        <w:t>Dementia</w:t>
      </w:r>
      <w:r w:rsidRPr="00DE113E">
        <w:t xml:space="preserve">. </w:t>
      </w:r>
      <w:hyperlink r:id="rId343" w:history="1">
        <w:r w:rsidRPr="00DE113E">
          <w:rPr>
            <w:rStyle w:val="Hyperlink"/>
          </w:rPr>
          <w:t>https://www.who.int/news-room/fact-sheets/detail/dementia</w:t>
        </w:r>
      </w:hyperlink>
      <w:r w:rsidRPr="00DE113E">
        <w:t xml:space="preserve">. </w:t>
      </w:r>
      <w:bookmarkEnd w:id="335"/>
    </w:p>
    <w:p w14:paraId="5942B207" w14:textId="0FBF0EDA" w:rsidR="00DE113E" w:rsidRPr="00DE113E" w:rsidRDefault="00DE113E" w:rsidP="00DE113E">
      <w:pPr>
        <w:pStyle w:val="EndNoteBibliography"/>
        <w:spacing w:after="0"/>
        <w:ind w:left="720" w:hanging="720"/>
      </w:pPr>
      <w:bookmarkStart w:id="336" w:name="_ENREF_258"/>
      <w:r w:rsidRPr="00DE113E">
        <w:t xml:space="preserve">Whoolery, C. W., Yun, S., Reynolds, R., Lucero, M. J., Soler, I., Tran, F. H., Ito, N., Redfield, R., Richardson, D. R., Shih, H.-Y., Rivera, P. D., Chen, B. P. C., Birnbaum, S. G., Stowe, A., &amp; Eisch, A. J. (2019). Multi-Domain Cognitive Assessment of Male Mice Reveals Whole Body Exposure to Space Radiation Is Not Detrimental to High-Level Cognition and Actually Improves Pattern Separation. </w:t>
      </w:r>
      <w:hyperlink r:id="rId344" w:history="1">
        <w:r w:rsidRPr="00DE113E">
          <w:rPr>
            <w:rStyle w:val="Hyperlink"/>
          </w:rPr>
          <w:t>https://doi.org/10.1101/796938</w:t>
        </w:r>
      </w:hyperlink>
      <w:r w:rsidRPr="00DE113E">
        <w:t xml:space="preserve"> </w:t>
      </w:r>
      <w:bookmarkEnd w:id="336"/>
    </w:p>
    <w:p w14:paraId="35756219" w14:textId="03116625" w:rsidR="00DE113E" w:rsidRPr="00DE113E" w:rsidRDefault="00DE113E" w:rsidP="00DE113E">
      <w:pPr>
        <w:pStyle w:val="EndNoteBibliography"/>
        <w:spacing w:after="0"/>
        <w:ind w:left="720" w:hanging="720"/>
      </w:pPr>
      <w:bookmarkStart w:id="337" w:name="_ENREF_259"/>
      <w:r w:rsidRPr="00DE113E">
        <w:lastRenderedPageBreak/>
        <w:t xml:space="preserve">Wilson, D. M., 3rd, Cookson, M. R., Van Den Bosch, L., Zetterberg, H., Holtzman, D. M., &amp; Dewachter, I. (2023). Hallmarks of neurodegenerative diseases. </w:t>
      </w:r>
      <w:r w:rsidRPr="00DE113E">
        <w:rPr>
          <w:i/>
        </w:rPr>
        <w:t>Cell</w:t>
      </w:r>
      <w:r w:rsidRPr="00DE113E">
        <w:t>,</w:t>
      </w:r>
      <w:r w:rsidRPr="00DE113E">
        <w:rPr>
          <w:i/>
        </w:rPr>
        <w:t xml:space="preserve"> 186</w:t>
      </w:r>
      <w:r w:rsidRPr="00DE113E">
        <w:t xml:space="preserve">(4), 693-714. </w:t>
      </w:r>
      <w:hyperlink r:id="rId345" w:history="1">
        <w:r w:rsidRPr="00DE113E">
          <w:rPr>
            <w:rStyle w:val="Hyperlink"/>
          </w:rPr>
          <w:t>https://doi.org/10.1016/j.cell.2022.12.032</w:t>
        </w:r>
      </w:hyperlink>
      <w:r w:rsidRPr="00DE113E">
        <w:t xml:space="preserve"> </w:t>
      </w:r>
      <w:bookmarkEnd w:id="337"/>
    </w:p>
    <w:p w14:paraId="639D0699" w14:textId="16E23F8A" w:rsidR="00DE113E" w:rsidRPr="00DE113E" w:rsidRDefault="00DE113E" w:rsidP="00DE113E">
      <w:pPr>
        <w:pStyle w:val="EndNoteBibliography"/>
        <w:spacing w:after="0"/>
        <w:ind w:left="720" w:hanging="720"/>
      </w:pPr>
      <w:bookmarkStart w:id="338" w:name="_ENREF_260"/>
      <w:r w:rsidRPr="00DE113E">
        <w:t xml:space="preserve">Wimo, A., Sjölund, B.-M., Sköldunger, A., Qiu, C., Klarin, I., Nordberg, G., &amp; von Strauss, E. (2016). Cohort Effects in the Prevalence and Survival of People with Dementia in a Rural Area in Northern Sweden. </w:t>
      </w:r>
      <w:r w:rsidRPr="00DE113E">
        <w:rPr>
          <w:i/>
        </w:rPr>
        <w:t>Journal of Alzheimer’s Disease</w:t>
      </w:r>
      <w:r w:rsidRPr="00DE113E">
        <w:t>,</w:t>
      </w:r>
      <w:r w:rsidRPr="00DE113E">
        <w:rPr>
          <w:i/>
        </w:rPr>
        <w:t xml:space="preserve"> 50</w:t>
      </w:r>
      <w:r w:rsidRPr="00DE113E">
        <w:t xml:space="preserve">(2), 387-396. </w:t>
      </w:r>
      <w:hyperlink r:id="rId346" w:history="1">
        <w:r w:rsidRPr="00DE113E">
          <w:rPr>
            <w:rStyle w:val="Hyperlink"/>
          </w:rPr>
          <w:t>https://doi.org/10.3233/jad-150708</w:t>
        </w:r>
      </w:hyperlink>
      <w:r w:rsidRPr="00DE113E">
        <w:t xml:space="preserve"> </w:t>
      </w:r>
      <w:bookmarkEnd w:id="338"/>
    </w:p>
    <w:p w14:paraId="08AE3145" w14:textId="06EF6895" w:rsidR="00DE113E" w:rsidRPr="00DE113E" w:rsidRDefault="00DE113E" w:rsidP="00DE113E">
      <w:pPr>
        <w:pStyle w:val="EndNoteBibliography"/>
        <w:spacing w:after="0"/>
        <w:ind w:left="720" w:hanging="720"/>
      </w:pPr>
      <w:bookmarkStart w:id="339" w:name="_ENREF_261"/>
      <w:r w:rsidRPr="00DE113E">
        <w:t xml:space="preserve">Winocur, G., &amp; Moscovitch, M. (2011). Memory Transformation and Systems Consolidation. </w:t>
      </w:r>
      <w:r w:rsidRPr="00DE113E">
        <w:rPr>
          <w:i/>
        </w:rPr>
        <w:t>Journal of the International Neuropsychological Society</w:t>
      </w:r>
      <w:r w:rsidRPr="00DE113E">
        <w:t>,</w:t>
      </w:r>
      <w:r w:rsidRPr="00DE113E">
        <w:rPr>
          <w:i/>
        </w:rPr>
        <w:t xml:space="preserve"> 17</w:t>
      </w:r>
      <w:r w:rsidRPr="00DE113E">
        <w:t xml:space="preserve">(5), 766-780. </w:t>
      </w:r>
      <w:hyperlink r:id="rId347" w:history="1">
        <w:r w:rsidRPr="00DE113E">
          <w:rPr>
            <w:rStyle w:val="Hyperlink"/>
          </w:rPr>
          <w:t>https://doi.org/10.1017/S1355617711000683</w:t>
        </w:r>
      </w:hyperlink>
      <w:r w:rsidRPr="00DE113E">
        <w:t xml:space="preserve"> </w:t>
      </w:r>
      <w:bookmarkEnd w:id="339"/>
    </w:p>
    <w:p w14:paraId="0F5EBD1D" w14:textId="75B33278" w:rsidR="00DE113E" w:rsidRPr="00DE113E" w:rsidRDefault="00DE113E" w:rsidP="00DE113E">
      <w:pPr>
        <w:pStyle w:val="EndNoteBibliography"/>
        <w:spacing w:after="0"/>
        <w:ind w:left="720" w:hanging="720"/>
      </w:pPr>
      <w:bookmarkStart w:id="340" w:name="_ENREF_262"/>
      <w:r w:rsidRPr="00DE113E">
        <w:t xml:space="preserve">Wolraich, M. L., Hagan, J. F., Jr., Allan, C., Chan, E., Davison, D., Earls, M., Evans, S. W., Flinn, S. K., Froehlich, T., Frost, J., Holbrook, J. R., Lehmann, C. U., Lessin, H. R., Okechukwu, K., Pierce, K. L., Winner, J. D., &amp; Zurhellen, W. (2019). Clinical Practice Guideline for the Diagnosis, Evaluation, and Treatment of Attention-Deficit/Hyperactivity Disorder in Children and Adolescents. </w:t>
      </w:r>
      <w:r w:rsidRPr="00DE113E">
        <w:rPr>
          <w:i/>
        </w:rPr>
        <w:t>Pediatrics</w:t>
      </w:r>
      <w:r w:rsidRPr="00DE113E">
        <w:t>,</w:t>
      </w:r>
      <w:r w:rsidRPr="00DE113E">
        <w:rPr>
          <w:i/>
        </w:rPr>
        <w:t xml:space="preserve"> 144</w:t>
      </w:r>
      <w:r w:rsidRPr="00DE113E">
        <w:t xml:space="preserve">(4). </w:t>
      </w:r>
      <w:hyperlink r:id="rId348" w:history="1">
        <w:r w:rsidRPr="00DE113E">
          <w:rPr>
            <w:rStyle w:val="Hyperlink"/>
          </w:rPr>
          <w:t>https://doi.org/10.1542/peds.2019-2528</w:t>
        </w:r>
      </w:hyperlink>
      <w:r w:rsidRPr="00DE113E">
        <w:t xml:space="preserve"> </w:t>
      </w:r>
      <w:bookmarkEnd w:id="340"/>
    </w:p>
    <w:p w14:paraId="4C2536EE" w14:textId="55EE7E27" w:rsidR="00DE113E" w:rsidRPr="00DE113E" w:rsidRDefault="00DE113E" w:rsidP="00DE113E">
      <w:pPr>
        <w:pStyle w:val="EndNoteBibliography"/>
        <w:spacing w:after="0"/>
        <w:ind w:left="720" w:hanging="720"/>
      </w:pPr>
      <w:bookmarkStart w:id="341" w:name="_ENREF_263"/>
      <w:r w:rsidRPr="00DE113E">
        <w:t xml:space="preserve">Worbe, Y., Savulich, G., Voon, V., Fernández-Egea, E., &amp; Robbins, T. W. (2014). Serotonin Depletion Induces ‘Waiting Impulsivity’ on the Human Four-Choice Serial Reaction Time Task: Cross-Species Translational Significance. </w:t>
      </w:r>
      <w:r w:rsidRPr="00DE113E">
        <w:rPr>
          <w:i/>
        </w:rPr>
        <w:t>Neuropsychopharmacology</w:t>
      </w:r>
      <w:r w:rsidRPr="00DE113E">
        <w:t>,</w:t>
      </w:r>
      <w:r w:rsidRPr="00DE113E">
        <w:rPr>
          <w:i/>
        </w:rPr>
        <w:t xml:space="preserve"> 39</w:t>
      </w:r>
      <w:r w:rsidRPr="00DE113E">
        <w:t xml:space="preserve">(6), 1519-1526. </w:t>
      </w:r>
      <w:hyperlink r:id="rId349" w:history="1">
        <w:r w:rsidRPr="00DE113E">
          <w:rPr>
            <w:rStyle w:val="Hyperlink"/>
          </w:rPr>
          <w:t>https://doi.org/10.1038/npp.2013.351</w:t>
        </w:r>
      </w:hyperlink>
      <w:r w:rsidRPr="00DE113E">
        <w:t xml:space="preserve"> </w:t>
      </w:r>
      <w:bookmarkEnd w:id="341"/>
    </w:p>
    <w:p w14:paraId="70E1FA04" w14:textId="78D14A9D" w:rsidR="00DE113E" w:rsidRPr="00DE113E" w:rsidRDefault="00DE113E" w:rsidP="00DE113E">
      <w:pPr>
        <w:pStyle w:val="EndNoteBibliography"/>
        <w:spacing w:after="0"/>
        <w:ind w:left="720" w:hanging="720"/>
      </w:pPr>
      <w:bookmarkStart w:id="342" w:name="_ENREF_264"/>
      <w:r w:rsidRPr="00DE113E">
        <w:t xml:space="preserve">Xu, H., &amp; Wu, B. (2019). Social and Psychological Factors and Cognitive Function: Findings From International Surveys. </w:t>
      </w:r>
      <w:r w:rsidRPr="00DE113E">
        <w:rPr>
          <w:i/>
        </w:rPr>
        <w:t>Innovation in Aging</w:t>
      </w:r>
      <w:r w:rsidRPr="00DE113E">
        <w:t>,</w:t>
      </w:r>
      <w:r w:rsidRPr="00DE113E">
        <w:rPr>
          <w:i/>
        </w:rPr>
        <w:t xml:space="preserve"> 3</w:t>
      </w:r>
      <w:r w:rsidRPr="00DE113E">
        <w:t xml:space="preserve">(Supplement_1), S204-S205. </w:t>
      </w:r>
      <w:hyperlink r:id="rId350" w:history="1">
        <w:r w:rsidRPr="00DE113E">
          <w:rPr>
            <w:rStyle w:val="Hyperlink"/>
          </w:rPr>
          <w:t>https://doi.org/10.1093/geroni/igz038.741</w:t>
        </w:r>
      </w:hyperlink>
      <w:r w:rsidRPr="00DE113E">
        <w:t xml:space="preserve"> </w:t>
      </w:r>
      <w:bookmarkEnd w:id="342"/>
    </w:p>
    <w:p w14:paraId="0BC76E7A" w14:textId="43434C19" w:rsidR="00DE113E" w:rsidRPr="00DE113E" w:rsidRDefault="00DE113E" w:rsidP="00DE113E">
      <w:pPr>
        <w:pStyle w:val="EndNoteBibliography"/>
        <w:spacing w:after="0"/>
        <w:ind w:left="720" w:hanging="720"/>
      </w:pPr>
      <w:bookmarkStart w:id="343" w:name="_ENREF_265"/>
      <w:r w:rsidRPr="00DE113E">
        <w:t xml:space="preserve">Yacoubian, T. A. (2017). Chapter 1 - Neurodegenerative Disorders: Why Do We Need New Therapies? In A. Adejare (Ed.), </w:t>
      </w:r>
      <w:r w:rsidRPr="00DE113E">
        <w:rPr>
          <w:i/>
        </w:rPr>
        <w:t>Drug Discovery Approaches for the Treatment of Neurodegenerative Disorders</w:t>
      </w:r>
      <w:r w:rsidRPr="00DE113E">
        <w:t xml:space="preserve"> (pp. 1-16). Academic Press. </w:t>
      </w:r>
      <w:hyperlink r:id="rId351" w:history="1">
        <w:r w:rsidRPr="00DE113E">
          <w:rPr>
            <w:rStyle w:val="Hyperlink"/>
          </w:rPr>
          <w:t>https://doi.org/https://doi.org/10.1016/B978-0-12-802810-0.00001-5</w:t>
        </w:r>
      </w:hyperlink>
      <w:r w:rsidRPr="00DE113E">
        <w:t xml:space="preserve"> </w:t>
      </w:r>
      <w:bookmarkEnd w:id="343"/>
    </w:p>
    <w:p w14:paraId="4E48AE71" w14:textId="75C0561B" w:rsidR="00DE113E" w:rsidRPr="00DE113E" w:rsidRDefault="00DE113E" w:rsidP="00DE113E">
      <w:pPr>
        <w:pStyle w:val="EndNoteBibliography"/>
        <w:spacing w:after="0"/>
        <w:ind w:left="720" w:hanging="720"/>
      </w:pPr>
      <w:bookmarkStart w:id="344" w:name="_ENREF_266"/>
      <w:r w:rsidRPr="00DE113E">
        <w:t xml:space="preserve">Yan, X., Uronen, R.-L., &amp; Huttunen, H. J. (2020). The interaction of α-synuclein and Tau: A molecular conspiracy in neurodegeneration? </w:t>
      </w:r>
      <w:r w:rsidRPr="00DE113E">
        <w:rPr>
          <w:i/>
        </w:rPr>
        <w:t>Seminars in Cell &amp; Developmental Biology</w:t>
      </w:r>
      <w:r w:rsidRPr="00DE113E">
        <w:t>,</w:t>
      </w:r>
      <w:r w:rsidRPr="00DE113E">
        <w:rPr>
          <w:i/>
        </w:rPr>
        <w:t xml:space="preserve"> 99</w:t>
      </w:r>
      <w:r w:rsidRPr="00DE113E">
        <w:t xml:space="preserve">, 55-64. </w:t>
      </w:r>
      <w:hyperlink r:id="rId352" w:history="1">
        <w:r w:rsidRPr="00DE113E">
          <w:rPr>
            <w:rStyle w:val="Hyperlink"/>
          </w:rPr>
          <w:t>https://doi.org/https://doi.org/10.1016/j.semcdb.2018.05.005</w:t>
        </w:r>
      </w:hyperlink>
      <w:r w:rsidRPr="00DE113E">
        <w:t xml:space="preserve"> </w:t>
      </w:r>
      <w:bookmarkEnd w:id="344"/>
    </w:p>
    <w:p w14:paraId="5A51F9BF" w14:textId="777B6576" w:rsidR="00DE113E" w:rsidRPr="00EF5663" w:rsidRDefault="00DE113E" w:rsidP="00DE113E">
      <w:pPr>
        <w:pStyle w:val="EndNoteBibliography"/>
        <w:spacing w:after="0"/>
        <w:ind w:left="720" w:hanging="720"/>
        <w:rPr>
          <w:lang w:val="it-IT"/>
        </w:rPr>
      </w:pPr>
      <w:bookmarkStart w:id="345" w:name="_ENREF_267"/>
      <w:r w:rsidRPr="00DE113E">
        <w:t xml:space="preserve">Zeeb, F. D., Robbins, T. W., &amp; Winstanley, C. A. (2009). Serotonergic and Dopaminergic Modulation of Gambling Behavior as Assessed Using a Novel Rat Gambling Task. </w:t>
      </w:r>
      <w:r w:rsidRPr="00EF5663">
        <w:rPr>
          <w:i/>
          <w:lang w:val="it-IT"/>
        </w:rPr>
        <w:t>Neuropsychopharmacology</w:t>
      </w:r>
      <w:r w:rsidRPr="00EF5663">
        <w:rPr>
          <w:lang w:val="it-IT"/>
        </w:rPr>
        <w:t>,</w:t>
      </w:r>
      <w:r w:rsidRPr="00EF5663">
        <w:rPr>
          <w:i/>
          <w:lang w:val="it-IT"/>
        </w:rPr>
        <w:t xml:space="preserve"> 34</w:t>
      </w:r>
      <w:r w:rsidRPr="00EF5663">
        <w:rPr>
          <w:lang w:val="it-IT"/>
        </w:rPr>
        <w:t xml:space="preserve">(10), 2329-2343. </w:t>
      </w:r>
      <w:hyperlink r:id="rId353" w:history="1">
        <w:r w:rsidRPr="00EF5663">
          <w:rPr>
            <w:rStyle w:val="Hyperlink"/>
            <w:lang w:val="it-IT"/>
          </w:rPr>
          <w:t>https://doi.org/10.1038/npp.2009.62</w:t>
        </w:r>
      </w:hyperlink>
      <w:r w:rsidRPr="00EF5663">
        <w:rPr>
          <w:lang w:val="it-IT"/>
        </w:rPr>
        <w:t xml:space="preserve"> </w:t>
      </w:r>
      <w:bookmarkEnd w:id="345"/>
    </w:p>
    <w:p w14:paraId="40B069E3" w14:textId="11F6E2CB" w:rsidR="00DE113E" w:rsidRPr="00DE113E" w:rsidRDefault="00DE113E" w:rsidP="00DE113E">
      <w:pPr>
        <w:pStyle w:val="EndNoteBibliography"/>
        <w:spacing w:after="0"/>
        <w:ind w:left="720" w:hanging="720"/>
      </w:pPr>
      <w:bookmarkStart w:id="346" w:name="_ENREF_268"/>
      <w:r w:rsidRPr="00EF5663">
        <w:rPr>
          <w:lang w:val="it-IT"/>
        </w:rPr>
        <w:t xml:space="preserve">Zenaro, E., Pietronigro, E., Bianca, V. D., Piacentino, G., Marongiu, L., Budui, S., Turano, E., Rossi, B., Angiari, S., Dusi, S., Montresor, A., Carlucci, T., Nanì, S., Tosadori, G., Calciano, L., Catalucci, D., Berton, G., Bonetti, B., &amp; Constantin, G. (2015). </w:t>
      </w:r>
      <w:r w:rsidRPr="00DE113E">
        <w:t xml:space="preserve">Neutrophils Promote Alzheimer's Disease–like Pathology and Cognitive Decline via LFA-1 Integrin. </w:t>
      </w:r>
      <w:r w:rsidRPr="00DE113E">
        <w:rPr>
          <w:i/>
        </w:rPr>
        <w:t>Nature Medicine</w:t>
      </w:r>
      <w:r w:rsidRPr="00DE113E">
        <w:t>,</w:t>
      </w:r>
      <w:r w:rsidRPr="00DE113E">
        <w:rPr>
          <w:i/>
        </w:rPr>
        <w:t xml:space="preserve"> 21</w:t>
      </w:r>
      <w:r w:rsidRPr="00DE113E">
        <w:t xml:space="preserve">(8), 880-886. </w:t>
      </w:r>
      <w:hyperlink r:id="rId354" w:history="1">
        <w:r w:rsidRPr="00DE113E">
          <w:rPr>
            <w:rStyle w:val="Hyperlink"/>
          </w:rPr>
          <w:t>https://doi.org/10.1038/nm.3913</w:t>
        </w:r>
      </w:hyperlink>
      <w:r w:rsidRPr="00DE113E">
        <w:t xml:space="preserve"> </w:t>
      </w:r>
      <w:bookmarkEnd w:id="346"/>
    </w:p>
    <w:p w14:paraId="331D95EC" w14:textId="115642E3" w:rsidR="00DE113E" w:rsidRPr="00DE113E" w:rsidRDefault="00DE113E" w:rsidP="00DE113E">
      <w:pPr>
        <w:pStyle w:val="EndNoteBibliography"/>
        <w:spacing w:after="0"/>
        <w:ind w:left="720" w:hanging="720"/>
      </w:pPr>
      <w:bookmarkStart w:id="347" w:name="_ENREF_269"/>
      <w:r w:rsidRPr="00DE113E">
        <w:t xml:space="preserve">Zhang, H., Skelin, I., Ma, S., Paff, M., Mnatsakanyan, L., Yassa, M. A., Knight, R. T., &amp; Lin, J. J. (2024). Awake Ripples Enhance Emotional Memory Encoding in the Human Brain. </w:t>
      </w:r>
      <w:r w:rsidRPr="00DE113E">
        <w:rPr>
          <w:i/>
        </w:rPr>
        <w:t>Nature Communications</w:t>
      </w:r>
      <w:r w:rsidRPr="00DE113E">
        <w:t>,</w:t>
      </w:r>
      <w:r w:rsidRPr="00DE113E">
        <w:rPr>
          <w:i/>
        </w:rPr>
        <w:t xml:space="preserve"> 15</w:t>
      </w:r>
      <w:r w:rsidRPr="00DE113E">
        <w:t xml:space="preserve">(1). </w:t>
      </w:r>
      <w:hyperlink r:id="rId355" w:history="1">
        <w:r w:rsidRPr="00DE113E">
          <w:rPr>
            <w:rStyle w:val="Hyperlink"/>
          </w:rPr>
          <w:t>https://doi.org/10.1038/s41467-023-44295-8</w:t>
        </w:r>
      </w:hyperlink>
      <w:r w:rsidRPr="00DE113E">
        <w:t xml:space="preserve"> </w:t>
      </w:r>
      <w:bookmarkEnd w:id="347"/>
    </w:p>
    <w:p w14:paraId="68DA584E" w14:textId="42349245" w:rsidR="00DE113E" w:rsidRPr="00EF5663" w:rsidRDefault="00DE113E" w:rsidP="00DE113E">
      <w:pPr>
        <w:pStyle w:val="EndNoteBibliography"/>
        <w:spacing w:after="0"/>
        <w:ind w:left="720" w:hanging="720"/>
        <w:rPr>
          <w:lang w:val="it-IT"/>
        </w:rPr>
      </w:pPr>
      <w:bookmarkStart w:id="348" w:name="_ENREF_270"/>
      <w:r w:rsidRPr="00DE113E">
        <w:t xml:space="preserve">Zhang, X., Wang, L., Li, B., Shi, J., Xu, J., &amp; Yuan, M. (2023). Targeting Mitochondrial Dysfunction in Neurodegenerative Diseases: Expanding the Therapeutic Approaches by Plant-Derived Natural Products. </w:t>
      </w:r>
      <w:r w:rsidRPr="00EF5663">
        <w:rPr>
          <w:i/>
          <w:lang w:val="it-IT"/>
        </w:rPr>
        <w:t>Pharmaceuticals</w:t>
      </w:r>
      <w:r w:rsidRPr="00EF5663">
        <w:rPr>
          <w:lang w:val="it-IT"/>
        </w:rPr>
        <w:t>,</w:t>
      </w:r>
      <w:r w:rsidRPr="00EF5663">
        <w:rPr>
          <w:i/>
          <w:lang w:val="it-IT"/>
        </w:rPr>
        <w:t xml:space="preserve"> 16</w:t>
      </w:r>
      <w:r w:rsidRPr="00EF5663">
        <w:rPr>
          <w:lang w:val="it-IT"/>
        </w:rPr>
        <w:t xml:space="preserve">(2), 277. </w:t>
      </w:r>
      <w:hyperlink r:id="rId356" w:history="1">
        <w:r w:rsidRPr="00EF5663">
          <w:rPr>
            <w:rStyle w:val="Hyperlink"/>
            <w:lang w:val="it-IT"/>
          </w:rPr>
          <w:t>https://doi.org/10.3390/ph16020277</w:t>
        </w:r>
      </w:hyperlink>
      <w:r w:rsidRPr="00EF5663">
        <w:rPr>
          <w:lang w:val="it-IT"/>
        </w:rPr>
        <w:t xml:space="preserve"> </w:t>
      </w:r>
      <w:bookmarkEnd w:id="348"/>
    </w:p>
    <w:p w14:paraId="06454342" w14:textId="457E0239" w:rsidR="00DE113E" w:rsidRPr="00EF5663" w:rsidRDefault="00DE113E" w:rsidP="00DE113E">
      <w:pPr>
        <w:pStyle w:val="EndNoteBibliography"/>
        <w:spacing w:after="0"/>
        <w:ind w:left="720" w:hanging="720"/>
        <w:rPr>
          <w:lang w:val="it-IT"/>
        </w:rPr>
      </w:pPr>
      <w:bookmarkStart w:id="349" w:name="_ENREF_271"/>
      <w:r w:rsidRPr="00EF5663">
        <w:rPr>
          <w:lang w:val="it-IT"/>
        </w:rPr>
        <w:lastRenderedPageBreak/>
        <w:t xml:space="preserve">Zheng, Z., Zhao, X., Cui, X., Liu, X., Zhu, X., Jiang, Y., &amp; Li, J. (2023). </w:t>
      </w:r>
      <w:r w:rsidRPr="00DE113E">
        <w:t xml:space="preserve">Subtle Pathophysiological Changes in Working Memory–Related Potentials and Intrinsic Theta Power in Community-Dwelling Older Adults With Subjective Cognitive Decline. </w:t>
      </w:r>
      <w:r w:rsidRPr="00EF5663">
        <w:rPr>
          <w:i/>
          <w:lang w:val="it-IT"/>
        </w:rPr>
        <w:t>Innovation in Aging</w:t>
      </w:r>
      <w:r w:rsidRPr="00EF5663">
        <w:rPr>
          <w:lang w:val="it-IT"/>
        </w:rPr>
        <w:t>,</w:t>
      </w:r>
      <w:r w:rsidRPr="00EF5663">
        <w:rPr>
          <w:i/>
          <w:lang w:val="it-IT"/>
        </w:rPr>
        <w:t xml:space="preserve"> 7</w:t>
      </w:r>
      <w:r w:rsidRPr="00EF5663">
        <w:rPr>
          <w:lang w:val="it-IT"/>
        </w:rPr>
        <w:t xml:space="preserve">(2). </w:t>
      </w:r>
      <w:hyperlink r:id="rId357" w:history="1">
        <w:r w:rsidRPr="00EF5663">
          <w:rPr>
            <w:rStyle w:val="Hyperlink"/>
            <w:lang w:val="it-IT"/>
          </w:rPr>
          <w:t>https://doi.org/10.1093/geroni/igad004</w:t>
        </w:r>
      </w:hyperlink>
      <w:r w:rsidRPr="00EF5663">
        <w:rPr>
          <w:lang w:val="it-IT"/>
        </w:rPr>
        <w:t xml:space="preserve"> </w:t>
      </w:r>
      <w:bookmarkEnd w:id="349"/>
    </w:p>
    <w:p w14:paraId="5D8A950D" w14:textId="57FE8204" w:rsidR="00DE113E" w:rsidRPr="00DE113E" w:rsidRDefault="00DE113E" w:rsidP="00DE113E">
      <w:pPr>
        <w:pStyle w:val="EndNoteBibliography"/>
        <w:spacing w:after="0"/>
        <w:ind w:left="720" w:hanging="720"/>
      </w:pPr>
      <w:bookmarkStart w:id="350" w:name="_ENREF_272"/>
      <w:r w:rsidRPr="00EF5663">
        <w:rPr>
          <w:lang w:val="it-IT"/>
        </w:rPr>
        <w:t xml:space="preserve">Zhou, J., Wu, B., Lin, X., Dai, Y., Li, T., Zheng, W., Guo, W., Vakal, S., Chen, X., &amp; Chen, J.-F. (2019). </w:t>
      </w:r>
      <w:r w:rsidRPr="00DE113E">
        <w:t xml:space="preserve">Accumbal Adenosine A2A Receptors Enhance Cognitive Flexibility by Facilitating Strategy Shifting [Original Research]. </w:t>
      </w:r>
      <w:r w:rsidRPr="00DE113E">
        <w:rPr>
          <w:i/>
        </w:rPr>
        <w:t>Frontiers in Cellular Neuroscience</w:t>
      </w:r>
      <w:r w:rsidRPr="00DE113E">
        <w:t>,</w:t>
      </w:r>
      <w:r w:rsidRPr="00DE113E">
        <w:rPr>
          <w:i/>
        </w:rPr>
        <w:t xml:space="preserve"> Volume 13 - 2019</w:t>
      </w:r>
      <w:r w:rsidRPr="00DE113E">
        <w:t xml:space="preserve">. </w:t>
      </w:r>
      <w:hyperlink r:id="rId358" w:history="1">
        <w:r w:rsidRPr="00DE113E">
          <w:rPr>
            <w:rStyle w:val="Hyperlink"/>
          </w:rPr>
          <w:t>https://doi.org/10.3389/fncel.2019.00130</w:t>
        </w:r>
      </w:hyperlink>
      <w:r w:rsidRPr="00DE113E">
        <w:t xml:space="preserve"> </w:t>
      </w:r>
      <w:bookmarkEnd w:id="350"/>
    </w:p>
    <w:p w14:paraId="0A727575" w14:textId="40E5C142" w:rsidR="00DE113E" w:rsidRPr="00DE113E" w:rsidRDefault="00DE113E" w:rsidP="00DE113E">
      <w:pPr>
        <w:pStyle w:val="EndNoteBibliography"/>
        <w:spacing w:after="0"/>
        <w:ind w:left="720" w:hanging="720"/>
      </w:pPr>
      <w:bookmarkStart w:id="351" w:name="_ENREF_273"/>
      <w:r w:rsidRPr="00DE113E">
        <w:t xml:space="preserve">Ziehn, M., Avedisian, A. A., Tiwari‐Woodruff, S. K., &amp; Voskuhl, R. R. (2010). Hippocampal CA1 Atrophy and Synaptic Loss During Experimental Autoimmune Encephalomyelitis, EAE. </w:t>
      </w:r>
      <w:r w:rsidRPr="00DE113E">
        <w:rPr>
          <w:i/>
        </w:rPr>
        <w:t>Laboratory Investigation</w:t>
      </w:r>
      <w:r w:rsidRPr="00DE113E">
        <w:t>,</w:t>
      </w:r>
      <w:r w:rsidRPr="00DE113E">
        <w:rPr>
          <w:i/>
        </w:rPr>
        <w:t xml:space="preserve"> 90</w:t>
      </w:r>
      <w:r w:rsidRPr="00DE113E">
        <w:t xml:space="preserve">(5), 774-786. </w:t>
      </w:r>
      <w:hyperlink r:id="rId359" w:history="1">
        <w:r w:rsidRPr="00DE113E">
          <w:rPr>
            <w:rStyle w:val="Hyperlink"/>
          </w:rPr>
          <w:t>https://doi.org/10.1038/labinvest.2010.6</w:t>
        </w:r>
      </w:hyperlink>
      <w:r w:rsidRPr="00DE113E">
        <w:t xml:space="preserve"> </w:t>
      </w:r>
      <w:bookmarkEnd w:id="351"/>
    </w:p>
    <w:p w14:paraId="2CEE5C66" w14:textId="2D5EA4F4" w:rsidR="00DE113E" w:rsidRPr="00DE113E" w:rsidRDefault="00DE113E" w:rsidP="00DE113E">
      <w:pPr>
        <w:pStyle w:val="EndNoteBibliography"/>
        <w:ind w:left="720" w:hanging="720"/>
      </w:pPr>
      <w:bookmarkStart w:id="352" w:name="_ENREF_274"/>
      <w:r w:rsidRPr="00DE113E">
        <w:t xml:space="preserve">Zieneldien, T., Kim, J., &amp; Cao, C. (2022). The Multifaceted Role of Neuroprotective Plants in Alzheimer’s Disease Treatment. </w:t>
      </w:r>
      <w:r w:rsidRPr="00DE113E">
        <w:rPr>
          <w:i/>
        </w:rPr>
        <w:t>Geriatrics</w:t>
      </w:r>
      <w:r w:rsidRPr="00DE113E">
        <w:t>,</w:t>
      </w:r>
      <w:r w:rsidRPr="00DE113E">
        <w:rPr>
          <w:i/>
        </w:rPr>
        <w:t xml:space="preserve"> 7</w:t>
      </w:r>
      <w:r w:rsidRPr="00DE113E">
        <w:t xml:space="preserve">(2), 24. </w:t>
      </w:r>
      <w:hyperlink r:id="rId360" w:history="1">
        <w:r w:rsidRPr="00DE113E">
          <w:rPr>
            <w:rStyle w:val="Hyperlink"/>
          </w:rPr>
          <w:t>https://doi.org/10.3390/geriatrics7020024</w:t>
        </w:r>
      </w:hyperlink>
      <w:r w:rsidRPr="00DE113E">
        <w:t xml:space="preserve"> </w:t>
      </w:r>
      <w:bookmarkEnd w:id="352"/>
    </w:p>
    <w:p w14:paraId="0FF7CE7F" w14:textId="14128C8F" w:rsidR="00CE3578" w:rsidRPr="009E1898" w:rsidRDefault="00CC05E9" w:rsidP="00DE113E">
      <w:pPr>
        <w:ind w:left="2160"/>
        <w:rPr>
          <w:rFonts w:asciiTheme="majorBidi" w:hAnsiTheme="majorBidi" w:cstheme="majorBidi"/>
          <w:sz w:val="24"/>
          <w:szCs w:val="24"/>
          <w:lang w:val="it-IT"/>
        </w:rPr>
      </w:pPr>
      <w:r w:rsidRPr="00F71F57">
        <w:rPr>
          <w:rFonts w:asciiTheme="majorBidi" w:hAnsiTheme="majorBidi" w:cstheme="majorBidi"/>
          <w:sz w:val="24"/>
          <w:szCs w:val="24"/>
          <w:lang w:val="en-GB"/>
        </w:rPr>
        <w:fldChar w:fldCharType="end"/>
      </w:r>
    </w:p>
    <w:sectPr w:rsidR="00CE3578" w:rsidRPr="009E1898" w:rsidSect="005F1745">
      <w:footerReference w:type="first" r:id="rId361"/>
      <w:pgSz w:w="11906" w:h="16838"/>
      <w:pgMar w:top="1701" w:right="1701" w:bottom="1701" w:left="226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46C4E" w14:textId="77777777" w:rsidR="00BF6ADA" w:rsidRDefault="00BF6ADA" w:rsidP="009F7406">
      <w:pPr>
        <w:spacing w:after="0" w:line="240" w:lineRule="auto"/>
      </w:pPr>
      <w:r>
        <w:separator/>
      </w:r>
    </w:p>
  </w:endnote>
  <w:endnote w:type="continuationSeparator" w:id="0">
    <w:p w14:paraId="1A4359E3" w14:textId="77777777" w:rsidR="00BF6ADA" w:rsidRDefault="00BF6ADA" w:rsidP="009F74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Adobe Garamond Pro">
    <w:altName w:val="Times New Roma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5064300"/>
      <w:docPartObj>
        <w:docPartGallery w:val="Page Numbers (Bottom of Page)"/>
        <w:docPartUnique/>
      </w:docPartObj>
    </w:sdtPr>
    <w:sdtEndPr>
      <w:rPr>
        <w:noProof/>
      </w:rPr>
    </w:sdtEndPr>
    <w:sdtContent>
      <w:p w14:paraId="474906D3" w14:textId="6F178A3D" w:rsidR="00914260" w:rsidRDefault="0091426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7CA9C11" w14:textId="77777777" w:rsidR="00914260" w:rsidRDefault="009142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9A189" w14:textId="77777777" w:rsidR="00285E79" w:rsidRPr="00892064" w:rsidRDefault="00285E79" w:rsidP="00285E79">
    <w:pPr>
      <w:tabs>
        <w:tab w:val="left" w:pos="1134"/>
      </w:tabs>
      <w:autoSpaceDN w:val="0"/>
      <w:spacing w:after="0" w:line="240" w:lineRule="auto"/>
      <w:jc w:val="center"/>
      <w:rPr>
        <w:rFonts w:ascii="Times New Roman" w:eastAsia="Times New Roman" w:hAnsi="Times New Roman" w:cs="Times New Roman"/>
        <w:sz w:val="18"/>
        <w:szCs w:val="20"/>
        <w:lang w:val="en-GB" w:eastAsia="it-IT"/>
      </w:rPr>
    </w:pPr>
    <w:bookmarkStart w:id="353" w:name="_Hlk209272076"/>
    <w:r w:rsidRPr="00892064">
      <w:rPr>
        <w:rFonts w:ascii="Times New Roman" w:eastAsia="Times New Roman" w:hAnsi="Times New Roman" w:cs="Times New Roman"/>
        <w:sz w:val="18"/>
        <w:szCs w:val="20"/>
        <w:lang w:val="en-GB" w:eastAsia="it-IT"/>
      </w:rPr>
      <w:t xml:space="preserve">University of Verona </w:t>
    </w:r>
  </w:p>
  <w:p w14:paraId="758702CC" w14:textId="77777777" w:rsidR="00285E79" w:rsidRPr="00892064" w:rsidRDefault="00285E79" w:rsidP="00285E79">
    <w:pPr>
      <w:tabs>
        <w:tab w:val="left" w:pos="1134"/>
      </w:tabs>
      <w:autoSpaceDN w:val="0"/>
      <w:spacing w:after="0" w:line="240" w:lineRule="auto"/>
      <w:jc w:val="center"/>
      <w:rPr>
        <w:rFonts w:ascii="Times New Roman" w:eastAsia="Times New Roman" w:hAnsi="Times New Roman" w:cs="Times New Roman"/>
        <w:sz w:val="18"/>
        <w:szCs w:val="20"/>
        <w:lang w:val="en-GB" w:eastAsia="it-IT"/>
      </w:rPr>
    </w:pPr>
    <w:r w:rsidRPr="00892064">
      <w:rPr>
        <w:rFonts w:ascii="Times New Roman" w:eastAsia="Times New Roman" w:hAnsi="Times New Roman" w:cs="Times New Roman"/>
        <w:sz w:val="18"/>
        <w:szCs w:val="20"/>
        <w:lang w:val="en-GB" w:eastAsia="it-IT"/>
      </w:rPr>
      <w:t>Research Office – National and International PhD programmes</w:t>
    </w:r>
  </w:p>
  <w:p w14:paraId="57833A07" w14:textId="77777777" w:rsidR="00285E79" w:rsidRPr="00183C6B" w:rsidRDefault="00285E79" w:rsidP="00285E79">
    <w:pPr>
      <w:autoSpaceDN w:val="0"/>
      <w:spacing w:after="0" w:line="240" w:lineRule="auto"/>
      <w:jc w:val="center"/>
      <w:rPr>
        <w:rFonts w:ascii="Times New Roman" w:eastAsia="Times New Roman" w:hAnsi="Times New Roman" w:cs="Times New Roman"/>
        <w:sz w:val="18"/>
        <w:szCs w:val="20"/>
        <w:lang w:val="it-IT" w:eastAsia="it-IT"/>
      </w:rPr>
    </w:pPr>
    <w:proofErr w:type="spellStart"/>
    <w:r w:rsidRPr="00183C6B">
      <w:rPr>
        <w:rFonts w:ascii="Times New Roman" w:eastAsia="Times New Roman" w:hAnsi="Times New Roman" w:cs="Times New Roman"/>
        <w:sz w:val="18"/>
        <w:szCs w:val="20"/>
        <w:lang w:val="it-IT" w:eastAsia="it-IT"/>
      </w:rPr>
      <w:t>ph</w:t>
    </w:r>
    <w:proofErr w:type="spellEnd"/>
    <w:r w:rsidRPr="00183C6B">
      <w:rPr>
        <w:rFonts w:ascii="Times New Roman" w:eastAsia="Times New Roman" w:hAnsi="Times New Roman" w:cs="Times New Roman"/>
        <w:sz w:val="18"/>
        <w:szCs w:val="20"/>
        <w:lang w:val="it-IT" w:eastAsia="it-IT"/>
      </w:rPr>
      <w:t xml:space="preserve">: 045.802.8608 – fax 045.802.8411 – Via Giardino Giusti 2 – 37129 Verona </w:t>
    </w:r>
  </w:p>
  <w:bookmarkEnd w:id="353"/>
  <w:p w14:paraId="104E1334" w14:textId="77777777" w:rsidR="00285E79" w:rsidRPr="00285E79" w:rsidRDefault="00285E79">
    <w:pPr>
      <w:pStyle w:val="Footer"/>
      <w:rPr>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B2BA82" w14:textId="77777777" w:rsidR="00BF6ADA" w:rsidRDefault="00BF6ADA" w:rsidP="009F7406">
      <w:pPr>
        <w:spacing w:after="0" w:line="240" w:lineRule="auto"/>
      </w:pPr>
      <w:r>
        <w:separator/>
      </w:r>
    </w:p>
  </w:footnote>
  <w:footnote w:type="continuationSeparator" w:id="0">
    <w:p w14:paraId="205F62E7" w14:textId="77777777" w:rsidR="00BF6ADA" w:rsidRDefault="00BF6ADA" w:rsidP="009F74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572C9"/>
    <w:multiLevelType w:val="multilevel"/>
    <w:tmpl w:val="9BC094A2"/>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 w15:restartNumberingAfterBreak="0">
    <w:nsid w:val="06A75BCB"/>
    <w:multiLevelType w:val="multilevel"/>
    <w:tmpl w:val="81AAC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CF50B2"/>
    <w:multiLevelType w:val="hybridMultilevel"/>
    <w:tmpl w:val="F318AB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5B2283"/>
    <w:multiLevelType w:val="multilevel"/>
    <w:tmpl w:val="7C9AA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6E4CD9"/>
    <w:multiLevelType w:val="multilevel"/>
    <w:tmpl w:val="D8D64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397455"/>
    <w:multiLevelType w:val="multilevel"/>
    <w:tmpl w:val="6AB076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78451B"/>
    <w:multiLevelType w:val="multilevel"/>
    <w:tmpl w:val="CA5E1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02533A"/>
    <w:multiLevelType w:val="multilevel"/>
    <w:tmpl w:val="418AC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FF0677"/>
    <w:multiLevelType w:val="multilevel"/>
    <w:tmpl w:val="6B227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98047A"/>
    <w:multiLevelType w:val="multilevel"/>
    <w:tmpl w:val="B630D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763335"/>
    <w:multiLevelType w:val="multilevel"/>
    <w:tmpl w:val="6D025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EA7D7D"/>
    <w:multiLevelType w:val="multilevel"/>
    <w:tmpl w:val="FF74A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1F5693"/>
    <w:multiLevelType w:val="multilevel"/>
    <w:tmpl w:val="2F426F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C73CC0"/>
    <w:multiLevelType w:val="multilevel"/>
    <w:tmpl w:val="95882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CD81B42"/>
    <w:multiLevelType w:val="multilevel"/>
    <w:tmpl w:val="C2549F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1792A19"/>
    <w:multiLevelType w:val="hybridMultilevel"/>
    <w:tmpl w:val="5BDA177C"/>
    <w:lvl w:ilvl="0" w:tplc="04090005">
      <w:start w:val="1"/>
      <w:numFmt w:val="bullet"/>
      <w:lvlText w:val=""/>
      <w:lvlJc w:val="left"/>
      <w:pPr>
        <w:ind w:left="2160" w:hanging="360"/>
      </w:pPr>
      <w:rPr>
        <w:rFonts w:ascii="Wingdings" w:hAnsi="Wingding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31FB308A"/>
    <w:multiLevelType w:val="hybridMultilevel"/>
    <w:tmpl w:val="CD222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6F17E93"/>
    <w:multiLevelType w:val="multilevel"/>
    <w:tmpl w:val="31505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9563C5"/>
    <w:multiLevelType w:val="multilevel"/>
    <w:tmpl w:val="82161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B24058D"/>
    <w:multiLevelType w:val="multilevel"/>
    <w:tmpl w:val="2C0878AC"/>
    <w:lvl w:ilvl="0">
      <w:start w:val="1"/>
      <w:numFmt w:val="decimal"/>
      <w:lvlText w:val="%1."/>
      <w:lvlJc w:val="left"/>
      <w:pPr>
        <w:tabs>
          <w:tab w:val="num" w:pos="0"/>
        </w:tabs>
        <w:ind w:left="0" w:hanging="360"/>
      </w:pPr>
    </w:lvl>
    <w:lvl w:ilvl="1">
      <w:start w:val="1"/>
      <w:numFmt w:val="bullet"/>
      <w:lvlText w:val="o"/>
      <w:lvlJc w:val="left"/>
      <w:pPr>
        <w:tabs>
          <w:tab w:val="num" w:pos="720"/>
        </w:tabs>
        <w:ind w:left="720" w:hanging="360"/>
      </w:pPr>
      <w:rPr>
        <w:rFonts w:ascii="Courier New" w:hAnsi="Courier New" w:hint="default"/>
        <w:sz w:val="20"/>
      </w:r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0" w15:restartNumberingAfterBreak="0">
    <w:nsid w:val="3B294B47"/>
    <w:multiLevelType w:val="multilevel"/>
    <w:tmpl w:val="5D88B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B404808"/>
    <w:multiLevelType w:val="multilevel"/>
    <w:tmpl w:val="3770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1522BE"/>
    <w:multiLevelType w:val="multilevel"/>
    <w:tmpl w:val="221861CE"/>
    <w:lvl w:ilvl="0">
      <w:start w:val="1"/>
      <w:numFmt w:val="decimal"/>
      <w:lvlText w:val="%1."/>
      <w:lvlJc w:val="left"/>
      <w:pPr>
        <w:tabs>
          <w:tab w:val="num" w:pos="1440"/>
        </w:tabs>
        <w:ind w:left="1440" w:hanging="360"/>
      </w:pPr>
    </w:lvl>
    <w:lvl w:ilvl="1">
      <w:start w:val="1"/>
      <w:numFmt w:val="bullet"/>
      <w:lvlText w:val="o"/>
      <w:lvlJc w:val="left"/>
      <w:pPr>
        <w:tabs>
          <w:tab w:val="num" w:pos="2160"/>
        </w:tabs>
        <w:ind w:left="2160" w:hanging="360"/>
      </w:pPr>
      <w:rPr>
        <w:rFonts w:ascii="Courier New" w:hAnsi="Courier New" w:hint="default"/>
        <w:sz w:val="20"/>
      </w:r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23" w15:restartNumberingAfterBreak="0">
    <w:nsid w:val="410B73B1"/>
    <w:multiLevelType w:val="multilevel"/>
    <w:tmpl w:val="50BA6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3315E38"/>
    <w:multiLevelType w:val="hybridMultilevel"/>
    <w:tmpl w:val="94563CC2"/>
    <w:lvl w:ilvl="0" w:tplc="04090003">
      <w:start w:val="1"/>
      <w:numFmt w:val="bullet"/>
      <w:lvlText w:val="o"/>
      <w:lvlJc w:val="left"/>
      <w:pPr>
        <w:ind w:left="2335" w:hanging="360"/>
      </w:pPr>
      <w:rPr>
        <w:rFonts w:ascii="Courier New" w:hAnsi="Courier New" w:cs="Courier New" w:hint="default"/>
      </w:rPr>
    </w:lvl>
    <w:lvl w:ilvl="1" w:tplc="04090003" w:tentative="1">
      <w:start w:val="1"/>
      <w:numFmt w:val="bullet"/>
      <w:lvlText w:val="o"/>
      <w:lvlJc w:val="left"/>
      <w:pPr>
        <w:ind w:left="3055" w:hanging="360"/>
      </w:pPr>
      <w:rPr>
        <w:rFonts w:ascii="Courier New" w:hAnsi="Courier New" w:cs="Courier New" w:hint="default"/>
      </w:rPr>
    </w:lvl>
    <w:lvl w:ilvl="2" w:tplc="04090005" w:tentative="1">
      <w:start w:val="1"/>
      <w:numFmt w:val="bullet"/>
      <w:lvlText w:val=""/>
      <w:lvlJc w:val="left"/>
      <w:pPr>
        <w:ind w:left="3775" w:hanging="360"/>
      </w:pPr>
      <w:rPr>
        <w:rFonts w:ascii="Wingdings" w:hAnsi="Wingdings" w:hint="default"/>
      </w:rPr>
    </w:lvl>
    <w:lvl w:ilvl="3" w:tplc="04090001" w:tentative="1">
      <w:start w:val="1"/>
      <w:numFmt w:val="bullet"/>
      <w:lvlText w:val=""/>
      <w:lvlJc w:val="left"/>
      <w:pPr>
        <w:ind w:left="4495" w:hanging="360"/>
      </w:pPr>
      <w:rPr>
        <w:rFonts w:ascii="Symbol" w:hAnsi="Symbol" w:hint="default"/>
      </w:rPr>
    </w:lvl>
    <w:lvl w:ilvl="4" w:tplc="04090003" w:tentative="1">
      <w:start w:val="1"/>
      <w:numFmt w:val="bullet"/>
      <w:lvlText w:val="o"/>
      <w:lvlJc w:val="left"/>
      <w:pPr>
        <w:ind w:left="5215" w:hanging="360"/>
      </w:pPr>
      <w:rPr>
        <w:rFonts w:ascii="Courier New" w:hAnsi="Courier New" w:cs="Courier New" w:hint="default"/>
      </w:rPr>
    </w:lvl>
    <w:lvl w:ilvl="5" w:tplc="04090005" w:tentative="1">
      <w:start w:val="1"/>
      <w:numFmt w:val="bullet"/>
      <w:lvlText w:val=""/>
      <w:lvlJc w:val="left"/>
      <w:pPr>
        <w:ind w:left="5935" w:hanging="360"/>
      </w:pPr>
      <w:rPr>
        <w:rFonts w:ascii="Wingdings" w:hAnsi="Wingdings" w:hint="default"/>
      </w:rPr>
    </w:lvl>
    <w:lvl w:ilvl="6" w:tplc="04090001" w:tentative="1">
      <w:start w:val="1"/>
      <w:numFmt w:val="bullet"/>
      <w:lvlText w:val=""/>
      <w:lvlJc w:val="left"/>
      <w:pPr>
        <w:ind w:left="6655" w:hanging="360"/>
      </w:pPr>
      <w:rPr>
        <w:rFonts w:ascii="Symbol" w:hAnsi="Symbol" w:hint="default"/>
      </w:rPr>
    </w:lvl>
    <w:lvl w:ilvl="7" w:tplc="04090003" w:tentative="1">
      <w:start w:val="1"/>
      <w:numFmt w:val="bullet"/>
      <w:lvlText w:val="o"/>
      <w:lvlJc w:val="left"/>
      <w:pPr>
        <w:ind w:left="7375" w:hanging="360"/>
      </w:pPr>
      <w:rPr>
        <w:rFonts w:ascii="Courier New" w:hAnsi="Courier New" w:cs="Courier New" w:hint="default"/>
      </w:rPr>
    </w:lvl>
    <w:lvl w:ilvl="8" w:tplc="04090005" w:tentative="1">
      <w:start w:val="1"/>
      <w:numFmt w:val="bullet"/>
      <w:lvlText w:val=""/>
      <w:lvlJc w:val="left"/>
      <w:pPr>
        <w:ind w:left="8095" w:hanging="360"/>
      </w:pPr>
      <w:rPr>
        <w:rFonts w:ascii="Wingdings" w:hAnsi="Wingdings" w:hint="default"/>
      </w:rPr>
    </w:lvl>
  </w:abstractNum>
  <w:abstractNum w:abstractNumId="25" w15:restartNumberingAfterBreak="0">
    <w:nsid w:val="458A7895"/>
    <w:multiLevelType w:val="multilevel"/>
    <w:tmpl w:val="73448F68"/>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6" w15:restartNumberingAfterBreak="0">
    <w:nsid w:val="49911093"/>
    <w:multiLevelType w:val="multilevel"/>
    <w:tmpl w:val="1FDE0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79034D"/>
    <w:multiLevelType w:val="multilevel"/>
    <w:tmpl w:val="AD3C4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FC86E38"/>
    <w:multiLevelType w:val="multilevel"/>
    <w:tmpl w:val="554CD2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1945460"/>
    <w:multiLevelType w:val="hybridMultilevel"/>
    <w:tmpl w:val="3BB88FC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B00EFF"/>
    <w:multiLevelType w:val="hybridMultilevel"/>
    <w:tmpl w:val="08AC0D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65F41C7"/>
    <w:multiLevelType w:val="hybridMultilevel"/>
    <w:tmpl w:val="53A2FC9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15:restartNumberingAfterBreak="0">
    <w:nsid w:val="570C26D1"/>
    <w:multiLevelType w:val="multilevel"/>
    <w:tmpl w:val="A2B6A9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870198D"/>
    <w:multiLevelType w:val="multilevel"/>
    <w:tmpl w:val="BFFE29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rPr>
        <w:rFont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975284B"/>
    <w:multiLevelType w:val="multilevel"/>
    <w:tmpl w:val="FE84AA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E511B70"/>
    <w:multiLevelType w:val="multilevel"/>
    <w:tmpl w:val="A65212F0"/>
    <w:lvl w:ilvl="0">
      <w:start w:val="1"/>
      <w:numFmt w:val="decimal"/>
      <w:lvlText w:val="%1."/>
      <w:lvlJc w:val="left"/>
      <w:pPr>
        <w:tabs>
          <w:tab w:val="num" w:pos="1440"/>
        </w:tabs>
        <w:ind w:left="1440" w:hanging="360"/>
      </w:pPr>
    </w:lvl>
    <w:lvl w:ilvl="1">
      <w:start w:val="1"/>
      <w:numFmt w:val="bullet"/>
      <w:lvlText w:val="o"/>
      <w:lvlJc w:val="left"/>
      <w:pPr>
        <w:tabs>
          <w:tab w:val="num" w:pos="2160"/>
        </w:tabs>
        <w:ind w:left="2160" w:hanging="360"/>
      </w:pPr>
      <w:rPr>
        <w:rFonts w:ascii="Courier New" w:hAnsi="Courier New" w:hint="default"/>
        <w:sz w:val="20"/>
      </w:r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36" w15:restartNumberingAfterBreak="0">
    <w:nsid w:val="64E56E81"/>
    <w:multiLevelType w:val="hybridMultilevel"/>
    <w:tmpl w:val="399C7FFE"/>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15:restartNumberingAfterBreak="0">
    <w:nsid w:val="6BE21CA5"/>
    <w:multiLevelType w:val="multilevel"/>
    <w:tmpl w:val="24088FD4"/>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38" w15:restartNumberingAfterBreak="0">
    <w:nsid w:val="6D7E3EBA"/>
    <w:multiLevelType w:val="multilevel"/>
    <w:tmpl w:val="411E6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532B6D"/>
    <w:multiLevelType w:val="multilevel"/>
    <w:tmpl w:val="468E3D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0C910AB"/>
    <w:multiLevelType w:val="multilevel"/>
    <w:tmpl w:val="34E0B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7F00B4A"/>
    <w:multiLevelType w:val="multilevel"/>
    <w:tmpl w:val="6A1A0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8B91F2E"/>
    <w:multiLevelType w:val="multilevel"/>
    <w:tmpl w:val="ABBA8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AED1B22"/>
    <w:multiLevelType w:val="multilevel"/>
    <w:tmpl w:val="3B0E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DB424FC"/>
    <w:multiLevelType w:val="multilevel"/>
    <w:tmpl w:val="35205AD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num w:numId="1">
    <w:abstractNumId w:val="10"/>
  </w:num>
  <w:num w:numId="2">
    <w:abstractNumId w:val="20"/>
  </w:num>
  <w:num w:numId="3">
    <w:abstractNumId w:val="40"/>
  </w:num>
  <w:num w:numId="4">
    <w:abstractNumId w:val="41"/>
  </w:num>
  <w:num w:numId="5">
    <w:abstractNumId w:val="18"/>
  </w:num>
  <w:num w:numId="6">
    <w:abstractNumId w:val="3"/>
  </w:num>
  <w:num w:numId="7">
    <w:abstractNumId w:val="38"/>
  </w:num>
  <w:num w:numId="8">
    <w:abstractNumId w:val="4"/>
  </w:num>
  <w:num w:numId="9">
    <w:abstractNumId w:val="5"/>
  </w:num>
  <w:num w:numId="10">
    <w:abstractNumId w:val="34"/>
  </w:num>
  <w:num w:numId="11">
    <w:abstractNumId w:val="28"/>
  </w:num>
  <w:num w:numId="12">
    <w:abstractNumId w:val="12"/>
  </w:num>
  <w:num w:numId="13">
    <w:abstractNumId w:val="14"/>
  </w:num>
  <w:num w:numId="14">
    <w:abstractNumId w:val="27"/>
  </w:num>
  <w:num w:numId="15">
    <w:abstractNumId w:val="42"/>
  </w:num>
  <w:num w:numId="16">
    <w:abstractNumId w:val="21"/>
  </w:num>
  <w:num w:numId="17">
    <w:abstractNumId w:val="0"/>
  </w:num>
  <w:num w:numId="18">
    <w:abstractNumId w:val="16"/>
  </w:num>
  <w:num w:numId="19">
    <w:abstractNumId w:val="2"/>
  </w:num>
  <w:num w:numId="20">
    <w:abstractNumId w:val="29"/>
  </w:num>
  <w:num w:numId="21">
    <w:abstractNumId w:val="15"/>
  </w:num>
  <w:num w:numId="22">
    <w:abstractNumId w:val="7"/>
  </w:num>
  <w:num w:numId="23">
    <w:abstractNumId w:val="13"/>
  </w:num>
  <w:num w:numId="24">
    <w:abstractNumId w:val="19"/>
  </w:num>
  <w:num w:numId="25">
    <w:abstractNumId w:val="43"/>
  </w:num>
  <w:num w:numId="26">
    <w:abstractNumId w:val="26"/>
  </w:num>
  <w:num w:numId="27">
    <w:abstractNumId w:val="8"/>
  </w:num>
  <w:num w:numId="28">
    <w:abstractNumId w:val="11"/>
  </w:num>
  <w:num w:numId="29">
    <w:abstractNumId w:val="6"/>
  </w:num>
  <w:num w:numId="30">
    <w:abstractNumId w:val="17"/>
  </w:num>
  <w:num w:numId="31">
    <w:abstractNumId w:val="1"/>
  </w:num>
  <w:num w:numId="32">
    <w:abstractNumId w:val="32"/>
  </w:num>
  <w:num w:numId="33">
    <w:abstractNumId w:val="44"/>
  </w:num>
  <w:num w:numId="34">
    <w:abstractNumId w:val="31"/>
  </w:num>
  <w:num w:numId="35">
    <w:abstractNumId w:val="33"/>
  </w:num>
  <w:num w:numId="36">
    <w:abstractNumId w:val="24"/>
  </w:num>
  <w:num w:numId="37">
    <w:abstractNumId w:val="36"/>
  </w:num>
  <w:num w:numId="38">
    <w:abstractNumId w:val="23"/>
  </w:num>
  <w:num w:numId="39">
    <w:abstractNumId w:val="22"/>
  </w:num>
  <w:num w:numId="40">
    <w:abstractNumId w:val="25"/>
  </w:num>
  <w:num w:numId="41">
    <w:abstractNumId w:val="35"/>
  </w:num>
  <w:num w:numId="42">
    <w:abstractNumId w:val="37"/>
  </w:num>
  <w:num w:numId="43">
    <w:abstractNumId w:val="39"/>
  </w:num>
  <w:num w:numId="44">
    <w:abstractNumId w:val="30"/>
  </w:num>
  <w:num w:numId="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2ptrtps0adr9vke22dn5tpwzrsfaxtxrfwet&quot;&gt;My EndNote Library-21&lt;record-ids&gt;&lt;item&gt;6&lt;/item&gt;&lt;item&gt;8&lt;/item&gt;&lt;item&gt;9&lt;/item&gt;&lt;item&gt;10&lt;/item&gt;&lt;item&gt;12&lt;/item&gt;&lt;item&gt;13&lt;/item&gt;&lt;item&gt;14&lt;/item&gt;&lt;item&gt;15&lt;/item&gt;&lt;item&gt;16&lt;/item&gt;&lt;item&gt;17&lt;/item&gt;&lt;item&gt;19&lt;/item&gt;&lt;item&gt;21&lt;/item&gt;&lt;item&gt;22&lt;/item&gt;&lt;item&gt;23&lt;/item&gt;&lt;item&gt;24&lt;/item&gt;&lt;item&gt;25&lt;/item&gt;&lt;item&gt;26&lt;/item&gt;&lt;item&gt;31&lt;/item&gt;&lt;item&gt;32&lt;/item&gt;&lt;item&gt;33&lt;/item&gt;&lt;item&gt;34&lt;/item&gt;&lt;item&gt;36&lt;/item&gt;&lt;item&gt;37&lt;/item&gt;&lt;item&gt;38&lt;/item&gt;&lt;item&gt;39&lt;/item&gt;&lt;item&gt;40&lt;/item&gt;&lt;item&gt;41&lt;/item&gt;&lt;item&gt;42&lt;/item&gt;&lt;item&gt;43&lt;/item&gt;&lt;item&gt;45&lt;/item&gt;&lt;item&gt;46&lt;/item&gt;&lt;item&gt;47&lt;/item&gt;&lt;item&gt;48&lt;/item&gt;&lt;item&gt;50&lt;/item&gt;&lt;item&gt;51&lt;/item&gt;&lt;item&gt;72&lt;/item&gt;&lt;item&gt;73&lt;/item&gt;&lt;item&gt;74&lt;/item&gt;&lt;item&gt;75&lt;/item&gt;&lt;item&gt;76&lt;/item&gt;&lt;item&gt;77&lt;/item&gt;&lt;item&gt;78&lt;/item&gt;&lt;item&gt;79&lt;/item&gt;&lt;item&gt;80&lt;/item&gt;&lt;item&gt;81&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item&gt;121&lt;/item&gt;&lt;item&gt;123&lt;/item&gt;&lt;item&gt;124&lt;/item&gt;&lt;item&gt;125&lt;/item&gt;&lt;item&gt;126&lt;/item&gt;&lt;item&gt;127&lt;/item&gt;&lt;item&gt;128&lt;/item&gt;&lt;item&gt;129&lt;/item&gt;&lt;item&gt;130&lt;/item&gt;&lt;item&gt;131&lt;/item&gt;&lt;item&gt;132&lt;/item&gt;&lt;item&gt;133&lt;/item&gt;&lt;item&gt;134&lt;/item&gt;&lt;item&gt;135&lt;/item&gt;&lt;item&gt;136&lt;/item&gt;&lt;item&gt;137&lt;/item&gt;&lt;item&gt;138&lt;/item&gt;&lt;item&gt;139&lt;/item&gt;&lt;item&gt;140&lt;/item&gt;&lt;item&gt;141&lt;/item&gt;&lt;item&gt;142&lt;/item&gt;&lt;item&gt;143&lt;/item&gt;&lt;item&gt;144&lt;/item&gt;&lt;item&gt;145&lt;/item&gt;&lt;item&gt;146&lt;/item&gt;&lt;item&gt;147&lt;/item&gt;&lt;item&gt;148&lt;/item&gt;&lt;item&gt;149&lt;/item&gt;&lt;item&gt;150&lt;/item&gt;&lt;item&gt;151&lt;/item&gt;&lt;item&gt;152&lt;/item&gt;&lt;item&gt;153&lt;/item&gt;&lt;item&gt;154&lt;/item&gt;&lt;item&gt;155&lt;/item&gt;&lt;item&gt;156&lt;/item&gt;&lt;item&gt;157&lt;/item&gt;&lt;item&gt;158&lt;/item&gt;&lt;item&gt;159&lt;/item&gt;&lt;item&gt;160&lt;/item&gt;&lt;item&gt;161&lt;/item&gt;&lt;item&gt;162&lt;/item&gt;&lt;item&gt;163&lt;/item&gt;&lt;item&gt;164&lt;/item&gt;&lt;item&gt;165&lt;/item&gt;&lt;item&gt;166&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90&lt;/item&gt;&lt;item&gt;191&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item&gt;222&lt;/item&gt;&lt;item&gt;223&lt;/item&gt;&lt;item&gt;224&lt;/item&gt;&lt;item&gt;225&lt;/item&gt;&lt;item&gt;226&lt;/item&gt;&lt;item&gt;227&lt;/item&gt;&lt;item&gt;228&lt;/item&gt;&lt;item&gt;230&lt;/item&gt;&lt;item&gt;232&lt;/item&gt;&lt;item&gt;236&lt;/item&gt;&lt;item&gt;237&lt;/item&gt;&lt;item&gt;243&lt;/item&gt;&lt;item&gt;246&lt;/item&gt;&lt;item&gt;247&lt;/item&gt;&lt;item&gt;248&lt;/item&gt;&lt;item&gt;249&lt;/item&gt;&lt;item&gt;250&lt;/item&gt;&lt;item&gt;251&lt;/item&gt;&lt;item&gt;252&lt;/item&gt;&lt;item&gt;253&lt;/item&gt;&lt;item&gt;254&lt;/item&gt;&lt;item&gt;255&lt;/item&gt;&lt;item&gt;256&lt;/item&gt;&lt;item&gt;257&lt;/item&gt;&lt;item&gt;258&lt;/item&gt;&lt;item&gt;259&lt;/item&gt;&lt;item&gt;260&lt;/item&gt;&lt;item&gt;261&lt;/item&gt;&lt;item&gt;262&lt;/item&gt;&lt;item&gt;263&lt;/item&gt;&lt;item&gt;264&lt;/item&gt;&lt;item&gt;265&lt;/item&gt;&lt;item&gt;266&lt;/item&gt;&lt;item&gt;267&lt;/item&gt;&lt;item&gt;268&lt;/item&gt;&lt;item&gt;269&lt;/item&gt;&lt;item&gt;270&lt;/item&gt;&lt;item&gt;272&lt;/item&gt;&lt;item&gt;273&lt;/item&gt;&lt;item&gt;274&lt;/item&gt;&lt;item&gt;275&lt;/item&gt;&lt;item&gt;276&lt;/item&gt;&lt;item&gt;277&lt;/item&gt;&lt;item&gt;278&lt;/item&gt;&lt;item&gt;279&lt;/item&gt;&lt;item&gt;280&lt;/item&gt;&lt;item&gt;281&lt;/item&gt;&lt;item&gt;282&lt;/item&gt;&lt;item&gt;283&lt;/item&gt;&lt;item&gt;284&lt;/item&gt;&lt;item&gt;285&lt;/item&gt;&lt;item&gt;286&lt;/item&gt;&lt;item&gt;287&lt;/item&gt;&lt;item&gt;289&lt;/item&gt;&lt;item&gt;290&lt;/item&gt;&lt;item&gt;291&lt;/item&gt;&lt;item&gt;292&lt;/item&gt;&lt;item&gt;293&lt;/item&gt;&lt;item&gt;294&lt;/item&gt;&lt;item&gt;297&lt;/item&gt;&lt;item&gt;299&lt;/item&gt;&lt;item&gt;300&lt;/item&gt;&lt;item&gt;301&lt;/item&gt;&lt;item&gt;302&lt;/item&gt;&lt;item&gt;303&lt;/item&gt;&lt;item&gt;304&lt;/item&gt;&lt;item&gt;305&lt;/item&gt;&lt;item&gt;306&lt;/item&gt;&lt;item&gt;307&lt;/item&gt;&lt;item&gt;308&lt;/item&gt;&lt;item&gt;309&lt;/item&gt;&lt;item&gt;310&lt;/item&gt;&lt;item&gt;311&lt;/item&gt;&lt;item&gt;313&lt;/item&gt;&lt;item&gt;314&lt;/item&gt;&lt;item&gt;315&lt;/item&gt;&lt;item&gt;316&lt;/item&gt;&lt;item&gt;317&lt;/item&gt;&lt;item&gt;318&lt;/item&gt;&lt;item&gt;319&lt;/item&gt;&lt;item&gt;320&lt;/item&gt;&lt;item&gt;321&lt;/item&gt;&lt;item&gt;322&lt;/item&gt;&lt;item&gt;323&lt;/item&gt;&lt;item&gt;324&lt;/item&gt;&lt;item&gt;325&lt;/item&gt;&lt;item&gt;326&lt;/item&gt;&lt;item&gt;327&lt;/item&gt;&lt;item&gt;328&lt;/item&gt;&lt;item&gt;329&lt;/item&gt;&lt;item&gt;330&lt;/item&gt;&lt;item&gt;331&lt;/item&gt;&lt;item&gt;332&lt;/item&gt;&lt;item&gt;333&lt;/item&gt;&lt;item&gt;335&lt;/item&gt;&lt;item&gt;336&lt;/item&gt;&lt;item&gt;337&lt;/item&gt;&lt;item&gt;338&lt;/item&gt;&lt;item&gt;339&lt;/item&gt;&lt;item&gt;340&lt;/item&gt;&lt;item&gt;341&lt;/item&gt;&lt;item&gt;342&lt;/item&gt;&lt;item&gt;343&lt;/item&gt;&lt;item&gt;344&lt;/item&gt;&lt;item&gt;345&lt;/item&gt;&lt;item&gt;346&lt;/item&gt;&lt;item&gt;347&lt;/item&gt;&lt;item&gt;348&lt;/item&gt;&lt;item&gt;349&lt;/item&gt;&lt;item&gt;352&lt;/item&gt;&lt;item&gt;353&lt;/item&gt;&lt;item&gt;354&lt;/item&gt;&lt;item&gt;358&lt;/item&gt;&lt;item&gt;360&lt;/item&gt;&lt;item&gt;361&lt;/item&gt;&lt;item&gt;363&lt;/item&gt;&lt;item&gt;365&lt;/item&gt;&lt;item&gt;366&lt;/item&gt;&lt;item&gt;367&lt;/item&gt;&lt;item&gt;368&lt;/item&gt;&lt;item&gt;369&lt;/item&gt;&lt;item&gt;370&lt;/item&gt;&lt;item&gt;371&lt;/item&gt;&lt;item&gt;372&lt;/item&gt;&lt;item&gt;373&lt;/item&gt;&lt;item&gt;374&lt;/item&gt;&lt;item&gt;375&lt;/item&gt;&lt;item&gt;376&lt;/item&gt;&lt;item&gt;377&lt;/item&gt;&lt;item&gt;378&lt;/item&gt;&lt;item&gt;379&lt;/item&gt;&lt;item&gt;380&lt;/item&gt;&lt;item&gt;381&lt;/item&gt;&lt;item&gt;382&lt;/item&gt;&lt;item&gt;383&lt;/item&gt;&lt;item&gt;384&lt;/item&gt;&lt;item&gt;385&lt;/item&gt;&lt;item&gt;386&lt;/item&gt;&lt;item&gt;388&lt;/item&gt;&lt;/record-ids&gt;&lt;/item&gt;&lt;/Libraries&gt;"/>
    <w:docVar w:name="EN.UseJSCitationFormat" w:val="False"/>
  </w:docVars>
  <w:rsids>
    <w:rsidRoot w:val="00DF68EE"/>
    <w:rsid w:val="00000C98"/>
    <w:rsid w:val="0000140E"/>
    <w:rsid w:val="00002B54"/>
    <w:rsid w:val="000044C3"/>
    <w:rsid w:val="00004D33"/>
    <w:rsid w:val="000078B3"/>
    <w:rsid w:val="000102D9"/>
    <w:rsid w:val="000118FA"/>
    <w:rsid w:val="00011ECC"/>
    <w:rsid w:val="00012CA4"/>
    <w:rsid w:val="00013488"/>
    <w:rsid w:val="0001437D"/>
    <w:rsid w:val="00014391"/>
    <w:rsid w:val="00015FE6"/>
    <w:rsid w:val="0002082B"/>
    <w:rsid w:val="0002148B"/>
    <w:rsid w:val="000229CB"/>
    <w:rsid w:val="00023D52"/>
    <w:rsid w:val="00026E21"/>
    <w:rsid w:val="00027670"/>
    <w:rsid w:val="000314E5"/>
    <w:rsid w:val="00035E41"/>
    <w:rsid w:val="00036202"/>
    <w:rsid w:val="00036A85"/>
    <w:rsid w:val="000373DA"/>
    <w:rsid w:val="0004045A"/>
    <w:rsid w:val="00040526"/>
    <w:rsid w:val="000412D3"/>
    <w:rsid w:val="00043C85"/>
    <w:rsid w:val="0004417C"/>
    <w:rsid w:val="00044810"/>
    <w:rsid w:val="00044D50"/>
    <w:rsid w:val="0004547A"/>
    <w:rsid w:val="00047FE3"/>
    <w:rsid w:val="00054C11"/>
    <w:rsid w:val="00055087"/>
    <w:rsid w:val="000653EF"/>
    <w:rsid w:val="000654B1"/>
    <w:rsid w:val="00065BC1"/>
    <w:rsid w:val="000666CC"/>
    <w:rsid w:val="000736D2"/>
    <w:rsid w:val="00075DEA"/>
    <w:rsid w:val="00076D66"/>
    <w:rsid w:val="00077064"/>
    <w:rsid w:val="00080B2C"/>
    <w:rsid w:val="000811C8"/>
    <w:rsid w:val="0008214E"/>
    <w:rsid w:val="000821E0"/>
    <w:rsid w:val="00091099"/>
    <w:rsid w:val="00093B8D"/>
    <w:rsid w:val="00094C0E"/>
    <w:rsid w:val="00094E20"/>
    <w:rsid w:val="000955AD"/>
    <w:rsid w:val="0009724D"/>
    <w:rsid w:val="000A30A6"/>
    <w:rsid w:val="000A359E"/>
    <w:rsid w:val="000A35E3"/>
    <w:rsid w:val="000B11F1"/>
    <w:rsid w:val="000B1306"/>
    <w:rsid w:val="000B2F4A"/>
    <w:rsid w:val="000B36F1"/>
    <w:rsid w:val="000B382A"/>
    <w:rsid w:val="000B4D56"/>
    <w:rsid w:val="000B7928"/>
    <w:rsid w:val="000C10C8"/>
    <w:rsid w:val="000C3DD6"/>
    <w:rsid w:val="000C4AF5"/>
    <w:rsid w:val="000C526F"/>
    <w:rsid w:val="000C54D6"/>
    <w:rsid w:val="000C58D4"/>
    <w:rsid w:val="000C5944"/>
    <w:rsid w:val="000D560E"/>
    <w:rsid w:val="000E0E40"/>
    <w:rsid w:val="000E2557"/>
    <w:rsid w:val="000E4C9D"/>
    <w:rsid w:val="000E57E8"/>
    <w:rsid w:val="000F002B"/>
    <w:rsid w:val="000F0E93"/>
    <w:rsid w:val="000F1B24"/>
    <w:rsid w:val="000F24F9"/>
    <w:rsid w:val="000F3A88"/>
    <w:rsid w:val="000F62ED"/>
    <w:rsid w:val="000F73E2"/>
    <w:rsid w:val="000F7645"/>
    <w:rsid w:val="00101019"/>
    <w:rsid w:val="0010329C"/>
    <w:rsid w:val="00104FF7"/>
    <w:rsid w:val="001060E8"/>
    <w:rsid w:val="00106B89"/>
    <w:rsid w:val="00107F03"/>
    <w:rsid w:val="00112259"/>
    <w:rsid w:val="00117426"/>
    <w:rsid w:val="0012035E"/>
    <w:rsid w:val="00123B90"/>
    <w:rsid w:val="001248E3"/>
    <w:rsid w:val="00126729"/>
    <w:rsid w:val="001335EA"/>
    <w:rsid w:val="00133703"/>
    <w:rsid w:val="00133732"/>
    <w:rsid w:val="001368E9"/>
    <w:rsid w:val="0014193D"/>
    <w:rsid w:val="001435A6"/>
    <w:rsid w:val="00144BF2"/>
    <w:rsid w:val="00144EF5"/>
    <w:rsid w:val="00153AC9"/>
    <w:rsid w:val="00164EC7"/>
    <w:rsid w:val="0016601E"/>
    <w:rsid w:val="001665B0"/>
    <w:rsid w:val="00166BC4"/>
    <w:rsid w:val="00167EAF"/>
    <w:rsid w:val="001718B7"/>
    <w:rsid w:val="00180481"/>
    <w:rsid w:val="00183815"/>
    <w:rsid w:val="00184D31"/>
    <w:rsid w:val="00193FD5"/>
    <w:rsid w:val="00194826"/>
    <w:rsid w:val="001A348B"/>
    <w:rsid w:val="001A5AF7"/>
    <w:rsid w:val="001A68BE"/>
    <w:rsid w:val="001A6B36"/>
    <w:rsid w:val="001B174E"/>
    <w:rsid w:val="001B5ECE"/>
    <w:rsid w:val="001C3822"/>
    <w:rsid w:val="001C396E"/>
    <w:rsid w:val="001D2DEC"/>
    <w:rsid w:val="001D5906"/>
    <w:rsid w:val="001D764A"/>
    <w:rsid w:val="001E0755"/>
    <w:rsid w:val="001E07AD"/>
    <w:rsid w:val="001E099D"/>
    <w:rsid w:val="001E1651"/>
    <w:rsid w:val="001E372F"/>
    <w:rsid w:val="001E6718"/>
    <w:rsid w:val="001E6FB7"/>
    <w:rsid w:val="001F174C"/>
    <w:rsid w:val="001F409A"/>
    <w:rsid w:val="00201837"/>
    <w:rsid w:val="002059EF"/>
    <w:rsid w:val="00211C43"/>
    <w:rsid w:val="0021229C"/>
    <w:rsid w:val="00213A65"/>
    <w:rsid w:val="00220F09"/>
    <w:rsid w:val="00221EC5"/>
    <w:rsid w:val="0022272D"/>
    <w:rsid w:val="002230C3"/>
    <w:rsid w:val="0022359A"/>
    <w:rsid w:val="00224E24"/>
    <w:rsid w:val="00225047"/>
    <w:rsid w:val="00232856"/>
    <w:rsid w:val="0023309F"/>
    <w:rsid w:val="002361C5"/>
    <w:rsid w:val="00241658"/>
    <w:rsid w:val="00244365"/>
    <w:rsid w:val="002452DE"/>
    <w:rsid w:val="00246B4A"/>
    <w:rsid w:val="00246B6C"/>
    <w:rsid w:val="00250477"/>
    <w:rsid w:val="0025074B"/>
    <w:rsid w:val="00251EE2"/>
    <w:rsid w:val="0025300C"/>
    <w:rsid w:val="00254E72"/>
    <w:rsid w:val="00256DCF"/>
    <w:rsid w:val="0025709E"/>
    <w:rsid w:val="00257B00"/>
    <w:rsid w:val="00261EAC"/>
    <w:rsid w:val="00262B91"/>
    <w:rsid w:val="00263D31"/>
    <w:rsid w:val="00265749"/>
    <w:rsid w:val="002668B8"/>
    <w:rsid w:val="0026725C"/>
    <w:rsid w:val="0027049C"/>
    <w:rsid w:val="0027156E"/>
    <w:rsid w:val="00272232"/>
    <w:rsid w:val="002764E2"/>
    <w:rsid w:val="00276705"/>
    <w:rsid w:val="00280C0D"/>
    <w:rsid w:val="0028388B"/>
    <w:rsid w:val="00285E79"/>
    <w:rsid w:val="002910A2"/>
    <w:rsid w:val="00294F24"/>
    <w:rsid w:val="0029696D"/>
    <w:rsid w:val="002A3C06"/>
    <w:rsid w:val="002A5736"/>
    <w:rsid w:val="002B2799"/>
    <w:rsid w:val="002B27B4"/>
    <w:rsid w:val="002B48BD"/>
    <w:rsid w:val="002B48BE"/>
    <w:rsid w:val="002B5B5C"/>
    <w:rsid w:val="002B7291"/>
    <w:rsid w:val="002C03E9"/>
    <w:rsid w:val="002C1FEC"/>
    <w:rsid w:val="002C44D4"/>
    <w:rsid w:val="002D072E"/>
    <w:rsid w:val="002D4100"/>
    <w:rsid w:val="002D4242"/>
    <w:rsid w:val="002D5968"/>
    <w:rsid w:val="002D62DA"/>
    <w:rsid w:val="002E04A2"/>
    <w:rsid w:val="002E16C9"/>
    <w:rsid w:val="002E1CC2"/>
    <w:rsid w:val="002E1E82"/>
    <w:rsid w:val="002E2990"/>
    <w:rsid w:val="002E2BEC"/>
    <w:rsid w:val="002E2F4A"/>
    <w:rsid w:val="002E73EC"/>
    <w:rsid w:val="002F25F0"/>
    <w:rsid w:val="002F7CEF"/>
    <w:rsid w:val="0030008F"/>
    <w:rsid w:val="00303230"/>
    <w:rsid w:val="003046A5"/>
    <w:rsid w:val="0030694E"/>
    <w:rsid w:val="00307781"/>
    <w:rsid w:val="00310151"/>
    <w:rsid w:val="00313C1D"/>
    <w:rsid w:val="0031555F"/>
    <w:rsid w:val="00315B06"/>
    <w:rsid w:val="003167B3"/>
    <w:rsid w:val="00322A3A"/>
    <w:rsid w:val="00327217"/>
    <w:rsid w:val="00331D5C"/>
    <w:rsid w:val="00334187"/>
    <w:rsid w:val="003343C2"/>
    <w:rsid w:val="00334EB0"/>
    <w:rsid w:val="00334F0A"/>
    <w:rsid w:val="0034187A"/>
    <w:rsid w:val="0034206C"/>
    <w:rsid w:val="00346F4F"/>
    <w:rsid w:val="00351418"/>
    <w:rsid w:val="003565B8"/>
    <w:rsid w:val="00357BD8"/>
    <w:rsid w:val="00364F3E"/>
    <w:rsid w:val="00365059"/>
    <w:rsid w:val="003664E5"/>
    <w:rsid w:val="003715CF"/>
    <w:rsid w:val="00371DAA"/>
    <w:rsid w:val="0037252E"/>
    <w:rsid w:val="00372BF5"/>
    <w:rsid w:val="00374333"/>
    <w:rsid w:val="003754F4"/>
    <w:rsid w:val="00375643"/>
    <w:rsid w:val="00375D30"/>
    <w:rsid w:val="00376605"/>
    <w:rsid w:val="00383B15"/>
    <w:rsid w:val="00385092"/>
    <w:rsid w:val="00386777"/>
    <w:rsid w:val="00386D60"/>
    <w:rsid w:val="00393714"/>
    <w:rsid w:val="00393A98"/>
    <w:rsid w:val="00396698"/>
    <w:rsid w:val="003A25BA"/>
    <w:rsid w:val="003A3158"/>
    <w:rsid w:val="003A40D9"/>
    <w:rsid w:val="003A416F"/>
    <w:rsid w:val="003A6EF8"/>
    <w:rsid w:val="003B2D7B"/>
    <w:rsid w:val="003B38E9"/>
    <w:rsid w:val="003B412D"/>
    <w:rsid w:val="003B4570"/>
    <w:rsid w:val="003B4C48"/>
    <w:rsid w:val="003C3477"/>
    <w:rsid w:val="003C546A"/>
    <w:rsid w:val="003D1357"/>
    <w:rsid w:val="003D2877"/>
    <w:rsid w:val="003D2A13"/>
    <w:rsid w:val="003D4776"/>
    <w:rsid w:val="003D5113"/>
    <w:rsid w:val="003D5CB0"/>
    <w:rsid w:val="003D67AF"/>
    <w:rsid w:val="003E0ACE"/>
    <w:rsid w:val="003E3087"/>
    <w:rsid w:val="003E3819"/>
    <w:rsid w:val="003E6C20"/>
    <w:rsid w:val="003F117C"/>
    <w:rsid w:val="003F180E"/>
    <w:rsid w:val="003F43FB"/>
    <w:rsid w:val="003F4E1E"/>
    <w:rsid w:val="003F5BBC"/>
    <w:rsid w:val="0040047F"/>
    <w:rsid w:val="0040230E"/>
    <w:rsid w:val="0040242F"/>
    <w:rsid w:val="00410287"/>
    <w:rsid w:val="00411234"/>
    <w:rsid w:val="00412F60"/>
    <w:rsid w:val="00414E0E"/>
    <w:rsid w:val="00415218"/>
    <w:rsid w:val="00415B8C"/>
    <w:rsid w:val="00422602"/>
    <w:rsid w:val="00423549"/>
    <w:rsid w:val="00423A4D"/>
    <w:rsid w:val="00425BF7"/>
    <w:rsid w:val="00426B36"/>
    <w:rsid w:val="00427588"/>
    <w:rsid w:val="00430541"/>
    <w:rsid w:val="00431556"/>
    <w:rsid w:val="00431944"/>
    <w:rsid w:val="00431D88"/>
    <w:rsid w:val="004326B5"/>
    <w:rsid w:val="00432FF7"/>
    <w:rsid w:val="0043305A"/>
    <w:rsid w:val="00434B06"/>
    <w:rsid w:val="00437BBC"/>
    <w:rsid w:val="004427F7"/>
    <w:rsid w:val="00447E49"/>
    <w:rsid w:val="00450153"/>
    <w:rsid w:val="00450C17"/>
    <w:rsid w:val="0045260B"/>
    <w:rsid w:val="004549DD"/>
    <w:rsid w:val="00454F17"/>
    <w:rsid w:val="00456B86"/>
    <w:rsid w:val="004572D3"/>
    <w:rsid w:val="004626D0"/>
    <w:rsid w:val="00463DE0"/>
    <w:rsid w:val="004659A1"/>
    <w:rsid w:val="00466E1D"/>
    <w:rsid w:val="00467180"/>
    <w:rsid w:val="00467D00"/>
    <w:rsid w:val="0047611D"/>
    <w:rsid w:val="0048111D"/>
    <w:rsid w:val="00481F03"/>
    <w:rsid w:val="004907C1"/>
    <w:rsid w:val="00491D8D"/>
    <w:rsid w:val="00493ECA"/>
    <w:rsid w:val="00496BDB"/>
    <w:rsid w:val="00496CF1"/>
    <w:rsid w:val="00496D6D"/>
    <w:rsid w:val="004A200E"/>
    <w:rsid w:val="004B2AE4"/>
    <w:rsid w:val="004B46EE"/>
    <w:rsid w:val="004B484A"/>
    <w:rsid w:val="004B5E72"/>
    <w:rsid w:val="004B7691"/>
    <w:rsid w:val="004C10BD"/>
    <w:rsid w:val="004C205D"/>
    <w:rsid w:val="004C250C"/>
    <w:rsid w:val="004C3021"/>
    <w:rsid w:val="004C3033"/>
    <w:rsid w:val="004C42CE"/>
    <w:rsid w:val="004C7B76"/>
    <w:rsid w:val="004C7CAE"/>
    <w:rsid w:val="004D1860"/>
    <w:rsid w:val="004D425B"/>
    <w:rsid w:val="004D5788"/>
    <w:rsid w:val="004D7A04"/>
    <w:rsid w:val="004E0424"/>
    <w:rsid w:val="004E07D0"/>
    <w:rsid w:val="004E22A4"/>
    <w:rsid w:val="004E3095"/>
    <w:rsid w:val="004E689E"/>
    <w:rsid w:val="004F589B"/>
    <w:rsid w:val="004F7AD4"/>
    <w:rsid w:val="005009FB"/>
    <w:rsid w:val="00500BE1"/>
    <w:rsid w:val="00505832"/>
    <w:rsid w:val="005074C0"/>
    <w:rsid w:val="0051141D"/>
    <w:rsid w:val="005114DA"/>
    <w:rsid w:val="00514A2F"/>
    <w:rsid w:val="00526E6B"/>
    <w:rsid w:val="005307D4"/>
    <w:rsid w:val="00533214"/>
    <w:rsid w:val="005347C6"/>
    <w:rsid w:val="005361DD"/>
    <w:rsid w:val="00537A43"/>
    <w:rsid w:val="00540530"/>
    <w:rsid w:val="00540DED"/>
    <w:rsid w:val="00543A55"/>
    <w:rsid w:val="005453F2"/>
    <w:rsid w:val="005461D3"/>
    <w:rsid w:val="00546C99"/>
    <w:rsid w:val="005562FC"/>
    <w:rsid w:val="00556A76"/>
    <w:rsid w:val="00560487"/>
    <w:rsid w:val="00560C6B"/>
    <w:rsid w:val="005613A3"/>
    <w:rsid w:val="005618C4"/>
    <w:rsid w:val="00564FAF"/>
    <w:rsid w:val="00567E2A"/>
    <w:rsid w:val="005705CC"/>
    <w:rsid w:val="005738C8"/>
    <w:rsid w:val="00576D38"/>
    <w:rsid w:val="0058290E"/>
    <w:rsid w:val="00583B8B"/>
    <w:rsid w:val="00585216"/>
    <w:rsid w:val="00585C36"/>
    <w:rsid w:val="00586128"/>
    <w:rsid w:val="00586AE8"/>
    <w:rsid w:val="00586F74"/>
    <w:rsid w:val="00591EC2"/>
    <w:rsid w:val="005922A5"/>
    <w:rsid w:val="00594DC1"/>
    <w:rsid w:val="00596E69"/>
    <w:rsid w:val="005A1A74"/>
    <w:rsid w:val="005A1C8E"/>
    <w:rsid w:val="005A4326"/>
    <w:rsid w:val="005A5725"/>
    <w:rsid w:val="005A6A0C"/>
    <w:rsid w:val="005A715E"/>
    <w:rsid w:val="005B4436"/>
    <w:rsid w:val="005B4E03"/>
    <w:rsid w:val="005B79B8"/>
    <w:rsid w:val="005C23E5"/>
    <w:rsid w:val="005C27DA"/>
    <w:rsid w:val="005C47EC"/>
    <w:rsid w:val="005C5D2A"/>
    <w:rsid w:val="005C648D"/>
    <w:rsid w:val="005C68A0"/>
    <w:rsid w:val="005D4934"/>
    <w:rsid w:val="005D5FCF"/>
    <w:rsid w:val="005E4B56"/>
    <w:rsid w:val="005E6AC8"/>
    <w:rsid w:val="005F1745"/>
    <w:rsid w:val="005F5A10"/>
    <w:rsid w:val="00600873"/>
    <w:rsid w:val="006011D9"/>
    <w:rsid w:val="00603DA1"/>
    <w:rsid w:val="0060492C"/>
    <w:rsid w:val="0061070A"/>
    <w:rsid w:val="006166D4"/>
    <w:rsid w:val="00616F35"/>
    <w:rsid w:val="006204CD"/>
    <w:rsid w:val="00621DAE"/>
    <w:rsid w:val="00634736"/>
    <w:rsid w:val="00634A1A"/>
    <w:rsid w:val="00635552"/>
    <w:rsid w:val="00635BEB"/>
    <w:rsid w:val="00637AF0"/>
    <w:rsid w:val="0064029B"/>
    <w:rsid w:val="00642476"/>
    <w:rsid w:val="00643D62"/>
    <w:rsid w:val="00643EE9"/>
    <w:rsid w:val="00644776"/>
    <w:rsid w:val="00646E20"/>
    <w:rsid w:val="006476A3"/>
    <w:rsid w:val="00647DCD"/>
    <w:rsid w:val="006507BF"/>
    <w:rsid w:val="00650FBE"/>
    <w:rsid w:val="00651768"/>
    <w:rsid w:val="00651821"/>
    <w:rsid w:val="006524C1"/>
    <w:rsid w:val="006616E3"/>
    <w:rsid w:val="00674A18"/>
    <w:rsid w:val="00675005"/>
    <w:rsid w:val="00676DF9"/>
    <w:rsid w:val="00682E1A"/>
    <w:rsid w:val="006838B7"/>
    <w:rsid w:val="00685857"/>
    <w:rsid w:val="00686D00"/>
    <w:rsid w:val="0069045E"/>
    <w:rsid w:val="0069097A"/>
    <w:rsid w:val="006A280D"/>
    <w:rsid w:val="006A5E0C"/>
    <w:rsid w:val="006A6D75"/>
    <w:rsid w:val="006A7A91"/>
    <w:rsid w:val="006B161E"/>
    <w:rsid w:val="006B2458"/>
    <w:rsid w:val="006B3DA9"/>
    <w:rsid w:val="006B3E92"/>
    <w:rsid w:val="006B41BA"/>
    <w:rsid w:val="006B4DA3"/>
    <w:rsid w:val="006B5736"/>
    <w:rsid w:val="006B74E8"/>
    <w:rsid w:val="006C030D"/>
    <w:rsid w:val="006C0EBD"/>
    <w:rsid w:val="006C1439"/>
    <w:rsid w:val="006C45E0"/>
    <w:rsid w:val="006C5626"/>
    <w:rsid w:val="006C712C"/>
    <w:rsid w:val="006C7299"/>
    <w:rsid w:val="006D2D12"/>
    <w:rsid w:val="006D42FE"/>
    <w:rsid w:val="006D4BD7"/>
    <w:rsid w:val="006D61C6"/>
    <w:rsid w:val="006D6A52"/>
    <w:rsid w:val="006D745E"/>
    <w:rsid w:val="006D7C76"/>
    <w:rsid w:val="006D7EB8"/>
    <w:rsid w:val="006E0D90"/>
    <w:rsid w:val="006E4948"/>
    <w:rsid w:val="006E58B0"/>
    <w:rsid w:val="006E6C6A"/>
    <w:rsid w:val="006E7D69"/>
    <w:rsid w:val="006F0B2A"/>
    <w:rsid w:val="006F0B50"/>
    <w:rsid w:val="006F6800"/>
    <w:rsid w:val="006F79C9"/>
    <w:rsid w:val="007023DD"/>
    <w:rsid w:val="00705584"/>
    <w:rsid w:val="0070566B"/>
    <w:rsid w:val="00706140"/>
    <w:rsid w:val="007062B8"/>
    <w:rsid w:val="00706CA7"/>
    <w:rsid w:val="007073A7"/>
    <w:rsid w:val="00712BA0"/>
    <w:rsid w:val="007131D7"/>
    <w:rsid w:val="00720786"/>
    <w:rsid w:val="00721DE5"/>
    <w:rsid w:val="007229F1"/>
    <w:rsid w:val="00724475"/>
    <w:rsid w:val="0073059F"/>
    <w:rsid w:val="007323CF"/>
    <w:rsid w:val="00734545"/>
    <w:rsid w:val="00735E0F"/>
    <w:rsid w:val="007366BD"/>
    <w:rsid w:val="0073685E"/>
    <w:rsid w:val="00741FAF"/>
    <w:rsid w:val="0075317C"/>
    <w:rsid w:val="00754259"/>
    <w:rsid w:val="00754DA3"/>
    <w:rsid w:val="00766371"/>
    <w:rsid w:val="00770CE8"/>
    <w:rsid w:val="0077426C"/>
    <w:rsid w:val="00774E02"/>
    <w:rsid w:val="00776E65"/>
    <w:rsid w:val="00777390"/>
    <w:rsid w:val="00777A50"/>
    <w:rsid w:val="007839F1"/>
    <w:rsid w:val="007861B2"/>
    <w:rsid w:val="00786AA5"/>
    <w:rsid w:val="007875D4"/>
    <w:rsid w:val="007910BE"/>
    <w:rsid w:val="00793C2B"/>
    <w:rsid w:val="00793CCE"/>
    <w:rsid w:val="00795BDF"/>
    <w:rsid w:val="00796DDB"/>
    <w:rsid w:val="007A0571"/>
    <w:rsid w:val="007A0722"/>
    <w:rsid w:val="007A0D0C"/>
    <w:rsid w:val="007A2682"/>
    <w:rsid w:val="007A3F5D"/>
    <w:rsid w:val="007A68B5"/>
    <w:rsid w:val="007B2650"/>
    <w:rsid w:val="007B3CB6"/>
    <w:rsid w:val="007B584B"/>
    <w:rsid w:val="007B5A89"/>
    <w:rsid w:val="007C2132"/>
    <w:rsid w:val="007C62B7"/>
    <w:rsid w:val="007D05CD"/>
    <w:rsid w:val="007D18C5"/>
    <w:rsid w:val="007D294B"/>
    <w:rsid w:val="007D567E"/>
    <w:rsid w:val="007E5EBC"/>
    <w:rsid w:val="007E6D48"/>
    <w:rsid w:val="007F18A0"/>
    <w:rsid w:val="007F1E7A"/>
    <w:rsid w:val="007F47C7"/>
    <w:rsid w:val="0080097B"/>
    <w:rsid w:val="00801F1E"/>
    <w:rsid w:val="00803955"/>
    <w:rsid w:val="00804435"/>
    <w:rsid w:val="00806264"/>
    <w:rsid w:val="008113E4"/>
    <w:rsid w:val="0081198A"/>
    <w:rsid w:val="008123D5"/>
    <w:rsid w:val="00812694"/>
    <w:rsid w:val="00812EBF"/>
    <w:rsid w:val="00814EA6"/>
    <w:rsid w:val="00814EAC"/>
    <w:rsid w:val="00817CA4"/>
    <w:rsid w:val="00817DF6"/>
    <w:rsid w:val="00820E10"/>
    <w:rsid w:val="00823C53"/>
    <w:rsid w:val="008243DA"/>
    <w:rsid w:val="00825C9E"/>
    <w:rsid w:val="008260EA"/>
    <w:rsid w:val="0083197B"/>
    <w:rsid w:val="00831DA0"/>
    <w:rsid w:val="008324B0"/>
    <w:rsid w:val="00834761"/>
    <w:rsid w:val="008349EF"/>
    <w:rsid w:val="008374B7"/>
    <w:rsid w:val="00837BE1"/>
    <w:rsid w:val="0084323D"/>
    <w:rsid w:val="0084379D"/>
    <w:rsid w:val="00844211"/>
    <w:rsid w:val="008444D7"/>
    <w:rsid w:val="00846444"/>
    <w:rsid w:val="00846B24"/>
    <w:rsid w:val="00846F2F"/>
    <w:rsid w:val="00850F9B"/>
    <w:rsid w:val="008516A3"/>
    <w:rsid w:val="00857987"/>
    <w:rsid w:val="00861B7C"/>
    <w:rsid w:val="00866AA7"/>
    <w:rsid w:val="008707A5"/>
    <w:rsid w:val="008709ED"/>
    <w:rsid w:val="00872E55"/>
    <w:rsid w:val="008750B2"/>
    <w:rsid w:val="00876EB0"/>
    <w:rsid w:val="00880B53"/>
    <w:rsid w:val="00880DCD"/>
    <w:rsid w:val="008832E9"/>
    <w:rsid w:val="00887FA1"/>
    <w:rsid w:val="00890742"/>
    <w:rsid w:val="00892928"/>
    <w:rsid w:val="008941C2"/>
    <w:rsid w:val="00897585"/>
    <w:rsid w:val="008A1E1D"/>
    <w:rsid w:val="008B48C4"/>
    <w:rsid w:val="008B540F"/>
    <w:rsid w:val="008C08C0"/>
    <w:rsid w:val="008C28D1"/>
    <w:rsid w:val="008C3930"/>
    <w:rsid w:val="008C5503"/>
    <w:rsid w:val="008C6ED2"/>
    <w:rsid w:val="008D0152"/>
    <w:rsid w:val="008D41C3"/>
    <w:rsid w:val="008D46A7"/>
    <w:rsid w:val="008D5F29"/>
    <w:rsid w:val="008D6F55"/>
    <w:rsid w:val="008E16E7"/>
    <w:rsid w:val="008E26CD"/>
    <w:rsid w:val="008E2A33"/>
    <w:rsid w:val="008E4961"/>
    <w:rsid w:val="008E5BDD"/>
    <w:rsid w:val="008E643D"/>
    <w:rsid w:val="008F0B66"/>
    <w:rsid w:val="008F0C5E"/>
    <w:rsid w:val="008F16B1"/>
    <w:rsid w:val="008F1D5F"/>
    <w:rsid w:val="008F3ACB"/>
    <w:rsid w:val="008F65DA"/>
    <w:rsid w:val="008F7530"/>
    <w:rsid w:val="00904418"/>
    <w:rsid w:val="0090442B"/>
    <w:rsid w:val="0090743C"/>
    <w:rsid w:val="00911302"/>
    <w:rsid w:val="00911FF8"/>
    <w:rsid w:val="0091221E"/>
    <w:rsid w:val="00912EDC"/>
    <w:rsid w:val="0091324B"/>
    <w:rsid w:val="00914260"/>
    <w:rsid w:val="0091514B"/>
    <w:rsid w:val="00915596"/>
    <w:rsid w:val="00917B8D"/>
    <w:rsid w:val="0092154A"/>
    <w:rsid w:val="00922229"/>
    <w:rsid w:val="00923424"/>
    <w:rsid w:val="009247D4"/>
    <w:rsid w:val="00924EB5"/>
    <w:rsid w:val="0092552C"/>
    <w:rsid w:val="00925DC6"/>
    <w:rsid w:val="00926DCD"/>
    <w:rsid w:val="009271E1"/>
    <w:rsid w:val="0093003B"/>
    <w:rsid w:val="00930DED"/>
    <w:rsid w:val="009312F0"/>
    <w:rsid w:val="009323CC"/>
    <w:rsid w:val="0093623E"/>
    <w:rsid w:val="0093747A"/>
    <w:rsid w:val="00941DE0"/>
    <w:rsid w:val="00942402"/>
    <w:rsid w:val="009424FA"/>
    <w:rsid w:val="009448F2"/>
    <w:rsid w:val="009476C9"/>
    <w:rsid w:val="00947D5F"/>
    <w:rsid w:val="00950589"/>
    <w:rsid w:val="0095084D"/>
    <w:rsid w:val="00952CC1"/>
    <w:rsid w:val="00954158"/>
    <w:rsid w:val="00957915"/>
    <w:rsid w:val="0096306E"/>
    <w:rsid w:val="00963158"/>
    <w:rsid w:val="00963BC1"/>
    <w:rsid w:val="00964F91"/>
    <w:rsid w:val="00965EE1"/>
    <w:rsid w:val="00966B24"/>
    <w:rsid w:val="00970483"/>
    <w:rsid w:val="009710D9"/>
    <w:rsid w:val="00975B25"/>
    <w:rsid w:val="009770D6"/>
    <w:rsid w:val="009809DE"/>
    <w:rsid w:val="00983F6A"/>
    <w:rsid w:val="00984E32"/>
    <w:rsid w:val="009856DC"/>
    <w:rsid w:val="009867DA"/>
    <w:rsid w:val="00990242"/>
    <w:rsid w:val="00993BB6"/>
    <w:rsid w:val="009A05C4"/>
    <w:rsid w:val="009A108F"/>
    <w:rsid w:val="009A7241"/>
    <w:rsid w:val="009A79FB"/>
    <w:rsid w:val="009B021E"/>
    <w:rsid w:val="009B198D"/>
    <w:rsid w:val="009B213D"/>
    <w:rsid w:val="009B363F"/>
    <w:rsid w:val="009B3915"/>
    <w:rsid w:val="009B40BA"/>
    <w:rsid w:val="009C10F9"/>
    <w:rsid w:val="009C2111"/>
    <w:rsid w:val="009C79E0"/>
    <w:rsid w:val="009D05F2"/>
    <w:rsid w:val="009D0D00"/>
    <w:rsid w:val="009D2004"/>
    <w:rsid w:val="009D287A"/>
    <w:rsid w:val="009D37CD"/>
    <w:rsid w:val="009D6A18"/>
    <w:rsid w:val="009D7A52"/>
    <w:rsid w:val="009D7B6C"/>
    <w:rsid w:val="009E1898"/>
    <w:rsid w:val="009E29D6"/>
    <w:rsid w:val="009E2B3F"/>
    <w:rsid w:val="009E3C97"/>
    <w:rsid w:val="009F12D2"/>
    <w:rsid w:val="009F4526"/>
    <w:rsid w:val="009F7406"/>
    <w:rsid w:val="00A00E13"/>
    <w:rsid w:val="00A0259F"/>
    <w:rsid w:val="00A05201"/>
    <w:rsid w:val="00A1037B"/>
    <w:rsid w:val="00A12A5E"/>
    <w:rsid w:val="00A16370"/>
    <w:rsid w:val="00A16572"/>
    <w:rsid w:val="00A1684B"/>
    <w:rsid w:val="00A2162D"/>
    <w:rsid w:val="00A241B9"/>
    <w:rsid w:val="00A24772"/>
    <w:rsid w:val="00A249D3"/>
    <w:rsid w:val="00A24B44"/>
    <w:rsid w:val="00A257E4"/>
    <w:rsid w:val="00A25CCF"/>
    <w:rsid w:val="00A25E0D"/>
    <w:rsid w:val="00A26094"/>
    <w:rsid w:val="00A275F1"/>
    <w:rsid w:val="00A32E65"/>
    <w:rsid w:val="00A36B12"/>
    <w:rsid w:val="00A36EA9"/>
    <w:rsid w:val="00A410A8"/>
    <w:rsid w:val="00A42F60"/>
    <w:rsid w:val="00A4302F"/>
    <w:rsid w:val="00A46C84"/>
    <w:rsid w:val="00A504A7"/>
    <w:rsid w:val="00A5188B"/>
    <w:rsid w:val="00A52FEF"/>
    <w:rsid w:val="00A56F79"/>
    <w:rsid w:val="00A6152D"/>
    <w:rsid w:val="00A63595"/>
    <w:rsid w:val="00A7124B"/>
    <w:rsid w:val="00A71F4A"/>
    <w:rsid w:val="00A7298A"/>
    <w:rsid w:val="00A72F21"/>
    <w:rsid w:val="00A7393F"/>
    <w:rsid w:val="00A73F01"/>
    <w:rsid w:val="00A74C2C"/>
    <w:rsid w:val="00A7712D"/>
    <w:rsid w:val="00A801B6"/>
    <w:rsid w:val="00A83F80"/>
    <w:rsid w:val="00A850D9"/>
    <w:rsid w:val="00A8532C"/>
    <w:rsid w:val="00A853A0"/>
    <w:rsid w:val="00A920B5"/>
    <w:rsid w:val="00A927D5"/>
    <w:rsid w:val="00A95EF0"/>
    <w:rsid w:val="00AA0005"/>
    <w:rsid w:val="00AA196E"/>
    <w:rsid w:val="00AA5C7D"/>
    <w:rsid w:val="00AA605C"/>
    <w:rsid w:val="00AA672C"/>
    <w:rsid w:val="00AA6B4B"/>
    <w:rsid w:val="00AB01E5"/>
    <w:rsid w:val="00AB071F"/>
    <w:rsid w:val="00AB2864"/>
    <w:rsid w:val="00AB2BFD"/>
    <w:rsid w:val="00AB69E8"/>
    <w:rsid w:val="00AB7043"/>
    <w:rsid w:val="00AC4287"/>
    <w:rsid w:val="00AC4B72"/>
    <w:rsid w:val="00AD56C1"/>
    <w:rsid w:val="00AD660C"/>
    <w:rsid w:val="00AD6794"/>
    <w:rsid w:val="00AF0006"/>
    <w:rsid w:val="00B01267"/>
    <w:rsid w:val="00B02408"/>
    <w:rsid w:val="00B0412C"/>
    <w:rsid w:val="00B041DA"/>
    <w:rsid w:val="00B0482B"/>
    <w:rsid w:val="00B062F7"/>
    <w:rsid w:val="00B0732C"/>
    <w:rsid w:val="00B132A5"/>
    <w:rsid w:val="00B138DD"/>
    <w:rsid w:val="00B14101"/>
    <w:rsid w:val="00B1584A"/>
    <w:rsid w:val="00B1637C"/>
    <w:rsid w:val="00B164C9"/>
    <w:rsid w:val="00B166E5"/>
    <w:rsid w:val="00B220D7"/>
    <w:rsid w:val="00B25692"/>
    <w:rsid w:val="00B2653E"/>
    <w:rsid w:val="00B27B7D"/>
    <w:rsid w:val="00B307AD"/>
    <w:rsid w:val="00B31680"/>
    <w:rsid w:val="00B324CB"/>
    <w:rsid w:val="00B33173"/>
    <w:rsid w:val="00B34091"/>
    <w:rsid w:val="00B342A0"/>
    <w:rsid w:val="00B342FC"/>
    <w:rsid w:val="00B34532"/>
    <w:rsid w:val="00B3468F"/>
    <w:rsid w:val="00B35346"/>
    <w:rsid w:val="00B40A12"/>
    <w:rsid w:val="00B43724"/>
    <w:rsid w:val="00B446E2"/>
    <w:rsid w:val="00B479C3"/>
    <w:rsid w:val="00B506B3"/>
    <w:rsid w:val="00B507F1"/>
    <w:rsid w:val="00B5083F"/>
    <w:rsid w:val="00B51E4B"/>
    <w:rsid w:val="00B53E86"/>
    <w:rsid w:val="00B54773"/>
    <w:rsid w:val="00B56DAC"/>
    <w:rsid w:val="00B56F3A"/>
    <w:rsid w:val="00B60227"/>
    <w:rsid w:val="00B60BFD"/>
    <w:rsid w:val="00B61BA9"/>
    <w:rsid w:val="00B67228"/>
    <w:rsid w:val="00B7192C"/>
    <w:rsid w:val="00B7437C"/>
    <w:rsid w:val="00B75B1F"/>
    <w:rsid w:val="00B76693"/>
    <w:rsid w:val="00B80FCB"/>
    <w:rsid w:val="00B81516"/>
    <w:rsid w:val="00B816B7"/>
    <w:rsid w:val="00B834D3"/>
    <w:rsid w:val="00B8736B"/>
    <w:rsid w:val="00B92345"/>
    <w:rsid w:val="00B9434A"/>
    <w:rsid w:val="00B94BA5"/>
    <w:rsid w:val="00B9641E"/>
    <w:rsid w:val="00B9679F"/>
    <w:rsid w:val="00B97106"/>
    <w:rsid w:val="00BA0997"/>
    <w:rsid w:val="00BA0B0F"/>
    <w:rsid w:val="00BA1BF6"/>
    <w:rsid w:val="00BA333A"/>
    <w:rsid w:val="00BA354B"/>
    <w:rsid w:val="00BA522B"/>
    <w:rsid w:val="00BA6DE3"/>
    <w:rsid w:val="00BB0D0B"/>
    <w:rsid w:val="00BB13FC"/>
    <w:rsid w:val="00BB28D1"/>
    <w:rsid w:val="00BB5429"/>
    <w:rsid w:val="00BB7636"/>
    <w:rsid w:val="00BC1435"/>
    <w:rsid w:val="00BC1997"/>
    <w:rsid w:val="00BC6E36"/>
    <w:rsid w:val="00BD1290"/>
    <w:rsid w:val="00BD1357"/>
    <w:rsid w:val="00BD4A0E"/>
    <w:rsid w:val="00BD52F1"/>
    <w:rsid w:val="00BD53F1"/>
    <w:rsid w:val="00BE1B58"/>
    <w:rsid w:val="00BE1B6E"/>
    <w:rsid w:val="00BE2E86"/>
    <w:rsid w:val="00BE33D4"/>
    <w:rsid w:val="00BE5FA6"/>
    <w:rsid w:val="00BE6F51"/>
    <w:rsid w:val="00BE7FC7"/>
    <w:rsid w:val="00BF1D15"/>
    <w:rsid w:val="00BF1D35"/>
    <w:rsid w:val="00BF6ADA"/>
    <w:rsid w:val="00BF7765"/>
    <w:rsid w:val="00C01521"/>
    <w:rsid w:val="00C01A57"/>
    <w:rsid w:val="00C03E6A"/>
    <w:rsid w:val="00C04DF9"/>
    <w:rsid w:val="00C06842"/>
    <w:rsid w:val="00C1005F"/>
    <w:rsid w:val="00C116E4"/>
    <w:rsid w:val="00C12107"/>
    <w:rsid w:val="00C1325A"/>
    <w:rsid w:val="00C15626"/>
    <w:rsid w:val="00C15E89"/>
    <w:rsid w:val="00C20800"/>
    <w:rsid w:val="00C2277F"/>
    <w:rsid w:val="00C328AD"/>
    <w:rsid w:val="00C331D9"/>
    <w:rsid w:val="00C35418"/>
    <w:rsid w:val="00C369EC"/>
    <w:rsid w:val="00C37FF7"/>
    <w:rsid w:val="00C41E3C"/>
    <w:rsid w:val="00C41E62"/>
    <w:rsid w:val="00C42048"/>
    <w:rsid w:val="00C42316"/>
    <w:rsid w:val="00C45E68"/>
    <w:rsid w:val="00C477DB"/>
    <w:rsid w:val="00C503FC"/>
    <w:rsid w:val="00C51488"/>
    <w:rsid w:val="00C5740A"/>
    <w:rsid w:val="00C616D6"/>
    <w:rsid w:val="00C62865"/>
    <w:rsid w:val="00C65286"/>
    <w:rsid w:val="00C65B9F"/>
    <w:rsid w:val="00C6603C"/>
    <w:rsid w:val="00C6674D"/>
    <w:rsid w:val="00C74300"/>
    <w:rsid w:val="00C75D58"/>
    <w:rsid w:val="00C77AFF"/>
    <w:rsid w:val="00C77EA9"/>
    <w:rsid w:val="00C80A17"/>
    <w:rsid w:val="00C813EF"/>
    <w:rsid w:val="00C823BD"/>
    <w:rsid w:val="00C91DEC"/>
    <w:rsid w:val="00C96483"/>
    <w:rsid w:val="00C96C36"/>
    <w:rsid w:val="00C97E43"/>
    <w:rsid w:val="00CA0237"/>
    <w:rsid w:val="00CC05E9"/>
    <w:rsid w:val="00CC2437"/>
    <w:rsid w:val="00CC2ED5"/>
    <w:rsid w:val="00CC3C28"/>
    <w:rsid w:val="00CC5520"/>
    <w:rsid w:val="00CC64FE"/>
    <w:rsid w:val="00CD02D4"/>
    <w:rsid w:val="00CD200B"/>
    <w:rsid w:val="00CD2A5D"/>
    <w:rsid w:val="00CD56D7"/>
    <w:rsid w:val="00CD6613"/>
    <w:rsid w:val="00CD6C40"/>
    <w:rsid w:val="00CD75B7"/>
    <w:rsid w:val="00CD76A7"/>
    <w:rsid w:val="00CE0352"/>
    <w:rsid w:val="00CE1EDE"/>
    <w:rsid w:val="00CE1EE4"/>
    <w:rsid w:val="00CE3578"/>
    <w:rsid w:val="00CE622E"/>
    <w:rsid w:val="00CF0DB2"/>
    <w:rsid w:val="00CF1A77"/>
    <w:rsid w:val="00CF216A"/>
    <w:rsid w:val="00CF2D92"/>
    <w:rsid w:val="00CF2F79"/>
    <w:rsid w:val="00CF705B"/>
    <w:rsid w:val="00D00289"/>
    <w:rsid w:val="00D006DF"/>
    <w:rsid w:val="00D02631"/>
    <w:rsid w:val="00D0320D"/>
    <w:rsid w:val="00D036E9"/>
    <w:rsid w:val="00D04D1D"/>
    <w:rsid w:val="00D0624D"/>
    <w:rsid w:val="00D10213"/>
    <w:rsid w:val="00D14057"/>
    <w:rsid w:val="00D168CD"/>
    <w:rsid w:val="00D16A99"/>
    <w:rsid w:val="00D17C79"/>
    <w:rsid w:val="00D21BB4"/>
    <w:rsid w:val="00D24CC3"/>
    <w:rsid w:val="00D24DDF"/>
    <w:rsid w:val="00D26271"/>
    <w:rsid w:val="00D27709"/>
    <w:rsid w:val="00D27B7A"/>
    <w:rsid w:val="00D302D2"/>
    <w:rsid w:val="00D322D9"/>
    <w:rsid w:val="00D32303"/>
    <w:rsid w:val="00D33CCE"/>
    <w:rsid w:val="00D37025"/>
    <w:rsid w:val="00D375F7"/>
    <w:rsid w:val="00D40603"/>
    <w:rsid w:val="00D4551A"/>
    <w:rsid w:val="00D46609"/>
    <w:rsid w:val="00D46FB1"/>
    <w:rsid w:val="00D52D3E"/>
    <w:rsid w:val="00D55426"/>
    <w:rsid w:val="00D5633C"/>
    <w:rsid w:val="00D623DE"/>
    <w:rsid w:val="00D63F80"/>
    <w:rsid w:val="00D66CCE"/>
    <w:rsid w:val="00D70D60"/>
    <w:rsid w:val="00D74BD3"/>
    <w:rsid w:val="00D8770D"/>
    <w:rsid w:val="00D87D70"/>
    <w:rsid w:val="00D90001"/>
    <w:rsid w:val="00D91A92"/>
    <w:rsid w:val="00D92645"/>
    <w:rsid w:val="00D93A6D"/>
    <w:rsid w:val="00D976BA"/>
    <w:rsid w:val="00DA4A3D"/>
    <w:rsid w:val="00DA5BF8"/>
    <w:rsid w:val="00DA610D"/>
    <w:rsid w:val="00DB1225"/>
    <w:rsid w:val="00DB156A"/>
    <w:rsid w:val="00DB58DD"/>
    <w:rsid w:val="00DB7309"/>
    <w:rsid w:val="00DB7C5A"/>
    <w:rsid w:val="00DB7F47"/>
    <w:rsid w:val="00DC0E1C"/>
    <w:rsid w:val="00DC1678"/>
    <w:rsid w:val="00DC24B8"/>
    <w:rsid w:val="00DC4692"/>
    <w:rsid w:val="00DD0728"/>
    <w:rsid w:val="00DD2539"/>
    <w:rsid w:val="00DD2EF5"/>
    <w:rsid w:val="00DD5DE4"/>
    <w:rsid w:val="00DD5FDB"/>
    <w:rsid w:val="00DD6309"/>
    <w:rsid w:val="00DE113E"/>
    <w:rsid w:val="00DE1486"/>
    <w:rsid w:val="00DE3230"/>
    <w:rsid w:val="00DE3417"/>
    <w:rsid w:val="00DE4E80"/>
    <w:rsid w:val="00DE5217"/>
    <w:rsid w:val="00DE5565"/>
    <w:rsid w:val="00DF3F60"/>
    <w:rsid w:val="00DF45F8"/>
    <w:rsid w:val="00DF4CC9"/>
    <w:rsid w:val="00DF605E"/>
    <w:rsid w:val="00DF68EE"/>
    <w:rsid w:val="00E02FA9"/>
    <w:rsid w:val="00E06C5B"/>
    <w:rsid w:val="00E10000"/>
    <w:rsid w:val="00E104CE"/>
    <w:rsid w:val="00E106F7"/>
    <w:rsid w:val="00E10EB8"/>
    <w:rsid w:val="00E14231"/>
    <w:rsid w:val="00E14864"/>
    <w:rsid w:val="00E15CE6"/>
    <w:rsid w:val="00E20935"/>
    <w:rsid w:val="00E20E96"/>
    <w:rsid w:val="00E25042"/>
    <w:rsid w:val="00E27ACB"/>
    <w:rsid w:val="00E368AB"/>
    <w:rsid w:val="00E41991"/>
    <w:rsid w:val="00E439EE"/>
    <w:rsid w:val="00E43D2B"/>
    <w:rsid w:val="00E44F6D"/>
    <w:rsid w:val="00E46479"/>
    <w:rsid w:val="00E511F1"/>
    <w:rsid w:val="00E51D37"/>
    <w:rsid w:val="00E52DBB"/>
    <w:rsid w:val="00E53AC6"/>
    <w:rsid w:val="00E54636"/>
    <w:rsid w:val="00E55D68"/>
    <w:rsid w:val="00E56BEE"/>
    <w:rsid w:val="00E57057"/>
    <w:rsid w:val="00E62F23"/>
    <w:rsid w:val="00E660CF"/>
    <w:rsid w:val="00E709E7"/>
    <w:rsid w:val="00E721AA"/>
    <w:rsid w:val="00E72E72"/>
    <w:rsid w:val="00E748A6"/>
    <w:rsid w:val="00E773C6"/>
    <w:rsid w:val="00E803D8"/>
    <w:rsid w:val="00E80D01"/>
    <w:rsid w:val="00E8172E"/>
    <w:rsid w:val="00E81BC4"/>
    <w:rsid w:val="00E83BD6"/>
    <w:rsid w:val="00E842A8"/>
    <w:rsid w:val="00E85593"/>
    <w:rsid w:val="00E869F6"/>
    <w:rsid w:val="00E9097D"/>
    <w:rsid w:val="00E939A9"/>
    <w:rsid w:val="00E94F5E"/>
    <w:rsid w:val="00E97B65"/>
    <w:rsid w:val="00EA036A"/>
    <w:rsid w:val="00EA26C9"/>
    <w:rsid w:val="00EA3130"/>
    <w:rsid w:val="00EA44C6"/>
    <w:rsid w:val="00EA72A2"/>
    <w:rsid w:val="00EB004F"/>
    <w:rsid w:val="00EB1A11"/>
    <w:rsid w:val="00EB30EC"/>
    <w:rsid w:val="00EB4898"/>
    <w:rsid w:val="00EB5D91"/>
    <w:rsid w:val="00EC09F1"/>
    <w:rsid w:val="00EC2D18"/>
    <w:rsid w:val="00EC4C0E"/>
    <w:rsid w:val="00ED0C8C"/>
    <w:rsid w:val="00ED2974"/>
    <w:rsid w:val="00ED39CA"/>
    <w:rsid w:val="00ED7146"/>
    <w:rsid w:val="00ED7F55"/>
    <w:rsid w:val="00EE1B9A"/>
    <w:rsid w:val="00EE27A7"/>
    <w:rsid w:val="00EE365E"/>
    <w:rsid w:val="00EE3D19"/>
    <w:rsid w:val="00EE7B13"/>
    <w:rsid w:val="00EE7DCA"/>
    <w:rsid w:val="00EF5663"/>
    <w:rsid w:val="00EF5CD3"/>
    <w:rsid w:val="00EF760E"/>
    <w:rsid w:val="00F02304"/>
    <w:rsid w:val="00F02653"/>
    <w:rsid w:val="00F0410D"/>
    <w:rsid w:val="00F04D23"/>
    <w:rsid w:val="00F117B5"/>
    <w:rsid w:val="00F173C0"/>
    <w:rsid w:val="00F173DC"/>
    <w:rsid w:val="00F20B0B"/>
    <w:rsid w:val="00F237D9"/>
    <w:rsid w:val="00F23897"/>
    <w:rsid w:val="00F305B5"/>
    <w:rsid w:val="00F35213"/>
    <w:rsid w:val="00F42AF9"/>
    <w:rsid w:val="00F4382F"/>
    <w:rsid w:val="00F4561E"/>
    <w:rsid w:val="00F554BC"/>
    <w:rsid w:val="00F57840"/>
    <w:rsid w:val="00F61DBB"/>
    <w:rsid w:val="00F637FF"/>
    <w:rsid w:val="00F64A63"/>
    <w:rsid w:val="00F70A1D"/>
    <w:rsid w:val="00F71427"/>
    <w:rsid w:val="00F71DF9"/>
    <w:rsid w:val="00F71F57"/>
    <w:rsid w:val="00F73CFB"/>
    <w:rsid w:val="00F73D7C"/>
    <w:rsid w:val="00F75478"/>
    <w:rsid w:val="00F81DBC"/>
    <w:rsid w:val="00F858CB"/>
    <w:rsid w:val="00F85C41"/>
    <w:rsid w:val="00F90ABA"/>
    <w:rsid w:val="00F94A13"/>
    <w:rsid w:val="00F9578A"/>
    <w:rsid w:val="00F9654A"/>
    <w:rsid w:val="00F965EA"/>
    <w:rsid w:val="00F96EA0"/>
    <w:rsid w:val="00FA0003"/>
    <w:rsid w:val="00FA1A17"/>
    <w:rsid w:val="00FB1644"/>
    <w:rsid w:val="00FB342F"/>
    <w:rsid w:val="00FB3D0C"/>
    <w:rsid w:val="00FB4BFD"/>
    <w:rsid w:val="00FB68BD"/>
    <w:rsid w:val="00FC0F3B"/>
    <w:rsid w:val="00FC1AE1"/>
    <w:rsid w:val="00FC368F"/>
    <w:rsid w:val="00FC40D9"/>
    <w:rsid w:val="00FC58B4"/>
    <w:rsid w:val="00FC5AA4"/>
    <w:rsid w:val="00FC6480"/>
    <w:rsid w:val="00FC6D60"/>
    <w:rsid w:val="00FC7203"/>
    <w:rsid w:val="00FC728F"/>
    <w:rsid w:val="00FD137A"/>
    <w:rsid w:val="00FD1481"/>
    <w:rsid w:val="00FD405F"/>
    <w:rsid w:val="00FD57AD"/>
    <w:rsid w:val="00FE15D2"/>
    <w:rsid w:val="00FE3655"/>
    <w:rsid w:val="00FE3C86"/>
    <w:rsid w:val="00FE467B"/>
    <w:rsid w:val="00FE778B"/>
    <w:rsid w:val="00FF083D"/>
    <w:rsid w:val="00FF0C61"/>
    <w:rsid w:val="00FF2568"/>
    <w:rsid w:val="00FF2A4B"/>
    <w:rsid w:val="00FF6598"/>
    <w:rsid w:val="00FF65C7"/>
    <w:rsid w:val="00FF6FDB"/>
    <w:rsid w:val="00FF770F"/>
    <w:rsid w:val="00FF7DE9"/>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7DDE64"/>
  <w15:chartTrackingRefBased/>
  <w15:docId w15:val="{03654EDF-343E-4C8A-95AD-8BD68988E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6572"/>
  </w:style>
  <w:style w:type="paragraph" w:styleId="Heading1">
    <w:name w:val="heading 1"/>
    <w:basedOn w:val="Normal"/>
    <w:next w:val="Normal"/>
    <w:link w:val="Heading1Char"/>
    <w:uiPriority w:val="9"/>
    <w:qFormat/>
    <w:rsid w:val="00915596"/>
    <w:pPr>
      <w:keepNext/>
      <w:keepLines/>
      <w:spacing w:before="240" w:after="0"/>
      <w:outlineLvl w:val="0"/>
    </w:pPr>
    <w:rPr>
      <w:rFonts w:asciiTheme="majorBidi" w:eastAsiaTheme="majorEastAsia" w:hAnsiTheme="majorBidi" w:cstheme="majorBidi"/>
      <w:b/>
      <w:color w:val="000000" w:themeColor="text1"/>
      <w:sz w:val="24"/>
      <w:szCs w:val="32"/>
    </w:rPr>
  </w:style>
  <w:style w:type="paragraph" w:styleId="Heading2">
    <w:name w:val="heading 2"/>
    <w:basedOn w:val="Normal"/>
    <w:next w:val="Normal"/>
    <w:link w:val="Heading2Char"/>
    <w:uiPriority w:val="9"/>
    <w:unhideWhenUsed/>
    <w:qFormat/>
    <w:rsid w:val="00915596"/>
    <w:pPr>
      <w:keepNext/>
      <w:keepLines/>
      <w:spacing w:before="40" w:after="0"/>
      <w:outlineLvl w:val="1"/>
    </w:pPr>
    <w:rPr>
      <w:rFonts w:asciiTheme="majorBidi" w:eastAsiaTheme="majorEastAsia" w:hAnsiTheme="majorBidi" w:cstheme="majorBidi"/>
      <w:b/>
      <w:color w:val="000000" w:themeColor="text1"/>
      <w:sz w:val="24"/>
      <w:szCs w:val="26"/>
    </w:rPr>
  </w:style>
  <w:style w:type="paragraph" w:styleId="Heading3">
    <w:name w:val="heading 3"/>
    <w:basedOn w:val="Normal"/>
    <w:next w:val="Normal"/>
    <w:link w:val="Heading3Char"/>
    <w:uiPriority w:val="9"/>
    <w:unhideWhenUsed/>
    <w:qFormat/>
    <w:rsid w:val="00915596"/>
    <w:pPr>
      <w:keepNext/>
      <w:keepLines/>
      <w:spacing w:before="40" w:after="0"/>
      <w:outlineLvl w:val="2"/>
    </w:pPr>
    <w:rPr>
      <w:rFonts w:asciiTheme="majorBidi" w:eastAsiaTheme="majorEastAsia" w:hAnsiTheme="majorBidi" w:cstheme="majorBidi"/>
      <w:b/>
      <w:color w:val="000000" w:themeColor="text1"/>
      <w:sz w:val="24"/>
      <w:szCs w:val="24"/>
    </w:rPr>
  </w:style>
  <w:style w:type="paragraph" w:styleId="Heading4">
    <w:name w:val="heading 4"/>
    <w:basedOn w:val="Normal"/>
    <w:next w:val="Normal"/>
    <w:link w:val="Heading4Char"/>
    <w:autoRedefine/>
    <w:uiPriority w:val="9"/>
    <w:unhideWhenUsed/>
    <w:qFormat/>
    <w:rsid w:val="00D17C79"/>
    <w:pPr>
      <w:keepNext/>
      <w:keepLines/>
      <w:spacing w:before="40" w:after="0"/>
      <w:ind w:left="1080"/>
      <w:outlineLvl w:val="3"/>
    </w:pPr>
    <w:rPr>
      <w:rFonts w:asciiTheme="majorBidi" w:eastAsiaTheme="majorEastAsia" w:hAnsiTheme="majorBidi" w:cstheme="majorBidi"/>
      <w:b/>
      <w:iCs/>
      <w:color w:val="000000" w:themeColor="text1"/>
      <w:sz w:val="24"/>
      <w:szCs w:val="24"/>
      <w:lang w:val="en-GB"/>
    </w:rPr>
  </w:style>
  <w:style w:type="paragraph" w:styleId="Heading5">
    <w:name w:val="heading 5"/>
    <w:basedOn w:val="Normal"/>
    <w:next w:val="Normal"/>
    <w:link w:val="Heading5Char"/>
    <w:uiPriority w:val="9"/>
    <w:semiHidden/>
    <w:unhideWhenUsed/>
    <w:qFormat/>
    <w:rsid w:val="00A5188B"/>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4E0E"/>
    <w:pPr>
      <w:ind w:left="720"/>
      <w:contextualSpacing/>
    </w:pPr>
  </w:style>
  <w:style w:type="character" w:customStyle="1" w:styleId="Heading1Char">
    <w:name w:val="Heading 1 Char"/>
    <w:basedOn w:val="DefaultParagraphFont"/>
    <w:link w:val="Heading1"/>
    <w:uiPriority w:val="9"/>
    <w:rsid w:val="00915596"/>
    <w:rPr>
      <w:rFonts w:asciiTheme="majorBidi" w:eastAsiaTheme="majorEastAsia" w:hAnsiTheme="majorBidi" w:cstheme="majorBidi"/>
      <w:b/>
      <w:color w:val="000000" w:themeColor="text1"/>
      <w:sz w:val="24"/>
      <w:szCs w:val="32"/>
    </w:rPr>
  </w:style>
  <w:style w:type="character" w:customStyle="1" w:styleId="Heading3Char">
    <w:name w:val="Heading 3 Char"/>
    <w:basedOn w:val="DefaultParagraphFont"/>
    <w:link w:val="Heading3"/>
    <w:uiPriority w:val="9"/>
    <w:rsid w:val="00915596"/>
    <w:rPr>
      <w:rFonts w:asciiTheme="majorBidi" w:eastAsiaTheme="majorEastAsia" w:hAnsiTheme="majorBidi" w:cstheme="majorBidi"/>
      <w:b/>
      <w:color w:val="000000" w:themeColor="text1"/>
      <w:sz w:val="24"/>
      <w:szCs w:val="24"/>
    </w:rPr>
  </w:style>
  <w:style w:type="character" w:customStyle="1" w:styleId="Heading4Char">
    <w:name w:val="Heading 4 Char"/>
    <w:basedOn w:val="DefaultParagraphFont"/>
    <w:link w:val="Heading4"/>
    <w:uiPriority w:val="9"/>
    <w:rsid w:val="00D17C79"/>
    <w:rPr>
      <w:rFonts w:asciiTheme="majorBidi" w:eastAsiaTheme="majorEastAsia" w:hAnsiTheme="majorBidi" w:cstheme="majorBidi"/>
      <w:b/>
      <w:iCs/>
      <w:color w:val="000000" w:themeColor="text1"/>
      <w:sz w:val="24"/>
      <w:szCs w:val="24"/>
      <w:lang w:val="en-GB"/>
    </w:rPr>
  </w:style>
  <w:style w:type="character" w:customStyle="1" w:styleId="Heading5Char">
    <w:name w:val="Heading 5 Char"/>
    <w:basedOn w:val="DefaultParagraphFont"/>
    <w:link w:val="Heading5"/>
    <w:uiPriority w:val="9"/>
    <w:semiHidden/>
    <w:rsid w:val="00A5188B"/>
    <w:rPr>
      <w:rFonts w:asciiTheme="majorHAnsi" w:eastAsiaTheme="majorEastAsia" w:hAnsiTheme="majorHAnsi" w:cstheme="majorBidi"/>
      <w:color w:val="2F5496" w:themeColor="accent1" w:themeShade="BF"/>
    </w:rPr>
  </w:style>
  <w:style w:type="character" w:styleId="Hyperlink">
    <w:name w:val="Hyperlink"/>
    <w:basedOn w:val="DefaultParagraphFont"/>
    <w:uiPriority w:val="99"/>
    <w:unhideWhenUsed/>
    <w:rsid w:val="00616F35"/>
    <w:rPr>
      <w:color w:val="0563C1" w:themeColor="hyperlink"/>
      <w:u w:val="single"/>
    </w:rPr>
  </w:style>
  <w:style w:type="character" w:styleId="UnresolvedMention">
    <w:name w:val="Unresolved Mention"/>
    <w:basedOn w:val="DefaultParagraphFont"/>
    <w:uiPriority w:val="99"/>
    <w:semiHidden/>
    <w:unhideWhenUsed/>
    <w:rsid w:val="00616F35"/>
    <w:rPr>
      <w:color w:val="605E5C"/>
      <w:shd w:val="clear" w:color="auto" w:fill="E1DFDD"/>
    </w:rPr>
  </w:style>
  <w:style w:type="paragraph" w:styleId="NormalWeb">
    <w:name w:val="Normal (Web)"/>
    <w:basedOn w:val="Normal"/>
    <w:uiPriority w:val="99"/>
    <w:semiHidden/>
    <w:unhideWhenUsed/>
    <w:rsid w:val="00BE1B58"/>
    <w:rPr>
      <w:rFonts w:ascii="Times New Roman" w:hAnsi="Times New Roman" w:cs="Times New Roman"/>
      <w:sz w:val="24"/>
      <w:szCs w:val="24"/>
    </w:rPr>
  </w:style>
  <w:style w:type="table" w:styleId="TableGrid">
    <w:name w:val="Table Grid"/>
    <w:basedOn w:val="TableNormal"/>
    <w:uiPriority w:val="39"/>
    <w:rsid w:val="00EA44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491D8D"/>
    <w:rPr>
      <w:color w:val="954F72" w:themeColor="followedHyperlink"/>
      <w:u w:val="single"/>
    </w:rPr>
  </w:style>
  <w:style w:type="paragraph" w:styleId="Bibliography">
    <w:name w:val="Bibliography"/>
    <w:basedOn w:val="Normal"/>
    <w:next w:val="Normal"/>
    <w:uiPriority w:val="37"/>
    <w:unhideWhenUsed/>
    <w:rsid w:val="00491D8D"/>
  </w:style>
  <w:style w:type="paragraph" w:styleId="Header">
    <w:name w:val="header"/>
    <w:basedOn w:val="Normal"/>
    <w:link w:val="HeaderChar"/>
    <w:uiPriority w:val="99"/>
    <w:unhideWhenUsed/>
    <w:rsid w:val="009F7406"/>
    <w:pPr>
      <w:tabs>
        <w:tab w:val="center" w:pos="4986"/>
        <w:tab w:val="right" w:pos="9972"/>
      </w:tabs>
      <w:spacing w:after="0" w:line="240" w:lineRule="auto"/>
    </w:pPr>
  </w:style>
  <w:style w:type="character" w:customStyle="1" w:styleId="HeaderChar">
    <w:name w:val="Header Char"/>
    <w:basedOn w:val="DefaultParagraphFont"/>
    <w:link w:val="Header"/>
    <w:uiPriority w:val="99"/>
    <w:rsid w:val="009F7406"/>
  </w:style>
  <w:style w:type="paragraph" w:styleId="Footer">
    <w:name w:val="footer"/>
    <w:basedOn w:val="Normal"/>
    <w:link w:val="FooterChar"/>
    <w:uiPriority w:val="99"/>
    <w:unhideWhenUsed/>
    <w:rsid w:val="009F7406"/>
    <w:pPr>
      <w:tabs>
        <w:tab w:val="center" w:pos="4986"/>
        <w:tab w:val="right" w:pos="9972"/>
      </w:tabs>
      <w:spacing w:after="0" w:line="240" w:lineRule="auto"/>
    </w:pPr>
  </w:style>
  <w:style w:type="character" w:customStyle="1" w:styleId="FooterChar">
    <w:name w:val="Footer Char"/>
    <w:basedOn w:val="DefaultParagraphFont"/>
    <w:link w:val="Footer"/>
    <w:uiPriority w:val="99"/>
    <w:rsid w:val="009F7406"/>
  </w:style>
  <w:style w:type="paragraph" w:customStyle="1" w:styleId="EndNoteBibliographyTitle">
    <w:name w:val="EndNote Bibliography Title"/>
    <w:basedOn w:val="Normal"/>
    <w:link w:val="EndNoteBibliographyTitleChar"/>
    <w:rsid w:val="00CC05E9"/>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CC05E9"/>
    <w:rPr>
      <w:rFonts w:ascii="Calibri" w:hAnsi="Calibri" w:cs="Calibri"/>
      <w:noProof/>
    </w:rPr>
  </w:style>
  <w:style w:type="paragraph" w:customStyle="1" w:styleId="EndNoteBibliography">
    <w:name w:val="EndNote Bibliography"/>
    <w:basedOn w:val="Normal"/>
    <w:link w:val="EndNoteBibliographyChar"/>
    <w:rsid w:val="00CC05E9"/>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CC05E9"/>
    <w:rPr>
      <w:rFonts w:ascii="Calibri" w:hAnsi="Calibri" w:cs="Calibri"/>
      <w:noProof/>
    </w:rPr>
  </w:style>
  <w:style w:type="character" w:styleId="CommentReference">
    <w:name w:val="annotation reference"/>
    <w:basedOn w:val="DefaultParagraphFont"/>
    <w:uiPriority w:val="99"/>
    <w:semiHidden/>
    <w:unhideWhenUsed/>
    <w:rsid w:val="00112259"/>
    <w:rPr>
      <w:sz w:val="16"/>
      <w:szCs w:val="16"/>
    </w:rPr>
  </w:style>
  <w:style w:type="paragraph" w:styleId="CommentText">
    <w:name w:val="annotation text"/>
    <w:basedOn w:val="Normal"/>
    <w:link w:val="CommentTextChar"/>
    <w:uiPriority w:val="99"/>
    <w:semiHidden/>
    <w:unhideWhenUsed/>
    <w:rsid w:val="00112259"/>
    <w:pPr>
      <w:spacing w:line="240" w:lineRule="auto"/>
    </w:pPr>
    <w:rPr>
      <w:sz w:val="20"/>
      <w:szCs w:val="20"/>
    </w:rPr>
  </w:style>
  <w:style w:type="character" w:customStyle="1" w:styleId="CommentTextChar">
    <w:name w:val="Comment Text Char"/>
    <w:basedOn w:val="DefaultParagraphFont"/>
    <w:link w:val="CommentText"/>
    <w:uiPriority w:val="99"/>
    <w:semiHidden/>
    <w:rsid w:val="00112259"/>
    <w:rPr>
      <w:sz w:val="20"/>
      <w:szCs w:val="20"/>
    </w:rPr>
  </w:style>
  <w:style w:type="paragraph" w:styleId="CommentSubject">
    <w:name w:val="annotation subject"/>
    <w:basedOn w:val="CommentText"/>
    <w:next w:val="CommentText"/>
    <w:link w:val="CommentSubjectChar"/>
    <w:uiPriority w:val="99"/>
    <w:semiHidden/>
    <w:unhideWhenUsed/>
    <w:rsid w:val="00112259"/>
    <w:rPr>
      <w:b/>
      <w:bCs/>
    </w:rPr>
  </w:style>
  <w:style w:type="character" w:customStyle="1" w:styleId="CommentSubjectChar">
    <w:name w:val="Comment Subject Char"/>
    <w:basedOn w:val="CommentTextChar"/>
    <w:link w:val="CommentSubject"/>
    <w:uiPriority w:val="99"/>
    <w:semiHidden/>
    <w:rsid w:val="00112259"/>
    <w:rPr>
      <w:b/>
      <w:bCs/>
      <w:sz w:val="20"/>
      <w:szCs w:val="20"/>
    </w:rPr>
  </w:style>
  <w:style w:type="paragraph" w:styleId="Revision">
    <w:name w:val="Revision"/>
    <w:hidden/>
    <w:uiPriority w:val="99"/>
    <w:semiHidden/>
    <w:rsid w:val="00112259"/>
    <w:pPr>
      <w:spacing w:after="0" w:line="240" w:lineRule="auto"/>
    </w:pPr>
  </w:style>
  <w:style w:type="paragraph" w:styleId="TOCHeading">
    <w:name w:val="TOC Heading"/>
    <w:basedOn w:val="Heading1"/>
    <w:next w:val="Normal"/>
    <w:uiPriority w:val="39"/>
    <w:unhideWhenUsed/>
    <w:qFormat/>
    <w:rsid w:val="00A257E4"/>
    <w:pPr>
      <w:outlineLvl w:val="9"/>
    </w:pPr>
    <w:rPr>
      <w:rFonts w:asciiTheme="majorHAnsi" w:hAnsiTheme="majorHAnsi"/>
      <w:color w:val="2F5496" w:themeColor="accent1" w:themeShade="BF"/>
    </w:rPr>
  </w:style>
  <w:style w:type="paragraph" w:styleId="TOC1">
    <w:name w:val="toc 1"/>
    <w:basedOn w:val="Normal"/>
    <w:next w:val="Normal"/>
    <w:autoRedefine/>
    <w:uiPriority w:val="39"/>
    <w:unhideWhenUsed/>
    <w:rsid w:val="006838B7"/>
    <w:pPr>
      <w:spacing w:after="100"/>
    </w:pPr>
    <w:rPr>
      <w:rFonts w:asciiTheme="majorBidi" w:hAnsiTheme="majorBidi"/>
      <w:color w:val="000000" w:themeColor="text1"/>
      <w:sz w:val="24"/>
    </w:rPr>
  </w:style>
  <w:style w:type="paragraph" w:styleId="TOC3">
    <w:name w:val="toc 3"/>
    <w:basedOn w:val="Normal"/>
    <w:next w:val="Normal"/>
    <w:autoRedefine/>
    <w:uiPriority w:val="39"/>
    <w:unhideWhenUsed/>
    <w:rsid w:val="00A257E4"/>
    <w:pPr>
      <w:spacing w:after="100"/>
      <w:ind w:left="440"/>
    </w:pPr>
  </w:style>
  <w:style w:type="character" w:customStyle="1" w:styleId="Heading2Char">
    <w:name w:val="Heading 2 Char"/>
    <w:basedOn w:val="DefaultParagraphFont"/>
    <w:link w:val="Heading2"/>
    <w:uiPriority w:val="9"/>
    <w:rsid w:val="00915596"/>
    <w:rPr>
      <w:rFonts w:asciiTheme="majorBidi" w:eastAsiaTheme="majorEastAsia" w:hAnsiTheme="majorBidi" w:cstheme="majorBidi"/>
      <w:b/>
      <w:color w:val="000000" w:themeColor="text1"/>
      <w:sz w:val="24"/>
      <w:szCs w:val="26"/>
    </w:rPr>
  </w:style>
  <w:style w:type="paragraph" w:styleId="TOC2">
    <w:name w:val="toc 2"/>
    <w:basedOn w:val="Normal"/>
    <w:next w:val="Normal"/>
    <w:autoRedefine/>
    <w:uiPriority w:val="39"/>
    <w:unhideWhenUsed/>
    <w:rsid w:val="00D623DE"/>
    <w:pPr>
      <w:spacing w:after="100"/>
      <w:ind w:left="220"/>
    </w:pPr>
  </w:style>
  <w:style w:type="paragraph" w:styleId="TOC4">
    <w:name w:val="toc 4"/>
    <w:basedOn w:val="Normal"/>
    <w:next w:val="Normal"/>
    <w:autoRedefine/>
    <w:uiPriority w:val="39"/>
    <w:unhideWhenUsed/>
    <w:rsid w:val="00724475"/>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75713">
      <w:bodyDiv w:val="1"/>
      <w:marLeft w:val="0"/>
      <w:marRight w:val="0"/>
      <w:marTop w:val="0"/>
      <w:marBottom w:val="0"/>
      <w:divBdr>
        <w:top w:val="none" w:sz="0" w:space="0" w:color="auto"/>
        <w:left w:val="none" w:sz="0" w:space="0" w:color="auto"/>
        <w:bottom w:val="none" w:sz="0" w:space="0" w:color="auto"/>
        <w:right w:val="none" w:sz="0" w:space="0" w:color="auto"/>
      </w:divBdr>
    </w:div>
    <w:div w:id="60032798">
      <w:bodyDiv w:val="1"/>
      <w:marLeft w:val="0"/>
      <w:marRight w:val="0"/>
      <w:marTop w:val="0"/>
      <w:marBottom w:val="0"/>
      <w:divBdr>
        <w:top w:val="none" w:sz="0" w:space="0" w:color="auto"/>
        <w:left w:val="none" w:sz="0" w:space="0" w:color="auto"/>
        <w:bottom w:val="none" w:sz="0" w:space="0" w:color="auto"/>
        <w:right w:val="none" w:sz="0" w:space="0" w:color="auto"/>
      </w:divBdr>
    </w:div>
    <w:div w:id="64644984">
      <w:bodyDiv w:val="1"/>
      <w:marLeft w:val="0"/>
      <w:marRight w:val="0"/>
      <w:marTop w:val="0"/>
      <w:marBottom w:val="0"/>
      <w:divBdr>
        <w:top w:val="none" w:sz="0" w:space="0" w:color="auto"/>
        <w:left w:val="none" w:sz="0" w:space="0" w:color="auto"/>
        <w:bottom w:val="none" w:sz="0" w:space="0" w:color="auto"/>
        <w:right w:val="none" w:sz="0" w:space="0" w:color="auto"/>
      </w:divBdr>
    </w:div>
    <w:div w:id="119734764">
      <w:bodyDiv w:val="1"/>
      <w:marLeft w:val="0"/>
      <w:marRight w:val="0"/>
      <w:marTop w:val="0"/>
      <w:marBottom w:val="0"/>
      <w:divBdr>
        <w:top w:val="none" w:sz="0" w:space="0" w:color="auto"/>
        <w:left w:val="none" w:sz="0" w:space="0" w:color="auto"/>
        <w:bottom w:val="none" w:sz="0" w:space="0" w:color="auto"/>
        <w:right w:val="none" w:sz="0" w:space="0" w:color="auto"/>
      </w:divBdr>
    </w:div>
    <w:div w:id="121846899">
      <w:bodyDiv w:val="1"/>
      <w:marLeft w:val="0"/>
      <w:marRight w:val="0"/>
      <w:marTop w:val="0"/>
      <w:marBottom w:val="0"/>
      <w:divBdr>
        <w:top w:val="none" w:sz="0" w:space="0" w:color="auto"/>
        <w:left w:val="none" w:sz="0" w:space="0" w:color="auto"/>
        <w:bottom w:val="none" w:sz="0" w:space="0" w:color="auto"/>
        <w:right w:val="none" w:sz="0" w:space="0" w:color="auto"/>
      </w:divBdr>
    </w:div>
    <w:div w:id="138037655">
      <w:bodyDiv w:val="1"/>
      <w:marLeft w:val="0"/>
      <w:marRight w:val="0"/>
      <w:marTop w:val="0"/>
      <w:marBottom w:val="0"/>
      <w:divBdr>
        <w:top w:val="none" w:sz="0" w:space="0" w:color="auto"/>
        <w:left w:val="none" w:sz="0" w:space="0" w:color="auto"/>
        <w:bottom w:val="none" w:sz="0" w:space="0" w:color="auto"/>
        <w:right w:val="none" w:sz="0" w:space="0" w:color="auto"/>
      </w:divBdr>
      <w:divsChild>
        <w:div w:id="2107457373">
          <w:marLeft w:val="0"/>
          <w:marRight w:val="0"/>
          <w:marTop w:val="0"/>
          <w:marBottom w:val="0"/>
          <w:divBdr>
            <w:top w:val="none" w:sz="0" w:space="0" w:color="auto"/>
            <w:left w:val="none" w:sz="0" w:space="0" w:color="auto"/>
            <w:bottom w:val="single" w:sz="12" w:space="0" w:color="0062FF"/>
            <w:right w:val="none" w:sz="0" w:space="0" w:color="auto"/>
          </w:divBdr>
          <w:divsChild>
            <w:div w:id="1247302862">
              <w:marLeft w:val="0"/>
              <w:marRight w:val="0"/>
              <w:marTop w:val="0"/>
              <w:marBottom w:val="0"/>
              <w:divBdr>
                <w:top w:val="none" w:sz="0" w:space="0" w:color="auto"/>
                <w:left w:val="none" w:sz="0" w:space="0" w:color="auto"/>
                <w:bottom w:val="none" w:sz="0" w:space="0" w:color="auto"/>
                <w:right w:val="none" w:sz="0" w:space="0" w:color="auto"/>
              </w:divBdr>
              <w:divsChild>
                <w:div w:id="1580139703">
                  <w:marLeft w:val="0"/>
                  <w:marRight w:val="0"/>
                  <w:marTop w:val="0"/>
                  <w:marBottom w:val="0"/>
                  <w:divBdr>
                    <w:top w:val="none" w:sz="0" w:space="0" w:color="auto"/>
                    <w:left w:val="none" w:sz="0" w:space="0" w:color="auto"/>
                    <w:bottom w:val="none" w:sz="0" w:space="0" w:color="auto"/>
                    <w:right w:val="none" w:sz="0" w:space="0" w:color="auto"/>
                  </w:divBdr>
                </w:div>
                <w:div w:id="173435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202516">
          <w:marLeft w:val="0"/>
          <w:marRight w:val="0"/>
          <w:marTop w:val="0"/>
          <w:marBottom w:val="0"/>
          <w:divBdr>
            <w:top w:val="none" w:sz="0" w:space="0" w:color="auto"/>
            <w:left w:val="none" w:sz="0" w:space="0" w:color="auto"/>
            <w:bottom w:val="none" w:sz="0" w:space="0" w:color="auto"/>
            <w:right w:val="none" w:sz="0" w:space="0" w:color="auto"/>
          </w:divBdr>
          <w:divsChild>
            <w:div w:id="848981955">
              <w:marLeft w:val="0"/>
              <w:marRight w:val="0"/>
              <w:marTop w:val="0"/>
              <w:marBottom w:val="0"/>
              <w:divBdr>
                <w:top w:val="none" w:sz="0" w:space="0" w:color="auto"/>
                <w:left w:val="none" w:sz="0" w:space="0" w:color="auto"/>
                <w:bottom w:val="none" w:sz="0" w:space="0" w:color="auto"/>
                <w:right w:val="none" w:sz="0" w:space="0" w:color="auto"/>
              </w:divBdr>
              <w:divsChild>
                <w:div w:id="588732183">
                  <w:marLeft w:val="0"/>
                  <w:marRight w:val="0"/>
                  <w:marTop w:val="0"/>
                  <w:marBottom w:val="0"/>
                  <w:divBdr>
                    <w:top w:val="none" w:sz="0" w:space="0" w:color="auto"/>
                    <w:left w:val="none" w:sz="0" w:space="0" w:color="auto"/>
                    <w:bottom w:val="none" w:sz="0" w:space="0" w:color="auto"/>
                    <w:right w:val="none" w:sz="0" w:space="0" w:color="auto"/>
                  </w:divBdr>
                  <w:divsChild>
                    <w:div w:id="1479224467">
                      <w:marLeft w:val="0"/>
                      <w:marRight w:val="0"/>
                      <w:marTop w:val="0"/>
                      <w:marBottom w:val="0"/>
                      <w:divBdr>
                        <w:top w:val="none" w:sz="0" w:space="0" w:color="auto"/>
                        <w:left w:val="none" w:sz="0" w:space="0" w:color="auto"/>
                        <w:bottom w:val="none" w:sz="0" w:space="0" w:color="auto"/>
                        <w:right w:val="none" w:sz="0" w:space="0" w:color="auto"/>
                      </w:divBdr>
                      <w:divsChild>
                        <w:div w:id="2033191549">
                          <w:marLeft w:val="0"/>
                          <w:marRight w:val="0"/>
                          <w:marTop w:val="0"/>
                          <w:marBottom w:val="0"/>
                          <w:divBdr>
                            <w:top w:val="none" w:sz="0" w:space="0" w:color="auto"/>
                            <w:left w:val="none" w:sz="0" w:space="0" w:color="auto"/>
                            <w:bottom w:val="none" w:sz="0" w:space="0" w:color="auto"/>
                            <w:right w:val="none" w:sz="0" w:space="0" w:color="auto"/>
                          </w:divBdr>
                          <w:divsChild>
                            <w:div w:id="1371103926">
                              <w:marLeft w:val="0"/>
                              <w:marRight w:val="0"/>
                              <w:marTop w:val="0"/>
                              <w:marBottom w:val="0"/>
                              <w:divBdr>
                                <w:top w:val="none" w:sz="0" w:space="0" w:color="auto"/>
                                <w:left w:val="none" w:sz="0" w:space="0" w:color="auto"/>
                                <w:bottom w:val="none" w:sz="0" w:space="0" w:color="auto"/>
                                <w:right w:val="none" w:sz="0" w:space="0" w:color="auto"/>
                              </w:divBdr>
                              <w:divsChild>
                                <w:div w:id="165321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271498">
      <w:bodyDiv w:val="1"/>
      <w:marLeft w:val="0"/>
      <w:marRight w:val="0"/>
      <w:marTop w:val="0"/>
      <w:marBottom w:val="0"/>
      <w:divBdr>
        <w:top w:val="none" w:sz="0" w:space="0" w:color="auto"/>
        <w:left w:val="none" w:sz="0" w:space="0" w:color="auto"/>
        <w:bottom w:val="none" w:sz="0" w:space="0" w:color="auto"/>
        <w:right w:val="none" w:sz="0" w:space="0" w:color="auto"/>
      </w:divBdr>
    </w:div>
    <w:div w:id="141584922">
      <w:bodyDiv w:val="1"/>
      <w:marLeft w:val="0"/>
      <w:marRight w:val="0"/>
      <w:marTop w:val="0"/>
      <w:marBottom w:val="0"/>
      <w:divBdr>
        <w:top w:val="none" w:sz="0" w:space="0" w:color="auto"/>
        <w:left w:val="none" w:sz="0" w:space="0" w:color="auto"/>
        <w:bottom w:val="none" w:sz="0" w:space="0" w:color="auto"/>
        <w:right w:val="none" w:sz="0" w:space="0" w:color="auto"/>
      </w:divBdr>
    </w:div>
    <w:div w:id="153111523">
      <w:bodyDiv w:val="1"/>
      <w:marLeft w:val="0"/>
      <w:marRight w:val="0"/>
      <w:marTop w:val="0"/>
      <w:marBottom w:val="0"/>
      <w:divBdr>
        <w:top w:val="none" w:sz="0" w:space="0" w:color="auto"/>
        <w:left w:val="none" w:sz="0" w:space="0" w:color="auto"/>
        <w:bottom w:val="none" w:sz="0" w:space="0" w:color="auto"/>
        <w:right w:val="none" w:sz="0" w:space="0" w:color="auto"/>
      </w:divBdr>
    </w:div>
    <w:div w:id="159660640">
      <w:bodyDiv w:val="1"/>
      <w:marLeft w:val="0"/>
      <w:marRight w:val="0"/>
      <w:marTop w:val="0"/>
      <w:marBottom w:val="0"/>
      <w:divBdr>
        <w:top w:val="none" w:sz="0" w:space="0" w:color="auto"/>
        <w:left w:val="none" w:sz="0" w:space="0" w:color="auto"/>
        <w:bottom w:val="none" w:sz="0" w:space="0" w:color="auto"/>
        <w:right w:val="none" w:sz="0" w:space="0" w:color="auto"/>
      </w:divBdr>
    </w:div>
    <w:div w:id="168720712">
      <w:bodyDiv w:val="1"/>
      <w:marLeft w:val="0"/>
      <w:marRight w:val="0"/>
      <w:marTop w:val="0"/>
      <w:marBottom w:val="0"/>
      <w:divBdr>
        <w:top w:val="none" w:sz="0" w:space="0" w:color="auto"/>
        <w:left w:val="none" w:sz="0" w:space="0" w:color="auto"/>
        <w:bottom w:val="none" w:sz="0" w:space="0" w:color="auto"/>
        <w:right w:val="none" w:sz="0" w:space="0" w:color="auto"/>
      </w:divBdr>
      <w:divsChild>
        <w:div w:id="2117289155">
          <w:blockQuote w:val="1"/>
          <w:marLeft w:val="0"/>
          <w:marRight w:val="0"/>
          <w:marTop w:val="0"/>
          <w:marBottom w:val="0"/>
          <w:divBdr>
            <w:top w:val="none" w:sz="0" w:space="0" w:color="auto"/>
            <w:left w:val="single" w:sz="6" w:space="18" w:color="707070"/>
            <w:bottom w:val="none" w:sz="0" w:space="0" w:color="auto"/>
            <w:right w:val="none" w:sz="0" w:space="0" w:color="auto"/>
          </w:divBdr>
          <w:divsChild>
            <w:div w:id="696270655">
              <w:marLeft w:val="0"/>
              <w:marRight w:val="0"/>
              <w:marTop w:val="120"/>
              <w:marBottom w:val="60"/>
              <w:divBdr>
                <w:top w:val="none" w:sz="0" w:space="0" w:color="auto"/>
                <w:left w:val="none" w:sz="0" w:space="0" w:color="auto"/>
                <w:bottom w:val="none" w:sz="0" w:space="0" w:color="auto"/>
                <w:right w:val="none" w:sz="0" w:space="0" w:color="auto"/>
              </w:divBdr>
            </w:div>
          </w:divsChild>
        </w:div>
      </w:divsChild>
    </w:div>
    <w:div w:id="180749486">
      <w:bodyDiv w:val="1"/>
      <w:marLeft w:val="0"/>
      <w:marRight w:val="0"/>
      <w:marTop w:val="0"/>
      <w:marBottom w:val="0"/>
      <w:divBdr>
        <w:top w:val="none" w:sz="0" w:space="0" w:color="auto"/>
        <w:left w:val="none" w:sz="0" w:space="0" w:color="auto"/>
        <w:bottom w:val="none" w:sz="0" w:space="0" w:color="auto"/>
        <w:right w:val="none" w:sz="0" w:space="0" w:color="auto"/>
      </w:divBdr>
    </w:div>
    <w:div w:id="200677580">
      <w:bodyDiv w:val="1"/>
      <w:marLeft w:val="0"/>
      <w:marRight w:val="0"/>
      <w:marTop w:val="0"/>
      <w:marBottom w:val="0"/>
      <w:divBdr>
        <w:top w:val="none" w:sz="0" w:space="0" w:color="auto"/>
        <w:left w:val="none" w:sz="0" w:space="0" w:color="auto"/>
        <w:bottom w:val="none" w:sz="0" w:space="0" w:color="auto"/>
        <w:right w:val="none" w:sz="0" w:space="0" w:color="auto"/>
      </w:divBdr>
    </w:div>
    <w:div w:id="233709949">
      <w:bodyDiv w:val="1"/>
      <w:marLeft w:val="0"/>
      <w:marRight w:val="0"/>
      <w:marTop w:val="0"/>
      <w:marBottom w:val="0"/>
      <w:divBdr>
        <w:top w:val="none" w:sz="0" w:space="0" w:color="auto"/>
        <w:left w:val="none" w:sz="0" w:space="0" w:color="auto"/>
        <w:bottom w:val="none" w:sz="0" w:space="0" w:color="auto"/>
        <w:right w:val="none" w:sz="0" w:space="0" w:color="auto"/>
      </w:divBdr>
    </w:div>
    <w:div w:id="265618692">
      <w:bodyDiv w:val="1"/>
      <w:marLeft w:val="0"/>
      <w:marRight w:val="0"/>
      <w:marTop w:val="0"/>
      <w:marBottom w:val="0"/>
      <w:divBdr>
        <w:top w:val="none" w:sz="0" w:space="0" w:color="auto"/>
        <w:left w:val="none" w:sz="0" w:space="0" w:color="auto"/>
        <w:bottom w:val="none" w:sz="0" w:space="0" w:color="auto"/>
        <w:right w:val="none" w:sz="0" w:space="0" w:color="auto"/>
      </w:divBdr>
    </w:div>
    <w:div w:id="268464300">
      <w:bodyDiv w:val="1"/>
      <w:marLeft w:val="0"/>
      <w:marRight w:val="0"/>
      <w:marTop w:val="0"/>
      <w:marBottom w:val="0"/>
      <w:divBdr>
        <w:top w:val="none" w:sz="0" w:space="0" w:color="auto"/>
        <w:left w:val="none" w:sz="0" w:space="0" w:color="auto"/>
        <w:bottom w:val="none" w:sz="0" w:space="0" w:color="auto"/>
        <w:right w:val="none" w:sz="0" w:space="0" w:color="auto"/>
      </w:divBdr>
    </w:div>
    <w:div w:id="276371152">
      <w:bodyDiv w:val="1"/>
      <w:marLeft w:val="0"/>
      <w:marRight w:val="0"/>
      <w:marTop w:val="0"/>
      <w:marBottom w:val="0"/>
      <w:divBdr>
        <w:top w:val="none" w:sz="0" w:space="0" w:color="auto"/>
        <w:left w:val="none" w:sz="0" w:space="0" w:color="auto"/>
        <w:bottom w:val="none" w:sz="0" w:space="0" w:color="auto"/>
        <w:right w:val="none" w:sz="0" w:space="0" w:color="auto"/>
      </w:divBdr>
    </w:div>
    <w:div w:id="317462806">
      <w:bodyDiv w:val="1"/>
      <w:marLeft w:val="0"/>
      <w:marRight w:val="0"/>
      <w:marTop w:val="0"/>
      <w:marBottom w:val="0"/>
      <w:divBdr>
        <w:top w:val="none" w:sz="0" w:space="0" w:color="auto"/>
        <w:left w:val="none" w:sz="0" w:space="0" w:color="auto"/>
        <w:bottom w:val="none" w:sz="0" w:space="0" w:color="auto"/>
        <w:right w:val="none" w:sz="0" w:space="0" w:color="auto"/>
      </w:divBdr>
    </w:div>
    <w:div w:id="321785575">
      <w:bodyDiv w:val="1"/>
      <w:marLeft w:val="0"/>
      <w:marRight w:val="0"/>
      <w:marTop w:val="0"/>
      <w:marBottom w:val="0"/>
      <w:divBdr>
        <w:top w:val="none" w:sz="0" w:space="0" w:color="auto"/>
        <w:left w:val="none" w:sz="0" w:space="0" w:color="auto"/>
        <w:bottom w:val="none" w:sz="0" w:space="0" w:color="auto"/>
        <w:right w:val="none" w:sz="0" w:space="0" w:color="auto"/>
      </w:divBdr>
    </w:div>
    <w:div w:id="337779074">
      <w:bodyDiv w:val="1"/>
      <w:marLeft w:val="0"/>
      <w:marRight w:val="0"/>
      <w:marTop w:val="0"/>
      <w:marBottom w:val="0"/>
      <w:divBdr>
        <w:top w:val="none" w:sz="0" w:space="0" w:color="auto"/>
        <w:left w:val="none" w:sz="0" w:space="0" w:color="auto"/>
        <w:bottom w:val="none" w:sz="0" w:space="0" w:color="auto"/>
        <w:right w:val="none" w:sz="0" w:space="0" w:color="auto"/>
      </w:divBdr>
    </w:div>
    <w:div w:id="363603178">
      <w:bodyDiv w:val="1"/>
      <w:marLeft w:val="0"/>
      <w:marRight w:val="0"/>
      <w:marTop w:val="0"/>
      <w:marBottom w:val="0"/>
      <w:divBdr>
        <w:top w:val="none" w:sz="0" w:space="0" w:color="auto"/>
        <w:left w:val="none" w:sz="0" w:space="0" w:color="auto"/>
        <w:bottom w:val="none" w:sz="0" w:space="0" w:color="auto"/>
        <w:right w:val="none" w:sz="0" w:space="0" w:color="auto"/>
      </w:divBdr>
    </w:div>
    <w:div w:id="366026374">
      <w:bodyDiv w:val="1"/>
      <w:marLeft w:val="0"/>
      <w:marRight w:val="0"/>
      <w:marTop w:val="0"/>
      <w:marBottom w:val="0"/>
      <w:divBdr>
        <w:top w:val="none" w:sz="0" w:space="0" w:color="auto"/>
        <w:left w:val="none" w:sz="0" w:space="0" w:color="auto"/>
        <w:bottom w:val="none" w:sz="0" w:space="0" w:color="auto"/>
        <w:right w:val="none" w:sz="0" w:space="0" w:color="auto"/>
      </w:divBdr>
    </w:div>
    <w:div w:id="411779683">
      <w:bodyDiv w:val="1"/>
      <w:marLeft w:val="0"/>
      <w:marRight w:val="0"/>
      <w:marTop w:val="0"/>
      <w:marBottom w:val="0"/>
      <w:divBdr>
        <w:top w:val="none" w:sz="0" w:space="0" w:color="auto"/>
        <w:left w:val="none" w:sz="0" w:space="0" w:color="auto"/>
        <w:bottom w:val="none" w:sz="0" w:space="0" w:color="auto"/>
        <w:right w:val="none" w:sz="0" w:space="0" w:color="auto"/>
      </w:divBdr>
    </w:div>
    <w:div w:id="416710471">
      <w:bodyDiv w:val="1"/>
      <w:marLeft w:val="0"/>
      <w:marRight w:val="0"/>
      <w:marTop w:val="0"/>
      <w:marBottom w:val="0"/>
      <w:divBdr>
        <w:top w:val="none" w:sz="0" w:space="0" w:color="auto"/>
        <w:left w:val="none" w:sz="0" w:space="0" w:color="auto"/>
        <w:bottom w:val="none" w:sz="0" w:space="0" w:color="auto"/>
        <w:right w:val="none" w:sz="0" w:space="0" w:color="auto"/>
      </w:divBdr>
    </w:div>
    <w:div w:id="442846993">
      <w:bodyDiv w:val="1"/>
      <w:marLeft w:val="0"/>
      <w:marRight w:val="0"/>
      <w:marTop w:val="0"/>
      <w:marBottom w:val="0"/>
      <w:divBdr>
        <w:top w:val="none" w:sz="0" w:space="0" w:color="auto"/>
        <w:left w:val="none" w:sz="0" w:space="0" w:color="auto"/>
        <w:bottom w:val="none" w:sz="0" w:space="0" w:color="auto"/>
        <w:right w:val="none" w:sz="0" w:space="0" w:color="auto"/>
      </w:divBdr>
    </w:div>
    <w:div w:id="448668550">
      <w:bodyDiv w:val="1"/>
      <w:marLeft w:val="0"/>
      <w:marRight w:val="0"/>
      <w:marTop w:val="0"/>
      <w:marBottom w:val="0"/>
      <w:divBdr>
        <w:top w:val="none" w:sz="0" w:space="0" w:color="auto"/>
        <w:left w:val="none" w:sz="0" w:space="0" w:color="auto"/>
        <w:bottom w:val="none" w:sz="0" w:space="0" w:color="auto"/>
        <w:right w:val="none" w:sz="0" w:space="0" w:color="auto"/>
      </w:divBdr>
    </w:div>
    <w:div w:id="483205529">
      <w:bodyDiv w:val="1"/>
      <w:marLeft w:val="0"/>
      <w:marRight w:val="0"/>
      <w:marTop w:val="0"/>
      <w:marBottom w:val="0"/>
      <w:divBdr>
        <w:top w:val="none" w:sz="0" w:space="0" w:color="auto"/>
        <w:left w:val="none" w:sz="0" w:space="0" w:color="auto"/>
        <w:bottom w:val="none" w:sz="0" w:space="0" w:color="auto"/>
        <w:right w:val="none" w:sz="0" w:space="0" w:color="auto"/>
      </w:divBdr>
    </w:div>
    <w:div w:id="496193603">
      <w:bodyDiv w:val="1"/>
      <w:marLeft w:val="0"/>
      <w:marRight w:val="0"/>
      <w:marTop w:val="0"/>
      <w:marBottom w:val="0"/>
      <w:divBdr>
        <w:top w:val="none" w:sz="0" w:space="0" w:color="auto"/>
        <w:left w:val="none" w:sz="0" w:space="0" w:color="auto"/>
        <w:bottom w:val="none" w:sz="0" w:space="0" w:color="auto"/>
        <w:right w:val="none" w:sz="0" w:space="0" w:color="auto"/>
      </w:divBdr>
    </w:div>
    <w:div w:id="504396735">
      <w:bodyDiv w:val="1"/>
      <w:marLeft w:val="0"/>
      <w:marRight w:val="0"/>
      <w:marTop w:val="0"/>
      <w:marBottom w:val="0"/>
      <w:divBdr>
        <w:top w:val="none" w:sz="0" w:space="0" w:color="auto"/>
        <w:left w:val="none" w:sz="0" w:space="0" w:color="auto"/>
        <w:bottom w:val="none" w:sz="0" w:space="0" w:color="auto"/>
        <w:right w:val="none" w:sz="0" w:space="0" w:color="auto"/>
      </w:divBdr>
    </w:div>
    <w:div w:id="510074039">
      <w:bodyDiv w:val="1"/>
      <w:marLeft w:val="0"/>
      <w:marRight w:val="0"/>
      <w:marTop w:val="0"/>
      <w:marBottom w:val="0"/>
      <w:divBdr>
        <w:top w:val="none" w:sz="0" w:space="0" w:color="auto"/>
        <w:left w:val="none" w:sz="0" w:space="0" w:color="auto"/>
        <w:bottom w:val="none" w:sz="0" w:space="0" w:color="auto"/>
        <w:right w:val="none" w:sz="0" w:space="0" w:color="auto"/>
      </w:divBdr>
    </w:div>
    <w:div w:id="512719099">
      <w:bodyDiv w:val="1"/>
      <w:marLeft w:val="0"/>
      <w:marRight w:val="0"/>
      <w:marTop w:val="0"/>
      <w:marBottom w:val="0"/>
      <w:divBdr>
        <w:top w:val="none" w:sz="0" w:space="0" w:color="auto"/>
        <w:left w:val="none" w:sz="0" w:space="0" w:color="auto"/>
        <w:bottom w:val="none" w:sz="0" w:space="0" w:color="auto"/>
        <w:right w:val="none" w:sz="0" w:space="0" w:color="auto"/>
      </w:divBdr>
    </w:div>
    <w:div w:id="516190275">
      <w:bodyDiv w:val="1"/>
      <w:marLeft w:val="0"/>
      <w:marRight w:val="0"/>
      <w:marTop w:val="0"/>
      <w:marBottom w:val="0"/>
      <w:divBdr>
        <w:top w:val="none" w:sz="0" w:space="0" w:color="auto"/>
        <w:left w:val="none" w:sz="0" w:space="0" w:color="auto"/>
        <w:bottom w:val="none" w:sz="0" w:space="0" w:color="auto"/>
        <w:right w:val="none" w:sz="0" w:space="0" w:color="auto"/>
      </w:divBdr>
    </w:div>
    <w:div w:id="538786249">
      <w:bodyDiv w:val="1"/>
      <w:marLeft w:val="0"/>
      <w:marRight w:val="0"/>
      <w:marTop w:val="0"/>
      <w:marBottom w:val="0"/>
      <w:divBdr>
        <w:top w:val="none" w:sz="0" w:space="0" w:color="auto"/>
        <w:left w:val="none" w:sz="0" w:space="0" w:color="auto"/>
        <w:bottom w:val="none" w:sz="0" w:space="0" w:color="auto"/>
        <w:right w:val="none" w:sz="0" w:space="0" w:color="auto"/>
      </w:divBdr>
    </w:div>
    <w:div w:id="548614688">
      <w:bodyDiv w:val="1"/>
      <w:marLeft w:val="0"/>
      <w:marRight w:val="0"/>
      <w:marTop w:val="0"/>
      <w:marBottom w:val="0"/>
      <w:divBdr>
        <w:top w:val="none" w:sz="0" w:space="0" w:color="auto"/>
        <w:left w:val="none" w:sz="0" w:space="0" w:color="auto"/>
        <w:bottom w:val="none" w:sz="0" w:space="0" w:color="auto"/>
        <w:right w:val="none" w:sz="0" w:space="0" w:color="auto"/>
      </w:divBdr>
    </w:div>
    <w:div w:id="560478534">
      <w:bodyDiv w:val="1"/>
      <w:marLeft w:val="0"/>
      <w:marRight w:val="0"/>
      <w:marTop w:val="0"/>
      <w:marBottom w:val="0"/>
      <w:divBdr>
        <w:top w:val="none" w:sz="0" w:space="0" w:color="auto"/>
        <w:left w:val="none" w:sz="0" w:space="0" w:color="auto"/>
        <w:bottom w:val="none" w:sz="0" w:space="0" w:color="auto"/>
        <w:right w:val="none" w:sz="0" w:space="0" w:color="auto"/>
      </w:divBdr>
      <w:divsChild>
        <w:div w:id="1899781841">
          <w:blockQuote w:val="1"/>
          <w:marLeft w:val="0"/>
          <w:marRight w:val="0"/>
          <w:marTop w:val="0"/>
          <w:marBottom w:val="0"/>
          <w:divBdr>
            <w:top w:val="none" w:sz="0" w:space="0" w:color="auto"/>
            <w:left w:val="single" w:sz="6" w:space="18" w:color="707070"/>
            <w:bottom w:val="none" w:sz="0" w:space="0" w:color="auto"/>
            <w:right w:val="none" w:sz="0" w:space="0" w:color="auto"/>
          </w:divBdr>
        </w:div>
      </w:divsChild>
    </w:div>
    <w:div w:id="587620680">
      <w:bodyDiv w:val="1"/>
      <w:marLeft w:val="0"/>
      <w:marRight w:val="0"/>
      <w:marTop w:val="0"/>
      <w:marBottom w:val="0"/>
      <w:divBdr>
        <w:top w:val="none" w:sz="0" w:space="0" w:color="auto"/>
        <w:left w:val="none" w:sz="0" w:space="0" w:color="auto"/>
        <w:bottom w:val="none" w:sz="0" w:space="0" w:color="auto"/>
        <w:right w:val="none" w:sz="0" w:space="0" w:color="auto"/>
      </w:divBdr>
    </w:div>
    <w:div w:id="602080510">
      <w:bodyDiv w:val="1"/>
      <w:marLeft w:val="0"/>
      <w:marRight w:val="0"/>
      <w:marTop w:val="0"/>
      <w:marBottom w:val="0"/>
      <w:divBdr>
        <w:top w:val="none" w:sz="0" w:space="0" w:color="auto"/>
        <w:left w:val="none" w:sz="0" w:space="0" w:color="auto"/>
        <w:bottom w:val="none" w:sz="0" w:space="0" w:color="auto"/>
        <w:right w:val="none" w:sz="0" w:space="0" w:color="auto"/>
      </w:divBdr>
    </w:div>
    <w:div w:id="650669561">
      <w:bodyDiv w:val="1"/>
      <w:marLeft w:val="0"/>
      <w:marRight w:val="0"/>
      <w:marTop w:val="0"/>
      <w:marBottom w:val="0"/>
      <w:divBdr>
        <w:top w:val="none" w:sz="0" w:space="0" w:color="auto"/>
        <w:left w:val="none" w:sz="0" w:space="0" w:color="auto"/>
        <w:bottom w:val="none" w:sz="0" w:space="0" w:color="auto"/>
        <w:right w:val="none" w:sz="0" w:space="0" w:color="auto"/>
      </w:divBdr>
      <w:divsChild>
        <w:div w:id="1097214620">
          <w:marLeft w:val="0"/>
          <w:marRight w:val="0"/>
          <w:marTop w:val="0"/>
          <w:marBottom w:val="0"/>
          <w:divBdr>
            <w:top w:val="none" w:sz="0" w:space="0" w:color="auto"/>
            <w:left w:val="none" w:sz="0" w:space="0" w:color="auto"/>
            <w:bottom w:val="none" w:sz="0" w:space="0" w:color="auto"/>
            <w:right w:val="none" w:sz="0" w:space="0" w:color="auto"/>
          </w:divBdr>
        </w:div>
      </w:divsChild>
    </w:div>
    <w:div w:id="697391151">
      <w:bodyDiv w:val="1"/>
      <w:marLeft w:val="0"/>
      <w:marRight w:val="0"/>
      <w:marTop w:val="0"/>
      <w:marBottom w:val="0"/>
      <w:divBdr>
        <w:top w:val="none" w:sz="0" w:space="0" w:color="auto"/>
        <w:left w:val="none" w:sz="0" w:space="0" w:color="auto"/>
        <w:bottom w:val="none" w:sz="0" w:space="0" w:color="auto"/>
        <w:right w:val="none" w:sz="0" w:space="0" w:color="auto"/>
      </w:divBdr>
    </w:div>
    <w:div w:id="719599966">
      <w:bodyDiv w:val="1"/>
      <w:marLeft w:val="0"/>
      <w:marRight w:val="0"/>
      <w:marTop w:val="0"/>
      <w:marBottom w:val="0"/>
      <w:divBdr>
        <w:top w:val="none" w:sz="0" w:space="0" w:color="auto"/>
        <w:left w:val="none" w:sz="0" w:space="0" w:color="auto"/>
        <w:bottom w:val="none" w:sz="0" w:space="0" w:color="auto"/>
        <w:right w:val="none" w:sz="0" w:space="0" w:color="auto"/>
      </w:divBdr>
    </w:div>
    <w:div w:id="767233988">
      <w:bodyDiv w:val="1"/>
      <w:marLeft w:val="0"/>
      <w:marRight w:val="0"/>
      <w:marTop w:val="0"/>
      <w:marBottom w:val="0"/>
      <w:divBdr>
        <w:top w:val="none" w:sz="0" w:space="0" w:color="auto"/>
        <w:left w:val="none" w:sz="0" w:space="0" w:color="auto"/>
        <w:bottom w:val="none" w:sz="0" w:space="0" w:color="auto"/>
        <w:right w:val="none" w:sz="0" w:space="0" w:color="auto"/>
      </w:divBdr>
    </w:div>
    <w:div w:id="771048277">
      <w:bodyDiv w:val="1"/>
      <w:marLeft w:val="0"/>
      <w:marRight w:val="0"/>
      <w:marTop w:val="0"/>
      <w:marBottom w:val="0"/>
      <w:divBdr>
        <w:top w:val="none" w:sz="0" w:space="0" w:color="auto"/>
        <w:left w:val="none" w:sz="0" w:space="0" w:color="auto"/>
        <w:bottom w:val="none" w:sz="0" w:space="0" w:color="auto"/>
        <w:right w:val="none" w:sz="0" w:space="0" w:color="auto"/>
      </w:divBdr>
    </w:div>
    <w:div w:id="784425682">
      <w:bodyDiv w:val="1"/>
      <w:marLeft w:val="0"/>
      <w:marRight w:val="0"/>
      <w:marTop w:val="0"/>
      <w:marBottom w:val="0"/>
      <w:divBdr>
        <w:top w:val="none" w:sz="0" w:space="0" w:color="auto"/>
        <w:left w:val="none" w:sz="0" w:space="0" w:color="auto"/>
        <w:bottom w:val="none" w:sz="0" w:space="0" w:color="auto"/>
        <w:right w:val="none" w:sz="0" w:space="0" w:color="auto"/>
      </w:divBdr>
    </w:div>
    <w:div w:id="806164664">
      <w:bodyDiv w:val="1"/>
      <w:marLeft w:val="0"/>
      <w:marRight w:val="0"/>
      <w:marTop w:val="0"/>
      <w:marBottom w:val="0"/>
      <w:divBdr>
        <w:top w:val="none" w:sz="0" w:space="0" w:color="auto"/>
        <w:left w:val="none" w:sz="0" w:space="0" w:color="auto"/>
        <w:bottom w:val="none" w:sz="0" w:space="0" w:color="auto"/>
        <w:right w:val="none" w:sz="0" w:space="0" w:color="auto"/>
      </w:divBdr>
    </w:div>
    <w:div w:id="844514991">
      <w:bodyDiv w:val="1"/>
      <w:marLeft w:val="0"/>
      <w:marRight w:val="0"/>
      <w:marTop w:val="0"/>
      <w:marBottom w:val="0"/>
      <w:divBdr>
        <w:top w:val="none" w:sz="0" w:space="0" w:color="auto"/>
        <w:left w:val="none" w:sz="0" w:space="0" w:color="auto"/>
        <w:bottom w:val="none" w:sz="0" w:space="0" w:color="auto"/>
        <w:right w:val="none" w:sz="0" w:space="0" w:color="auto"/>
      </w:divBdr>
    </w:div>
    <w:div w:id="873270826">
      <w:bodyDiv w:val="1"/>
      <w:marLeft w:val="0"/>
      <w:marRight w:val="0"/>
      <w:marTop w:val="0"/>
      <w:marBottom w:val="0"/>
      <w:divBdr>
        <w:top w:val="none" w:sz="0" w:space="0" w:color="auto"/>
        <w:left w:val="none" w:sz="0" w:space="0" w:color="auto"/>
        <w:bottom w:val="none" w:sz="0" w:space="0" w:color="auto"/>
        <w:right w:val="none" w:sz="0" w:space="0" w:color="auto"/>
      </w:divBdr>
    </w:div>
    <w:div w:id="879587665">
      <w:bodyDiv w:val="1"/>
      <w:marLeft w:val="0"/>
      <w:marRight w:val="0"/>
      <w:marTop w:val="0"/>
      <w:marBottom w:val="0"/>
      <w:divBdr>
        <w:top w:val="none" w:sz="0" w:space="0" w:color="auto"/>
        <w:left w:val="none" w:sz="0" w:space="0" w:color="auto"/>
        <w:bottom w:val="none" w:sz="0" w:space="0" w:color="auto"/>
        <w:right w:val="none" w:sz="0" w:space="0" w:color="auto"/>
      </w:divBdr>
      <w:divsChild>
        <w:div w:id="372582138">
          <w:marLeft w:val="0"/>
          <w:marRight w:val="0"/>
          <w:marTop w:val="120"/>
          <w:marBottom w:val="60"/>
          <w:divBdr>
            <w:top w:val="none" w:sz="0" w:space="0" w:color="auto"/>
            <w:left w:val="none" w:sz="0" w:space="0" w:color="auto"/>
            <w:bottom w:val="none" w:sz="0" w:space="0" w:color="auto"/>
            <w:right w:val="none" w:sz="0" w:space="0" w:color="auto"/>
          </w:divBdr>
        </w:div>
        <w:div w:id="1200585563">
          <w:marLeft w:val="0"/>
          <w:marRight w:val="0"/>
          <w:marTop w:val="120"/>
          <w:marBottom w:val="60"/>
          <w:divBdr>
            <w:top w:val="none" w:sz="0" w:space="0" w:color="auto"/>
            <w:left w:val="none" w:sz="0" w:space="0" w:color="auto"/>
            <w:bottom w:val="none" w:sz="0" w:space="0" w:color="auto"/>
            <w:right w:val="none" w:sz="0" w:space="0" w:color="auto"/>
          </w:divBdr>
        </w:div>
        <w:div w:id="125204331">
          <w:marLeft w:val="0"/>
          <w:marRight w:val="0"/>
          <w:marTop w:val="120"/>
          <w:marBottom w:val="60"/>
          <w:divBdr>
            <w:top w:val="none" w:sz="0" w:space="0" w:color="auto"/>
            <w:left w:val="none" w:sz="0" w:space="0" w:color="auto"/>
            <w:bottom w:val="none" w:sz="0" w:space="0" w:color="auto"/>
            <w:right w:val="none" w:sz="0" w:space="0" w:color="auto"/>
          </w:divBdr>
        </w:div>
        <w:div w:id="1912036434">
          <w:marLeft w:val="0"/>
          <w:marRight w:val="0"/>
          <w:marTop w:val="120"/>
          <w:marBottom w:val="60"/>
          <w:divBdr>
            <w:top w:val="none" w:sz="0" w:space="0" w:color="auto"/>
            <w:left w:val="none" w:sz="0" w:space="0" w:color="auto"/>
            <w:bottom w:val="none" w:sz="0" w:space="0" w:color="auto"/>
            <w:right w:val="none" w:sz="0" w:space="0" w:color="auto"/>
          </w:divBdr>
        </w:div>
        <w:div w:id="1566985461">
          <w:marLeft w:val="0"/>
          <w:marRight w:val="0"/>
          <w:marTop w:val="120"/>
          <w:marBottom w:val="60"/>
          <w:divBdr>
            <w:top w:val="none" w:sz="0" w:space="0" w:color="auto"/>
            <w:left w:val="none" w:sz="0" w:space="0" w:color="auto"/>
            <w:bottom w:val="none" w:sz="0" w:space="0" w:color="auto"/>
            <w:right w:val="none" w:sz="0" w:space="0" w:color="auto"/>
          </w:divBdr>
        </w:div>
        <w:div w:id="1592086960">
          <w:marLeft w:val="0"/>
          <w:marRight w:val="0"/>
          <w:marTop w:val="120"/>
          <w:marBottom w:val="60"/>
          <w:divBdr>
            <w:top w:val="none" w:sz="0" w:space="0" w:color="auto"/>
            <w:left w:val="none" w:sz="0" w:space="0" w:color="auto"/>
            <w:bottom w:val="none" w:sz="0" w:space="0" w:color="auto"/>
            <w:right w:val="none" w:sz="0" w:space="0" w:color="auto"/>
          </w:divBdr>
        </w:div>
        <w:div w:id="2128237299">
          <w:marLeft w:val="0"/>
          <w:marRight w:val="0"/>
          <w:marTop w:val="120"/>
          <w:marBottom w:val="60"/>
          <w:divBdr>
            <w:top w:val="none" w:sz="0" w:space="0" w:color="auto"/>
            <w:left w:val="none" w:sz="0" w:space="0" w:color="auto"/>
            <w:bottom w:val="none" w:sz="0" w:space="0" w:color="auto"/>
            <w:right w:val="none" w:sz="0" w:space="0" w:color="auto"/>
          </w:divBdr>
        </w:div>
        <w:div w:id="1447506675">
          <w:marLeft w:val="0"/>
          <w:marRight w:val="0"/>
          <w:marTop w:val="120"/>
          <w:marBottom w:val="60"/>
          <w:divBdr>
            <w:top w:val="none" w:sz="0" w:space="0" w:color="auto"/>
            <w:left w:val="none" w:sz="0" w:space="0" w:color="auto"/>
            <w:bottom w:val="none" w:sz="0" w:space="0" w:color="auto"/>
            <w:right w:val="none" w:sz="0" w:space="0" w:color="auto"/>
          </w:divBdr>
        </w:div>
      </w:divsChild>
    </w:div>
    <w:div w:id="929042694">
      <w:bodyDiv w:val="1"/>
      <w:marLeft w:val="0"/>
      <w:marRight w:val="0"/>
      <w:marTop w:val="0"/>
      <w:marBottom w:val="0"/>
      <w:divBdr>
        <w:top w:val="none" w:sz="0" w:space="0" w:color="auto"/>
        <w:left w:val="none" w:sz="0" w:space="0" w:color="auto"/>
        <w:bottom w:val="none" w:sz="0" w:space="0" w:color="auto"/>
        <w:right w:val="none" w:sz="0" w:space="0" w:color="auto"/>
      </w:divBdr>
    </w:div>
    <w:div w:id="932862808">
      <w:bodyDiv w:val="1"/>
      <w:marLeft w:val="0"/>
      <w:marRight w:val="0"/>
      <w:marTop w:val="0"/>
      <w:marBottom w:val="0"/>
      <w:divBdr>
        <w:top w:val="none" w:sz="0" w:space="0" w:color="auto"/>
        <w:left w:val="none" w:sz="0" w:space="0" w:color="auto"/>
        <w:bottom w:val="none" w:sz="0" w:space="0" w:color="auto"/>
        <w:right w:val="none" w:sz="0" w:space="0" w:color="auto"/>
      </w:divBdr>
    </w:div>
    <w:div w:id="938178994">
      <w:bodyDiv w:val="1"/>
      <w:marLeft w:val="0"/>
      <w:marRight w:val="0"/>
      <w:marTop w:val="0"/>
      <w:marBottom w:val="0"/>
      <w:divBdr>
        <w:top w:val="none" w:sz="0" w:space="0" w:color="auto"/>
        <w:left w:val="none" w:sz="0" w:space="0" w:color="auto"/>
        <w:bottom w:val="none" w:sz="0" w:space="0" w:color="auto"/>
        <w:right w:val="none" w:sz="0" w:space="0" w:color="auto"/>
      </w:divBdr>
      <w:divsChild>
        <w:div w:id="15584735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80236372">
      <w:bodyDiv w:val="1"/>
      <w:marLeft w:val="0"/>
      <w:marRight w:val="0"/>
      <w:marTop w:val="0"/>
      <w:marBottom w:val="0"/>
      <w:divBdr>
        <w:top w:val="none" w:sz="0" w:space="0" w:color="auto"/>
        <w:left w:val="none" w:sz="0" w:space="0" w:color="auto"/>
        <w:bottom w:val="none" w:sz="0" w:space="0" w:color="auto"/>
        <w:right w:val="none" w:sz="0" w:space="0" w:color="auto"/>
      </w:divBdr>
      <w:divsChild>
        <w:div w:id="1378354739">
          <w:marLeft w:val="0"/>
          <w:marRight w:val="0"/>
          <w:marTop w:val="0"/>
          <w:marBottom w:val="0"/>
          <w:divBdr>
            <w:top w:val="none" w:sz="0" w:space="0" w:color="auto"/>
            <w:left w:val="none" w:sz="0" w:space="0" w:color="auto"/>
            <w:bottom w:val="single" w:sz="12" w:space="0" w:color="0062FF"/>
            <w:right w:val="none" w:sz="0" w:space="0" w:color="auto"/>
          </w:divBdr>
          <w:divsChild>
            <w:div w:id="485052107">
              <w:marLeft w:val="0"/>
              <w:marRight w:val="0"/>
              <w:marTop w:val="0"/>
              <w:marBottom w:val="0"/>
              <w:divBdr>
                <w:top w:val="none" w:sz="0" w:space="0" w:color="auto"/>
                <w:left w:val="none" w:sz="0" w:space="0" w:color="auto"/>
                <w:bottom w:val="none" w:sz="0" w:space="0" w:color="auto"/>
                <w:right w:val="none" w:sz="0" w:space="0" w:color="auto"/>
              </w:divBdr>
              <w:divsChild>
                <w:div w:id="1773236764">
                  <w:marLeft w:val="0"/>
                  <w:marRight w:val="0"/>
                  <w:marTop w:val="0"/>
                  <w:marBottom w:val="0"/>
                  <w:divBdr>
                    <w:top w:val="none" w:sz="0" w:space="0" w:color="auto"/>
                    <w:left w:val="none" w:sz="0" w:space="0" w:color="auto"/>
                    <w:bottom w:val="none" w:sz="0" w:space="0" w:color="auto"/>
                    <w:right w:val="none" w:sz="0" w:space="0" w:color="auto"/>
                  </w:divBdr>
                </w:div>
                <w:div w:id="135037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5188481">
          <w:marLeft w:val="0"/>
          <w:marRight w:val="0"/>
          <w:marTop w:val="0"/>
          <w:marBottom w:val="0"/>
          <w:divBdr>
            <w:top w:val="none" w:sz="0" w:space="0" w:color="auto"/>
            <w:left w:val="none" w:sz="0" w:space="0" w:color="auto"/>
            <w:bottom w:val="none" w:sz="0" w:space="0" w:color="auto"/>
            <w:right w:val="none" w:sz="0" w:space="0" w:color="auto"/>
          </w:divBdr>
          <w:divsChild>
            <w:div w:id="2080705844">
              <w:marLeft w:val="0"/>
              <w:marRight w:val="0"/>
              <w:marTop w:val="0"/>
              <w:marBottom w:val="0"/>
              <w:divBdr>
                <w:top w:val="none" w:sz="0" w:space="0" w:color="auto"/>
                <w:left w:val="none" w:sz="0" w:space="0" w:color="auto"/>
                <w:bottom w:val="none" w:sz="0" w:space="0" w:color="auto"/>
                <w:right w:val="none" w:sz="0" w:space="0" w:color="auto"/>
              </w:divBdr>
              <w:divsChild>
                <w:div w:id="1507406231">
                  <w:marLeft w:val="0"/>
                  <w:marRight w:val="0"/>
                  <w:marTop w:val="0"/>
                  <w:marBottom w:val="0"/>
                  <w:divBdr>
                    <w:top w:val="none" w:sz="0" w:space="0" w:color="auto"/>
                    <w:left w:val="none" w:sz="0" w:space="0" w:color="auto"/>
                    <w:bottom w:val="none" w:sz="0" w:space="0" w:color="auto"/>
                    <w:right w:val="none" w:sz="0" w:space="0" w:color="auto"/>
                  </w:divBdr>
                  <w:divsChild>
                    <w:div w:id="755829423">
                      <w:marLeft w:val="0"/>
                      <w:marRight w:val="0"/>
                      <w:marTop w:val="0"/>
                      <w:marBottom w:val="0"/>
                      <w:divBdr>
                        <w:top w:val="none" w:sz="0" w:space="0" w:color="auto"/>
                        <w:left w:val="none" w:sz="0" w:space="0" w:color="auto"/>
                        <w:bottom w:val="none" w:sz="0" w:space="0" w:color="auto"/>
                        <w:right w:val="none" w:sz="0" w:space="0" w:color="auto"/>
                      </w:divBdr>
                      <w:divsChild>
                        <w:div w:id="1184708930">
                          <w:marLeft w:val="0"/>
                          <w:marRight w:val="0"/>
                          <w:marTop w:val="0"/>
                          <w:marBottom w:val="0"/>
                          <w:divBdr>
                            <w:top w:val="none" w:sz="0" w:space="0" w:color="auto"/>
                            <w:left w:val="none" w:sz="0" w:space="0" w:color="auto"/>
                            <w:bottom w:val="none" w:sz="0" w:space="0" w:color="auto"/>
                            <w:right w:val="none" w:sz="0" w:space="0" w:color="auto"/>
                          </w:divBdr>
                          <w:divsChild>
                            <w:div w:id="1912302828">
                              <w:marLeft w:val="0"/>
                              <w:marRight w:val="0"/>
                              <w:marTop w:val="0"/>
                              <w:marBottom w:val="0"/>
                              <w:divBdr>
                                <w:top w:val="none" w:sz="0" w:space="0" w:color="auto"/>
                                <w:left w:val="none" w:sz="0" w:space="0" w:color="auto"/>
                                <w:bottom w:val="none" w:sz="0" w:space="0" w:color="auto"/>
                                <w:right w:val="none" w:sz="0" w:space="0" w:color="auto"/>
                              </w:divBdr>
                              <w:divsChild>
                                <w:div w:id="1865168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5016345">
      <w:bodyDiv w:val="1"/>
      <w:marLeft w:val="0"/>
      <w:marRight w:val="0"/>
      <w:marTop w:val="0"/>
      <w:marBottom w:val="0"/>
      <w:divBdr>
        <w:top w:val="none" w:sz="0" w:space="0" w:color="auto"/>
        <w:left w:val="none" w:sz="0" w:space="0" w:color="auto"/>
        <w:bottom w:val="none" w:sz="0" w:space="0" w:color="auto"/>
        <w:right w:val="none" w:sz="0" w:space="0" w:color="auto"/>
      </w:divBdr>
    </w:div>
    <w:div w:id="1006177567">
      <w:bodyDiv w:val="1"/>
      <w:marLeft w:val="0"/>
      <w:marRight w:val="0"/>
      <w:marTop w:val="0"/>
      <w:marBottom w:val="0"/>
      <w:divBdr>
        <w:top w:val="none" w:sz="0" w:space="0" w:color="auto"/>
        <w:left w:val="none" w:sz="0" w:space="0" w:color="auto"/>
        <w:bottom w:val="none" w:sz="0" w:space="0" w:color="auto"/>
        <w:right w:val="none" w:sz="0" w:space="0" w:color="auto"/>
      </w:divBdr>
    </w:div>
    <w:div w:id="1008290138">
      <w:bodyDiv w:val="1"/>
      <w:marLeft w:val="0"/>
      <w:marRight w:val="0"/>
      <w:marTop w:val="0"/>
      <w:marBottom w:val="0"/>
      <w:divBdr>
        <w:top w:val="none" w:sz="0" w:space="0" w:color="auto"/>
        <w:left w:val="none" w:sz="0" w:space="0" w:color="auto"/>
        <w:bottom w:val="none" w:sz="0" w:space="0" w:color="auto"/>
        <w:right w:val="none" w:sz="0" w:space="0" w:color="auto"/>
      </w:divBdr>
    </w:div>
    <w:div w:id="1021201379">
      <w:bodyDiv w:val="1"/>
      <w:marLeft w:val="0"/>
      <w:marRight w:val="0"/>
      <w:marTop w:val="0"/>
      <w:marBottom w:val="0"/>
      <w:divBdr>
        <w:top w:val="none" w:sz="0" w:space="0" w:color="auto"/>
        <w:left w:val="none" w:sz="0" w:space="0" w:color="auto"/>
        <w:bottom w:val="none" w:sz="0" w:space="0" w:color="auto"/>
        <w:right w:val="none" w:sz="0" w:space="0" w:color="auto"/>
      </w:divBdr>
    </w:div>
    <w:div w:id="1064991257">
      <w:bodyDiv w:val="1"/>
      <w:marLeft w:val="0"/>
      <w:marRight w:val="0"/>
      <w:marTop w:val="0"/>
      <w:marBottom w:val="0"/>
      <w:divBdr>
        <w:top w:val="none" w:sz="0" w:space="0" w:color="auto"/>
        <w:left w:val="none" w:sz="0" w:space="0" w:color="auto"/>
        <w:bottom w:val="none" w:sz="0" w:space="0" w:color="auto"/>
        <w:right w:val="none" w:sz="0" w:space="0" w:color="auto"/>
      </w:divBdr>
      <w:divsChild>
        <w:div w:id="1626231425">
          <w:marLeft w:val="0"/>
          <w:marRight w:val="0"/>
          <w:marTop w:val="0"/>
          <w:marBottom w:val="0"/>
          <w:divBdr>
            <w:top w:val="none" w:sz="0" w:space="0" w:color="auto"/>
            <w:left w:val="none" w:sz="0" w:space="0" w:color="auto"/>
            <w:bottom w:val="none" w:sz="0" w:space="0" w:color="auto"/>
            <w:right w:val="none" w:sz="0" w:space="0" w:color="auto"/>
          </w:divBdr>
          <w:divsChild>
            <w:div w:id="1765103514">
              <w:marLeft w:val="0"/>
              <w:marRight w:val="0"/>
              <w:marTop w:val="0"/>
              <w:marBottom w:val="0"/>
              <w:divBdr>
                <w:top w:val="none" w:sz="0" w:space="0" w:color="auto"/>
                <w:left w:val="none" w:sz="0" w:space="0" w:color="auto"/>
                <w:bottom w:val="none" w:sz="0" w:space="0" w:color="auto"/>
                <w:right w:val="none" w:sz="0" w:space="0" w:color="auto"/>
              </w:divBdr>
              <w:divsChild>
                <w:div w:id="173808024">
                  <w:marLeft w:val="0"/>
                  <w:marRight w:val="0"/>
                  <w:marTop w:val="0"/>
                  <w:marBottom w:val="0"/>
                  <w:divBdr>
                    <w:top w:val="none" w:sz="0" w:space="0" w:color="auto"/>
                    <w:left w:val="none" w:sz="0" w:space="0" w:color="auto"/>
                    <w:bottom w:val="none" w:sz="0" w:space="0" w:color="auto"/>
                    <w:right w:val="none" w:sz="0" w:space="0" w:color="auto"/>
                  </w:divBdr>
                  <w:divsChild>
                    <w:div w:id="187985344">
                      <w:marLeft w:val="0"/>
                      <w:marRight w:val="0"/>
                      <w:marTop w:val="0"/>
                      <w:marBottom w:val="0"/>
                      <w:divBdr>
                        <w:top w:val="none" w:sz="0" w:space="0" w:color="auto"/>
                        <w:left w:val="none" w:sz="0" w:space="0" w:color="auto"/>
                        <w:bottom w:val="none" w:sz="0" w:space="0" w:color="auto"/>
                        <w:right w:val="none" w:sz="0" w:space="0" w:color="auto"/>
                      </w:divBdr>
                      <w:divsChild>
                        <w:div w:id="816916436">
                          <w:marLeft w:val="0"/>
                          <w:marRight w:val="0"/>
                          <w:marTop w:val="0"/>
                          <w:marBottom w:val="0"/>
                          <w:divBdr>
                            <w:top w:val="none" w:sz="0" w:space="0" w:color="auto"/>
                            <w:left w:val="none" w:sz="0" w:space="0" w:color="auto"/>
                            <w:bottom w:val="none" w:sz="0" w:space="0" w:color="auto"/>
                            <w:right w:val="none" w:sz="0" w:space="0" w:color="auto"/>
                          </w:divBdr>
                          <w:divsChild>
                            <w:div w:id="1739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5757238">
      <w:bodyDiv w:val="1"/>
      <w:marLeft w:val="0"/>
      <w:marRight w:val="0"/>
      <w:marTop w:val="0"/>
      <w:marBottom w:val="0"/>
      <w:divBdr>
        <w:top w:val="none" w:sz="0" w:space="0" w:color="auto"/>
        <w:left w:val="none" w:sz="0" w:space="0" w:color="auto"/>
        <w:bottom w:val="none" w:sz="0" w:space="0" w:color="auto"/>
        <w:right w:val="none" w:sz="0" w:space="0" w:color="auto"/>
      </w:divBdr>
    </w:div>
    <w:div w:id="1068772300">
      <w:bodyDiv w:val="1"/>
      <w:marLeft w:val="0"/>
      <w:marRight w:val="0"/>
      <w:marTop w:val="0"/>
      <w:marBottom w:val="0"/>
      <w:divBdr>
        <w:top w:val="none" w:sz="0" w:space="0" w:color="auto"/>
        <w:left w:val="none" w:sz="0" w:space="0" w:color="auto"/>
        <w:bottom w:val="none" w:sz="0" w:space="0" w:color="auto"/>
        <w:right w:val="none" w:sz="0" w:space="0" w:color="auto"/>
      </w:divBdr>
    </w:div>
    <w:div w:id="1087069925">
      <w:bodyDiv w:val="1"/>
      <w:marLeft w:val="0"/>
      <w:marRight w:val="0"/>
      <w:marTop w:val="0"/>
      <w:marBottom w:val="0"/>
      <w:divBdr>
        <w:top w:val="none" w:sz="0" w:space="0" w:color="auto"/>
        <w:left w:val="none" w:sz="0" w:space="0" w:color="auto"/>
        <w:bottom w:val="none" w:sz="0" w:space="0" w:color="auto"/>
        <w:right w:val="none" w:sz="0" w:space="0" w:color="auto"/>
      </w:divBdr>
    </w:div>
    <w:div w:id="1090003997">
      <w:bodyDiv w:val="1"/>
      <w:marLeft w:val="0"/>
      <w:marRight w:val="0"/>
      <w:marTop w:val="0"/>
      <w:marBottom w:val="0"/>
      <w:divBdr>
        <w:top w:val="none" w:sz="0" w:space="0" w:color="auto"/>
        <w:left w:val="none" w:sz="0" w:space="0" w:color="auto"/>
        <w:bottom w:val="none" w:sz="0" w:space="0" w:color="auto"/>
        <w:right w:val="none" w:sz="0" w:space="0" w:color="auto"/>
      </w:divBdr>
    </w:div>
    <w:div w:id="1092818721">
      <w:bodyDiv w:val="1"/>
      <w:marLeft w:val="0"/>
      <w:marRight w:val="0"/>
      <w:marTop w:val="0"/>
      <w:marBottom w:val="0"/>
      <w:divBdr>
        <w:top w:val="none" w:sz="0" w:space="0" w:color="auto"/>
        <w:left w:val="none" w:sz="0" w:space="0" w:color="auto"/>
        <w:bottom w:val="none" w:sz="0" w:space="0" w:color="auto"/>
        <w:right w:val="none" w:sz="0" w:space="0" w:color="auto"/>
      </w:divBdr>
    </w:div>
    <w:div w:id="1099716510">
      <w:bodyDiv w:val="1"/>
      <w:marLeft w:val="0"/>
      <w:marRight w:val="0"/>
      <w:marTop w:val="0"/>
      <w:marBottom w:val="0"/>
      <w:divBdr>
        <w:top w:val="none" w:sz="0" w:space="0" w:color="auto"/>
        <w:left w:val="none" w:sz="0" w:space="0" w:color="auto"/>
        <w:bottom w:val="none" w:sz="0" w:space="0" w:color="auto"/>
        <w:right w:val="none" w:sz="0" w:space="0" w:color="auto"/>
      </w:divBdr>
      <w:divsChild>
        <w:div w:id="1400976633">
          <w:marLeft w:val="0"/>
          <w:marRight w:val="0"/>
          <w:marTop w:val="0"/>
          <w:marBottom w:val="0"/>
          <w:divBdr>
            <w:top w:val="none" w:sz="0" w:space="0" w:color="auto"/>
            <w:left w:val="none" w:sz="0" w:space="0" w:color="auto"/>
            <w:bottom w:val="none" w:sz="0" w:space="0" w:color="auto"/>
            <w:right w:val="none" w:sz="0" w:space="0" w:color="auto"/>
          </w:divBdr>
        </w:div>
      </w:divsChild>
    </w:div>
    <w:div w:id="1110011642">
      <w:bodyDiv w:val="1"/>
      <w:marLeft w:val="0"/>
      <w:marRight w:val="0"/>
      <w:marTop w:val="0"/>
      <w:marBottom w:val="0"/>
      <w:divBdr>
        <w:top w:val="none" w:sz="0" w:space="0" w:color="auto"/>
        <w:left w:val="none" w:sz="0" w:space="0" w:color="auto"/>
        <w:bottom w:val="none" w:sz="0" w:space="0" w:color="auto"/>
        <w:right w:val="none" w:sz="0" w:space="0" w:color="auto"/>
      </w:divBdr>
    </w:div>
    <w:div w:id="1122312184">
      <w:bodyDiv w:val="1"/>
      <w:marLeft w:val="0"/>
      <w:marRight w:val="0"/>
      <w:marTop w:val="0"/>
      <w:marBottom w:val="0"/>
      <w:divBdr>
        <w:top w:val="none" w:sz="0" w:space="0" w:color="auto"/>
        <w:left w:val="none" w:sz="0" w:space="0" w:color="auto"/>
        <w:bottom w:val="none" w:sz="0" w:space="0" w:color="auto"/>
        <w:right w:val="none" w:sz="0" w:space="0" w:color="auto"/>
      </w:divBdr>
    </w:div>
    <w:div w:id="1122967131">
      <w:bodyDiv w:val="1"/>
      <w:marLeft w:val="0"/>
      <w:marRight w:val="0"/>
      <w:marTop w:val="0"/>
      <w:marBottom w:val="0"/>
      <w:divBdr>
        <w:top w:val="none" w:sz="0" w:space="0" w:color="auto"/>
        <w:left w:val="none" w:sz="0" w:space="0" w:color="auto"/>
        <w:bottom w:val="none" w:sz="0" w:space="0" w:color="auto"/>
        <w:right w:val="none" w:sz="0" w:space="0" w:color="auto"/>
      </w:divBdr>
    </w:div>
    <w:div w:id="1126587360">
      <w:bodyDiv w:val="1"/>
      <w:marLeft w:val="0"/>
      <w:marRight w:val="0"/>
      <w:marTop w:val="0"/>
      <w:marBottom w:val="0"/>
      <w:divBdr>
        <w:top w:val="none" w:sz="0" w:space="0" w:color="auto"/>
        <w:left w:val="none" w:sz="0" w:space="0" w:color="auto"/>
        <w:bottom w:val="none" w:sz="0" w:space="0" w:color="auto"/>
        <w:right w:val="none" w:sz="0" w:space="0" w:color="auto"/>
      </w:divBdr>
    </w:div>
    <w:div w:id="1140343944">
      <w:bodyDiv w:val="1"/>
      <w:marLeft w:val="0"/>
      <w:marRight w:val="0"/>
      <w:marTop w:val="0"/>
      <w:marBottom w:val="0"/>
      <w:divBdr>
        <w:top w:val="none" w:sz="0" w:space="0" w:color="auto"/>
        <w:left w:val="none" w:sz="0" w:space="0" w:color="auto"/>
        <w:bottom w:val="none" w:sz="0" w:space="0" w:color="auto"/>
        <w:right w:val="none" w:sz="0" w:space="0" w:color="auto"/>
      </w:divBdr>
    </w:div>
    <w:div w:id="1168859779">
      <w:bodyDiv w:val="1"/>
      <w:marLeft w:val="0"/>
      <w:marRight w:val="0"/>
      <w:marTop w:val="0"/>
      <w:marBottom w:val="0"/>
      <w:divBdr>
        <w:top w:val="none" w:sz="0" w:space="0" w:color="auto"/>
        <w:left w:val="none" w:sz="0" w:space="0" w:color="auto"/>
        <w:bottom w:val="none" w:sz="0" w:space="0" w:color="auto"/>
        <w:right w:val="none" w:sz="0" w:space="0" w:color="auto"/>
      </w:divBdr>
      <w:divsChild>
        <w:div w:id="2129202394">
          <w:marLeft w:val="0"/>
          <w:marRight w:val="0"/>
          <w:marTop w:val="120"/>
          <w:marBottom w:val="60"/>
          <w:divBdr>
            <w:top w:val="none" w:sz="0" w:space="0" w:color="auto"/>
            <w:left w:val="none" w:sz="0" w:space="0" w:color="auto"/>
            <w:bottom w:val="none" w:sz="0" w:space="0" w:color="auto"/>
            <w:right w:val="none" w:sz="0" w:space="0" w:color="auto"/>
          </w:divBdr>
        </w:div>
        <w:div w:id="112022203">
          <w:marLeft w:val="0"/>
          <w:marRight w:val="0"/>
          <w:marTop w:val="120"/>
          <w:marBottom w:val="60"/>
          <w:divBdr>
            <w:top w:val="none" w:sz="0" w:space="0" w:color="auto"/>
            <w:left w:val="none" w:sz="0" w:space="0" w:color="auto"/>
            <w:bottom w:val="none" w:sz="0" w:space="0" w:color="auto"/>
            <w:right w:val="none" w:sz="0" w:space="0" w:color="auto"/>
          </w:divBdr>
        </w:div>
        <w:div w:id="2046245338">
          <w:marLeft w:val="0"/>
          <w:marRight w:val="0"/>
          <w:marTop w:val="120"/>
          <w:marBottom w:val="60"/>
          <w:divBdr>
            <w:top w:val="none" w:sz="0" w:space="0" w:color="auto"/>
            <w:left w:val="none" w:sz="0" w:space="0" w:color="auto"/>
            <w:bottom w:val="none" w:sz="0" w:space="0" w:color="auto"/>
            <w:right w:val="none" w:sz="0" w:space="0" w:color="auto"/>
          </w:divBdr>
        </w:div>
        <w:div w:id="1718894555">
          <w:marLeft w:val="0"/>
          <w:marRight w:val="0"/>
          <w:marTop w:val="120"/>
          <w:marBottom w:val="60"/>
          <w:divBdr>
            <w:top w:val="none" w:sz="0" w:space="0" w:color="auto"/>
            <w:left w:val="none" w:sz="0" w:space="0" w:color="auto"/>
            <w:bottom w:val="none" w:sz="0" w:space="0" w:color="auto"/>
            <w:right w:val="none" w:sz="0" w:space="0" w:color="auto"/>
          </w:divBdr>
        </w:div>
        <w:div w:id="1474910735">
          <w:marLeft w:val="0"/>
          <w:marRight w:val="0"/>
          <w:marTop w:val="120"/>
          <w:marBottom w:val="60"/>
          <w:divBdr>
            <w:top w:val="none" w:sz="0" w:space="0" w:color="auto"/>
            <w:left w:val="none" w:sz="0" w:space="0" w:color="auto"/>
            <w:bottom w:val="none" w:sz="0" w:space="0" w:color="auto"/>
            <w:right w:val="none" w:sz="0" w:space="0" w:color="auto"/>
          </w:divBdr>
        </w:div>
        <w:div w:id="558512864">
          <w:marLeft w:val="0"/>
          <w:marRight w:val="0"/>
          <w:marTop w:val="120"/>
          <w:marBottom w:val="60"/>
          <w:divBdr>
            <w:top w:val="none" w:sz="0" w:space="0" w:color="auto"/>
            <w:left w:val="none" w:sz="0" w:space="0" w:color="auto"/>
            <w:bottom w:val="none" w:sz="0" w:space="0" w:color="auto"/>
            <w:right w:val="none" w:sz="0" w:space="0" w:color="auto"/>
          </w:divBdr>
        </w:div>
        <w:div w:id="1258713657">
          <w:marLeft w:val="0"/>
          <w:marRight w:val="0"/>
          <w:marTop w:val="120"/>
          <w:marBottom w:val="60"/>
          <w:divBdr>
            <w:top w:val="none" w:sz="0" w:space="0" w:color="auto"/>
            <w:left w:val="none" w:sz="0" w:space="0" w:color="auto"/>
            <w:bottom w:val="none" w:sz="0" w:space="0" w:color="auto"/>
            <w:right w:val="none" w:sz="0" w:space="0" w:color="auto"/>
          </w:divBdr>
        </w:div>
        <w:div w:id="765469233">
          <w:marLeft w:val="0"/>
          <w:marRight w:val="0"/>
          <w:marTop w:val="120"/>
          <w:marBottom w:val="60"/>
          <w:divBdr>
            <w:top w:val="none" w:sz="0" w:space="0" w:color="auto"/>
            <w:left w:val="none" w:sz="0" w:space="0" w:color="auto"/>
            <w:bottom w:val="none" w:sz="0" w:space="0" w:color="auto"/>
            <w:right w:val="none" w:sz="0" w:space="0" w:color="auto"/>
          </w:divBdr>
        </w:div>
      </w:divsChild>
    </w:div>
    <w:div w:id="1214073884">
      <w:bodyDiv w:val="1"/>
      <w:marLeft w:val="0"/>
      <w:marRight w:val="0"/>
      <w:marTop w:val="0"/>
      <w:marBottom w:val="0"/>
      <w:divBdr>
        <w:top w:val="none" w:sz="0" w:space="0" w:color="auto"/>
        <w:left w:val="none" w:sz="0" w:space="0" w:color="auto"/>
        <w:bottom w:val="none" w:sz="0" w:space="0" w:color="auto"/>
        <w:right w:val="none" w:sz="0" w:space="0" w:color="auto"/>
      </w:divBdr>
    </w:div>
    <w:div w:id="1222595998">
      <w:bodyDiv w:val="1"/>
      <w:marLeft w:val="0"/>
      <w:marRight w:val="0"/>
      <w:marTop w:val="0"/>
      <w:marBottom w:val="0"/>
      <w:divBdr>
        <w:top w:val="none" w:sz="0" w:space="0" w:color="auto"/>
        <w:left w:val="none" w:sz="0" w:space="0" w:color="auto"/>
        <w:bottom w:val="none" w:sz="0" w:space="0" w:color="auto"/>
        <w:right w:val="none" w:sz="0" w:space="0" w:color="auto"/>
      </w:divBdr>
    </w:div>
    <w:div w:id="1223642250">
      <w:bodyDiv w:val="1"/>
      <w:marLeft w:val="0"/>
      <w:marRight w:val="0"/>
      <w:marTop w:val="0"/>
      <w:marBottom w:val="0"/>
      <w:divBdr>
        <w:top w:val="none" w:sz="0" w:space="0" w:color="auto"/>
        <w:left w:val="none" w:sz="0" w:space="0" w:color="auto"/>
        <w:bottom w:val="none" w:sz="0" w:space="0" w:color="auto"/>
        <w:right w:val="none" w:sz="0" w:space="0" w:color="auto"/>
      </w:divBdr>
    </w:div>
    <w:div w:id="1242562786">
      <w:bodyDiv w:val="1"/>
      <w:marLeft w:val="0"/>
      <w:marRight w:val="0"/>
      <w:marTop w:val="0"/>
      <w:marBottom w:val="0"/>
      <w:divBdr>
        <w:top w:val="none" w:sz="0" w:space="0" w:color="auto"/>
        <w:left w:val="none" w:sz="0" w:space="0" w:color="auto"/>
        <w:bottom w:val="none" w:sz="0" w:space="0" w:color="auto"/>
        <w:right w:val="none" w:sz="0" w:space="0" w:color="auto"/>
      </w:divBdr>
      <w:divsChild>
        <w:div w:id="15155503">
          <w:marLeft w:val="0"/>
          <w:marRight w:val="0"/>
          <w:marTop w:val="0"/>
          <w:marBottom w:val="0"/>
          <w:divBdr>
            <w:top w:val="none" w:sz="0" w:space="0" w:color="auto"/>
            <w:left w:val="none" w:sz="0" w:space="0" w:color="auto"/>
            <w:bottom w:val="none" w:sz="0" w:space="0" w:color="auto"/>
            <w:right w:val="none" w:sz="0" w:space="0" w:color="auto"/>
          </w:divBdr>
        </w:div>
      </w:divsChild>
    </w:div>
    <w:div w:id="1260676964">
      <w:bodyDiv w:val="1"/>
      <w:marLeft w:val="0"/>
      <w:marRight w:val="0"/>
      <w:marTop w:val="0"/>
      <w:marBottom w:val="0"/>
      <w:divBdr>
        <w:top w:val="none" w:sz="0" w:space="0" w:color="auto"/>
        <w:left w:val="none" w:sz="0" w:space="0" w:color="auto"/>
        <w:bottom w:val="none" w:sz="0" w:space="0" w:color="auto"/>
        <w:right w:val="none" w:sz="0" w:space="0" w:color="auto"/>
      </w:divBdr>
    </w:div>
    <w:div w:id="1271083004">
      <w:bodyDiv w:val="1"/>
      <w:marLeft w:val="0"/>
      <w:marRight w:val="0"/>
      <w:marTop w:val="0"/>
      <w:marBottom w:val="0"/>
      <w:divBdr>
        <w:top w:val="none" w:sz="0" w:space="0" w:color="auto"/>
        <w:left w:val="none" w:sz="0" w:space="0" w:color="auto"/>
        <w:bottom w:val="none" w:sz="0" w:space="0" w:color="auto"/>
        <w:right w:val="none" w:sz="0" w:space="0" w:color="auto"/>
      </w:divBdr>
    </w:div>
    <w:div w:id="1299261152">
      <w:bodyDiv w:val="1"/>
      <w:marLeft w:val="0"/>
      <w:marRight w:val="0"/>
      <w:marTop w:val="0"/>
      <w:marBottom w:val="0"/>
      <w:divBdr>
        <w:top w:val="none" w:sz="0" w:space="0" w:color="auto"/>
        <w:left w:val="none" w:sz="0" w:space="0" w:color="auto"/>
        <w:bottom w:val="none" w:sz="0" w:space="0" w:color="auto"/>
        <w:right w:val="none" w:sz="0" w:space="0" w:color="auto"/>
      </w:divBdr>
    </w:div>
    <w:div w:id="1311445584">
      <w:bodyDiv w:val="1"/>
      <w:marLeft w:val="0"/>
      <w:marRight w:val="0"/>
      <w:marTop w:val="0"/>
      <w:marBottom w:val="0"/>
      <w:divBdr>
        <w:top w:val="none" w:sz="0" w:space="0" w:color="auto"/>
        <w:left w:val="none" w:sz="0" w:space="0" w:color="auto"/>
        <w:bottom w:val="none" w:sz="0" w:space="0" w:color="auto"/>
        <w:right w:val="none" w:sz="0" w:space="0" w:color="auto"/>
      </w:divBdr>
    </w:div>
    <w:div w:id="1316490005">
      <w:bodyDiv w:val="1"/>
      <w:marLeft w:val="0"/>
      <w:marRight w:val="0"/>
      <w:marTop w:val="0"/>
      <w:marBottom w:val="0"/>
      <w:divBdr>
        <w:top w:val="none" w:sz="0" w:space="0" w:color="auto"/>
        <w:left w:val="none" w:sz="0" w:space="0" w:color="auto"/>
        <w:bottom w:val="none" w:sz="0" w:space="0" w:color="auto"/>
        <w:right w:val="none" w:sz="0" w:space="0" w:color="auto"/>
      </w:divBdr>
    </w:div>
    <w:div w:id="1321537641">
      <w:bodyDiv w:val="1"/>
      <w:marLeft w:val="0"/>
      <w:marRight w:val="0"/>
      <w:marTop w:val="0"/>
      <w:marBottom w:val="0"/>
      <w:divBdr>
        <w:top w:val="none" w:sz="0" w:space="0" w:color="auto"/>
        <w:left w:val="none" w:sz="0" w:space="0" w:color="auto"/>
        <w:bottom w:val="none" w:sz="0" w:space="0" w:color="auto"/>
        <w:right w:val="none" w:sz="0" w:space="0" w:color="auto"/>
      </w:divBdr>
      <w:divsChild>
        <w:div w:id="20661745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22659474">
      <w:bodyDiv w:val="1"/>
      <w:marLeft w:val="0"/>
      <w:marRight w:val="0"/>
      <w:marTop w:val="0"/>
      <w:marBottom w:val="0"/>
      <w:divBdr>
        <w:top w:val="none" w:sz="0" w:space="0" w:color="auto"/>
        <w:left w:val="none" w:sz="0" w:space="0" w:color="auto"/>
        <w:bottom w:val="none" w:sz="0" w:space="0" w:color="auto"/>
        <w:right w:val="none" w:sz="0" w:space="0" w:color="auto"/>
      </w:divBdr>
    </w:div>
    <w:div w:id="1335499733">
      <w:bodyDiv w:val="1"/>
      <w:marLeft w:val="0"/>
      <w:marRight w:val="0"/>
      <w:marTop w:val="0"/>
      <w:marBottom w:val="0"/>
      <w:divBdr>
        <w:top w:val="none" w:sz="0" w:space="0" w:color="auto"/>
        <w:left w:val="none" w:sz="0" w:space="0" w:color="auto"/>
        <w:bottom w:val="none" w:sz="0" w:space="0" w:color="auto"/>
        <w:right w:val="none" w:sz="0" w:space="0" w:color="auto"/>
      </w:divBdr>
      <w:divsChild>
        <w:div w:id="72968168">
          <w:marLeft w:val="0"/>
          <w:marRight w:val="0"/>
          <w:marTop w:val="0"/>
          <w:marBottom w:val="0"/>
          <w:divBdr>
            <w:top w:val="none" w:sz="0" w:space="0" w:color="auto"/>
            <w:left w:val="none" w:sz="0" w:space="0" w:color="auto"/>
            <w:bottom w:val="none" w:sz="0" w:space="0" w:color="auto"/>
            <w:right w:val="none" w:sz="0" w:space="0" w:color="auto"/>
          </w:divBdr>
          <w:divsChild>
            <w:div w:id="1297876218">
              <w:marLeft w:val="0"/>
              <w:marRight w:val="0"/>
              <w:marTop w:val="0"/>
              <w:marBottom w:val="0"/>
              <w:divBdr>
                <w:top w:val="none" w:sz="0" w:space="0" w:color="auto"/>
                <w:left w:val="none" w:sz="0" w:space="0" w:color="auto"/>
                <w:bottom w:val="none" w:sz="0" w:space="0" w:color="auto"/>
                <w:right w:val="none" w:sz="0" w:space="0" w:color="auto"/>
              </w:divBdr>
              <w:divsChild>
                <w:div w:id="2142111980">
                  <w:marLeft w:val="0"/>
                  <w:marRight w:val="0"/>
                  <w:marTop w:val="0"/>
                  <w:marBottom w:val="0"/>
                  <w:divBdr>
                    <w:top w:val="none" w:sz="0" w:space="0" w:color="auto"/>
                    <w:left w:val="none" w:sz="0" w:space="0" w:color="auto"/>
                    <w:bottom w:val="none" w:sz="0" w:space="0" w:color="auto"/>
                    <w:right w:val="none" w:sz="0" w:space="0" w:color="auto"/>
                  </w:divBdr>
                  <w:divsChild>
                    <w:div w:id="1067268463">
                      <w:marLeft w:val="0"/>
                      <w:marRight w:val="0"/>
                      <w:marTop w:val="0"/>
                      <w:marBottom w:val="0"/>
                      <w:divBdr>
                        <w:top w:val="none" w:sz="0" w:space="0" w:color="auto"/>
                        <w:left w:val="none" w:sz="0" w:space="0" w:color="auto"/>
                        <w:bottom w:val="none" w:sz="0" w:space="0" w:color="auto"/>
                        <w:right w:val="none" w:sz="0" w:space="0" w:color="auto"/>
                      </w:divBdr>
                      <w:divsChild>
                        <w:div w:id="737173325">
                          <w:marLeft w:val="0"/>
                          <w:marRight w:val="0"/>
                          <w:marTop w:val="0"/>
                          <w:marBottom w:val="0"/>
                          <w:divBdr>
                            <w:top w:val="none" w:sz="0" w:space="0" w:color="auto"/>
                            <w:left w:val="none" w:sz="0" w:space="0" w:color="auto"/>
                            <w:bottom w:val="none" w:sz="0" w:space="0" w:color="auto"/>
                            <w:right w:val="none" w:sz="0" w:space="0" w:color="auto"/>
                          </w:divBdr>
                          <w:divsChild>
                            <w:div w:id="61040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9156529">
      <w:bodyDiv w:val="1"/>
      <w:marLeft w:val="0"/>
      <w:marRight w:val="0"/>
      <w:marTop w:val="0"/>
      <w:marBottom w:val="0"/>
      <w:divBdr>
        <w:top w:val="none" w:sz="0" w:space="0" w:color="auto"/>
        <w:left w:val="none" w:sz="0" w:space="0" w:color="auto"/>
        <w:bottom w:val="none" w:sz="0" w:space="0" w:color="auto"/>
        <w:right w:val="none" w:sz="0" w:space="0" w:color="auto"/>
      </w:divBdr>
      <w:divsChild>
        <w:div w:id="2103261787">
          <w:blockQuote w:val="1"/>
          <w:marLeft w:val="0"/>
          <w:marRight w:val="0"/>
          <w:marTop w:val="0"/>
          <w:marBottom w:val="0"/>
          <w:divBdr>
            <w:top w:val="none" w:sz="0" w:space="0" w:color="auto"/>
            <w:left w:val="single" w:sz="6" w:space="18" w:color="707070"/>
            <w:bottom w:val="none" w:sz="0" w:space="0" w:color="auto"/>
            <w:right w:val="none" w:sz="0" w:space="0" w:color="auto"/>
          </w:divBdr>
          <w:divsChild>
            <w:div w:id="1196188292">
              <w:marLeft w:val="0"/>
              <w:marRight w:val="0"/>
              <w:marTop w:val="120"/>
              <w:marBottom w:val="60"/>
              <w:divBdr>
                <w:top w:val="none" w:sz="0" w:space="0" w:color="auto"/>
                <w:left w:val="none" w:sz="0" w:space="0" w:color="auto"/>
                <w:bottom w:val="none" w:sz="0" w:space="0" w:color="auto"/>
                <w:right w:val="none" w:sz="0" w:space="0" w:color="auto"/>
              </w:divBdr>
            </w:div>
          </w:divsChild>
        </w:div>
      </w:divsChild>
    </w:div>
    <w:div w:id="1368682711">
      <w:bodyDiv w:val="1"/>
      <w:marLeft w:val="0"/>
      <w:marRight w:val="0"/>
      <w:marTop w:val="0"/>
      <w:marBottom w:val="0"/>
      <w:divBdr>
        <w:top w:val="none" w:sz="0" w:space="0" w:color="auto"/>
        <w:left w:val="none" w:sz="0" w:space="0" w:color="auto"/>
        <w:bottom w:val="none" w:sz="0" w:space="0" w:color="auto"/>
        <w:right w:val="none" w:sz="0" w:space="0" w:color="auto"/>
      </w:divBdr>
    </w:div>
    <w:div w:id="1371035913">
      <w:bodyDiv w:val="1"/>
      <w:marLeft w:val="0"/>
      <w:marRight w:val="0"/>
      <w:marTop w:val="0"/>
      <w:marBottom w:val="0"/>
      <w:divBdr>
        <w:top w:val="none" w:sz="0" w:space="0" w:color="auto"/>
        <w:left w:val="none" w:sz="0" w:space="0" w:color="auto"/>
        <w:bottom w:val="none" w:sz="0" w:space="0" w:color="auto"/>
        <w:right w:val="none" w:sz="0" w:space="0" w:color="auto"/>
      </w:divBdr>
    </w:div>
    <w:div w:id="1387222829">
      <w:bodyDiv w:val="1"/>
      <w:marLeft w:val="0"/>
      <w:marRight w:val="0"/>
      <w:marTop w:val="0"/>
      <w:marBottom w:val="0"/>
      <w:divBdr>
        <w:top w:val="none" w:sz="0" w:space="0" w:color="auto"/>
        <w:left w:val="none" w:sz="0" w:space="0" w:color="auto"/>
        <w:bottom w:val="none" w:sz="0" w:space="0" w:color="auto"/>
        <w:right w:val="none" w:sz="0" w:space="0" w:color="auto"/>
      </w:divBdr>
    </w:div>
    <w:div w:id="1419327989">
      <w:bodyDiv w:val="1"/>
      <w:marLeft w:val="0"/>
      <w:marRight w:val="0"/>
      <w:marTop w:val="0"/>
      <w:marBottom w:val="0"/>
      <w:divBdr>
        <w:top w:val="none" w:sz="0" w:space="0" w:color="auto"/>
        <w:left w:val="none" w:sz="0" w:space="0" w:color="auto"/>
        <w:bottom w:val="none" w:sz="0" w:space="0" w:color="auto"/>
        <w:right w:val="none" w:sz="0" w:space="0" w:color="auto"/>
      </w:divBdr>
    </w:div>
    <w:div w:id="1422802169">
      <w:bodyDiv w:val="1"/>
      <w:marLeft w:val="0"/>
      <w:marRight w:val="0"/>
      <w:marTop w:val="0"/>
      <w:marBottom w:val="0"/>
      <w:divBdr>
        <w:top w:val="none" w:sz="0" w:space="0" w:color="auto"/>
        <w:left w:val="none" w:sz="0" w:space="0" w:color="auto"/>
        <w:bottom w:val="none" w:sz="0" w:space="0" w:color="auto"/>
        <w:right w:val="none" w:sz="0" w:space="0" w:color="auto"/>
      </w:divBdr>
    </w:div>
    <w:div w:id="1440178431">
      <w:bodyDiv w:val="1"/>
      <w:marLeft w:val="0"/>
      <w:marRight w:val="0"/>
      <w:marTop w:val="0"/>
      <w:marBottom w:val="0"/>
      <w:divBdr>
        <w:top w:val="none" w:sz="0" w:space="0" w:color="auto"/>
        <w:left w:val="none" w:sz="0" w:space="0" w:color="auto"/>
        <w:bottom w:val="none" w:sz="0" w:space="0" w:color="auto"/>
        <w:right w:val="none" w:sz="0" w:space="0" w:color="auto"/>
      </w:divBdr>
    </w:div>
    <w:div w:id="1440375682">
      <w:bodyDiv w:val="1"/>
      <w:marLeft w:val="0"/>
      <w:marRight w:val="0"/>
      <w:marTop w:val="0"/>
      <w:marBottom w:val="0"/>
      <w:divBdr>
        <w:top w:val="none" w:sz="0" w:space="0" w:color="auto"/>
        <w:left w:val="none" w:sz="0" w:space="0" w:color="auto"/>
        <w:bottom w:val="none" w:sz="0" w:space="0" w:color="auto"/>
        <w:right w:val="none" w:sz="0" w:space="0" w:color="auto"/>
      </w:divBdr>
    </w:div>
    <w:div w:id="1452019292">
      <w:bodyDiv w:val="1"/>
      <w:marLeft w:val="0"/>
      <w:marRight w:val="0"/>
      <w:marTop w:val="0"/>
      <w:marBottom w:val="0"/>
      <w:divBdr>
        <w:top w:val="none" w:sz="0" w:space="0" w:color="auto"/>
        <w:left w:val="none" w:sz="0" w:space="0" w:color="auto"/>
        <w:bottom w:val="none" w:sz="0" w:space="0" w:color="auto"/>
        <w:right w:val="none" w:sz="0" w:space="0" w:color="auto"/>
      </w:divBdr>
    </w:div>
    <w:div w:id="1455909029">
      <w:bodyDiv w:val="1"/>
      <w:marLeft w:val="0"/>
      <w:marRight w:val="0"/>
      <w:marTop w:val="0"/>
      <w:marBottom w:val="0"/>
      <w:divBdr>
        <w:top w:val="none" w:sz="0" w:space="0" w:color="auto"/>
        <w:left w:val="none" w:sz="0" w:space="0" w:color="auto"/>
        <w:bottom w:val="none" w:sz="0" w:space="0" w:color="auto"/>
        <w:right w:val="none" w:sz="0" w:space="0" w:color="auto"/>
      </w:divBdr>
      <w:divsChild>
        <w:div w:id="1172602371">
          <w:marLeft w:val="0"/>
          <w:marRight w:val="0"/>
          <w:marTop w:val="0"/>
          <w:marBottom w:val="0"/>
          <w:divBdr>
            <w:top w:val="none" w:sz="0" w:space="0" w:color="auto"/>
            <w:left w:val="none" w:sz="0" w:space="0" w:color="auto"/>
            <w:bottom w:val="none" w:sz="0" w:space="0" w:color="auto"/>
            <w:right w:val="none" w:sz="0" w:space="0" w:color="auto"/>
          </w:divBdr>
          <w:divsChild>
            <w:div w:id="784811408">
              <w:marLeft w:val="0"/>
              <w:marRight w:val="0"/>
              <w:marTop w:val="0"/>
              <w:marBottom w:val="0"/>
              <w:divBdr>
                <w:top w:val="none" w:sz="0" w:space="0" w:color="auto"/>
                <w:left w:val="none" w:sz="0" w:space="0" w:color="auto"/>
                <w:bottom w:val="none" w:sz="0" w:space="0" w:color="auto"/>
                <w:right w:val="none" w:sz="0" w:space="0" w:color="auto"/>
              </w:divBdr>
              <w:divsChild>
                <w:div w:id="925383625">
                  <w:marLeft w:val="0"/>
                  <w:marRight w:val="0"/>
                  <w:marTop w:val="0"/>
                  <w:marBottom w:val="0"/>
                  <w:divBdr>
                    <w:top w:val="none" w:sz="0" w:space="0" w:color="auto"/>
                    <w:left w:val="none" w:sz="0" w:space="0" w:color="auto"/>
                    <w:bottom w:val="none" w:sz="0" w:space="0" w:color="auto"/>
                    <w:right w:val="none" w:sz="0" w:space="0" w:color="auto"/>
                  </w:divBdr>
                  <w:divsChild>
                    <w:div w:id="1571113961">
                      <w:marLeft w:val="0"/>
                      <w:marRight w:val="0"/>
                      <w:marTop w:val="0"/>
                      <w:marBottom w:val="0"/>
                      <w:divBdr>
                        <w:top w:val="none" w:sz="0" w:space="0" w:color="auto"/>
                        <w:left w:val="none" w:sz="0" w:space="0" w:color="auto"/>
                        <w:bottom w:val="none" w:sz="0" w:space="0" w:color="auto"/>
                        <w:right w:val="none" w:sz="0" w:space="0" w:color="auto"/>
                      </w:divBdr>
                      <w:divsChild>
                        <w:div w:id="1983385316">
                          <w:marLeft w:val="0"/>
                          <w:marRight w:val="0"/>
                          <w:marTop w:val="0"/>
                          <w:marBottom w:val="0"/>
                          <w:divBdr>
                            <w:top w:val="none" w:sz="0" w:space="0" w:color="auto"/>
                            <w:left w:val="none" w:sz="0" w:space="0" w:color="auto"/>
                            <w:bottom w:val="none" w:sz="0" w:space="0" w:color="auto"/>
                            <w:right w:val="none" w:sz="0" w:space="0" w:color="auto"/>
                          </w:divBdr>
                          <w:divsChild>
                            <w:div w:id="76496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5075993">
      <w:bodyDiv w:val="1"/>
      <w:marLeft w:val="0"/>
      <w:marRight w:val="0"/>
      <w:marTop w:val="0"/>
      <w:marBottom w:val="0"/>
      <w:divBdr>
        <w:top w:val="none" w:sz="0" w:space="0" w:color="auto"/>
        <w:left w:val="none" w:sz="0" w:space="0" w:color="auto"/>
        <w:bottom w:val="none" w:sz="0" w:space="0" w:color="auto"/>
        <w:right w:val="none" w:sz="0" w:space="0" w:color="auto"/>
      </w:divBdr>
    </w:div>
    <w:div w:id="1517965179">
      <w:bodyDiv w:val="1"/>
      <w:marLeft w:val="0"/>
      <w:marRight w:val="0"/>
      <w:marTop w:val="0"/>
      <w:marBottom w:val="0"/>
      <w:divBdr>
        <w:top w:val="none" w:sz="0" w:space="0" w:color="auto"/>
        <w:left w:val="none" w:sz="0" w:space="0" w:color="auto"/>
        <w:bottom w:val="none" w:sz="0" w:space="0" w:color="auto"/>
        <w:right w:val="none" w:sz="0" w:space="0" w:color="auto"/>
      </w:divBdr>
    </w:div>
    <w:div w:id="1522237010">
      <w:bodyDiv w:val="1"/>
      <w:marLeft w:val="0"/>
      <w:marRight w:val="0"/>
      <w:marTop w:val="0"/>
      <w:marBottom w:val="0"/>
      <w:divBdr>
        <w:top w:val="none" w:sz="0" w:space="0" w:color="auto"/>
        <w:left w:val="none" w:sz="0" w:space="0" w:color="auto"/>
        <w:bottom w:val="none" w:sz="0" w:space="0" w:color="auto"/>
        <w:right w:val="none" w:sz="0" w:space="0" w:color="auto"/>
      </w:divBdr>
    </w:div>
    <w:div w:id="1538662633">
      <w:bodyDiv w:val="1"/>
      <w:marLeft w:val="0"/>
      <w:marRight w:val="0"/>
      <w:marTop w:val="0"/>
      <w:marBottom w:val="0"/>
      <w:divBdr>
        <w:top w:val="none" w:sz="0" w:space="0" w:color="auto"/>
        <w:left w:val="none" w:sz="0" w:space="0" w:color="auto"/>
        <w:bottom w:val="none" w:sz="0" w:space="0" w:color="auto"/>
        <w:right w:val="none" w:sz="0" w:space="0" w:color="auto"/>
      </w:divBdr>
      <w:divsChild>
        <w:div w:id="1295941290">
          <w:marLeft w:val="0"/>
          <w:marRight w:val="0"/>
          <w:marTop w:val="0"/>
          <w:marBottom w:val="0"/>
          <w:divBdr>
            <w:top w:val="none" w:sz="0" w:space="0" w:color="auto"/>
            <w:left w:val="none" w:sz="0" w:space="0" w:color="auto"/>
            <w:bottom w:val="none" w:sz="0" w:space="0" w:color="auto"/>
            <w:right w:val="none" w:sz="0" w:space="0" w:color="auto"/>
          </w:divBdr>
        </w:div>
      </w:divsChild>
    </w:div>
    <w:div w:id="1548567396">
      <w:bodyDiv w:val="1"/>
      <w:marLeft w:val="0"/>
      <w:marRight w:val="0"/>
      <w:marTop w:val="0"/>
      <w:marBottom w:val="0"/>
      <w:divBdr>
        <w:top w:val="none" w:sz="0" w:space="0" w:color="auto"/>
        <w:left w:val="none" w:sz="0" w:space="0" w:color="auto"/>
        <w:bottom w:val="none" w:sz="0" w:space="0" w:color="auto"/>
        <w:right w:val="none" w:sz="0" w:space="0" w:color="auto"/>
      </w:divBdr>
    </w:div>
    <w:div w:id="1549685779">
      <w:bodyDiv w:val="1"/>
      <w:marLeft w:val="0"/>
      <w:marRight w:val="0"/>
      <w:marTop w:val="0"/>
      <w:marBottom w:val="0"/>
      <w:divBdr>
        <w:top w:val="none" w:sz="0" w:space="0" w:color="auto"/>
        <w:left w:val="none" w:sz="0" w:space="0" w:color="auto"/>
        <w:bottom w:val="none" w:sz="0" w:space="0" w:color="auto"/>
        <w:right w:val="none" w:sz="0" w:space="0" w:color="auto"/>
      </w:divBdr>
    </w:div>
    <w:div w:id="1549799559">
      <w:bodyDiv w:val="1"/>
      <w:marLeft w:val="0"/>
      <w:marRight w:val="0"/>
      <w:marTop w:val="0"/>
      <w:marBottom w:val="0"/>
      <w:divBdr>
        <w:top w:val="none" w:sz="0" w:space="0" w:color="auto"/>
        <w:left w:val="none" w:sz="0" w:space="0" w:color="auto"/>
        <w:bottom w:val="none" w:sz="0" w:space="0" w:color="auto"/>
        <w:right w:val="none" w:sz="0" w:space="0" w:color="auto"/>
      </w:divBdr>
    </w:div>
    <w:div w:id="1558398424">
      <w:bodyDiv w:val="1"/>
      <w:marLeft w:val="0"/>
      <w:marRight w:val="0"/>
      <w:marTop w:val="0"/>
      <w:marBottom w:val="0"/>
      <w:divBdr>
        <w:top w:val="none" w:sz="0" w:space="0" w:color="auto"/>
        <w:left w:val="none" w:sz="0" w:space="0" w:color="auto"/>
        <w:bottom w:val="none" w:sz="0" w:space="0" w:color="auto"/>
        <w:right w:val="none" w:sz="0" w:space="0" w:color="auto"/>
      </w:divBdr>
    </w:div>
    <w:div w:id="1559319777">
      <w:bodyDiv w:val="1"/>
      <w:marLeft w:val="0"/>
      <w:marRight w:val="0"/>
      <w:marTop w:val="0"/>
      <w:marBottom w:val="0"/>
      <w:divBdr>
        <w:top w:val="none" w:sz="0" w:space="0" w:color="auto"/>
        <w:left w:val="none" w:sz="0" w:space="0" w:color="auto"/>
        <w:bottom w:val="none" w:sz="0" w:space="0" w:color="auto"/>
        <w:right w:val="none" w:sz="0" w:space="0" w:color="auto"/>
      </w:divBdr>
    </w:div>
    <w:div w:id="1577930897">
      <w:bodyDiv w:val="1"/>
      <w:marLeft w:val="0"/>
      <w:marRight w:val="0"/>
      <w:marTop w:val="0"/>
      <w:marBottom w:val="0"/>
      <w:divBdr>
        <w:top w:val="none" w:sz="0" w:space="0" w:color="auto"/>
        <w:left w:val="none" w:sz="0" w:space="0" w:color="auto"/>
        <w:bottom w:val="none" w:sz="0" w:space="0" w:color="auto"/>
        <w:right w:val="none" w:sz="0" w:space="0" w:color="auto"/>
      </w:divBdr>
    </w:div>
    <w:div w:id="1583954203">
      <w:bodyDiv w:val="1"/>
      <w:marLeft w:val="0"/>
      <w:marRight w:val="0"/>
      <w:marTop w:val="0"/>
      <w:marBottom w:val="0"/>
      <w:divBdr>
        <w:top w:val="none" w:sz="0" w:space="0" w:color="auto"/>
        <w:left w:val="none" w:sz="0" w:space="0" w:color="auto"/>
        <w:bottom w:val="none" w:sz="0" w:space="0" w:color="auto"/>
        <w:right w:val="none" w:sz="0" w:space="0" w:color="auto"/>
      </w:divBdr>
    </w:div>
    <w:div w:id="1615554646">
      <w:bodyDiv w:val="1"/>
      <w:marLeft w:val="0"/>
      <w:marRight w:val="0"/>
      <w:marTop w:val="0"/>
      <w:marBottom w:val="0"/>
      <w:divBdr>
        <w:top w:val="none" w:sz="0" w:space="0" w:color="auto"/>
        <w:left w:val="none" w:sz="0" w:space="0" w:color="auto"/>
        <w:bottom w:val="none" w:sz="0" w:space="0" w:color="auto"/>
        <w:right w:val="none" w:sz="0" w:space="0" w:color="auto"/>
      </w:divBdr>
    </w:div>
    <w:div w:id="1620381665">
      <w:bodyDiv w:val="1"/>
      <w:marLeft w:val="0"/>
      <w:marRight w:val="0"/>
      <w:marTop w:val="0"/>
      <w:marBottom w:val="0"/>
      <w:divBdr>
        <w:top w:val="none" w:sz="0" w:space="0" w:color="auto"/>
        <w:left w:val="none" w:sz="0" w:space="0" w:color="auto"/>
        <w:bottom w:val="none" w:sz="0" w:space="0" w:color="auto"/>
        <w:right w:val="none" w:sz="0" w:space="0" w:color="auto"/>
      </w:divBdr>
    </w:div>
    <w:div w:id="1639798416">
      <w:bodyDiv w:val="1"/>
      <w:marLeft w:val="0"/>
      <w:marRight w:val="0"/>
      <w:marTop w:val="0"/>
      <w:marBottom w:val="0"/>
      <w:divBdr>
        <w:top w:val="none" w:sz="0" w:space="0" w:color="auto"/>
        <w:left w:val="none" w:sz="0" w:space="0" w:color="auto"/>
        <w:bottom w:val="none" w:sz="0" w:space="0" w:color="auto"/>
        <w:right w:val="none" w:sz="0" w:space="0" w:color="auto"/>
      </w:divBdr>
    </w:div>
    <w:div w:id="1674651538">
      <w:bodyDiv w:val="1"/>
      <w:marLeft w:val="0"/>
      <w:marRight w:val="0"/>
      <w:marTop w:val="0"/>
      <w:marBottom w:val="0"/>
      <w:divBdr>
        <w:top w:val="none" w:sz="0" w:space="0" w:color="auto"/>
        <w:left w:val="none" w:sz="0" w:space="0" w:color="auto"/>
        <w:bottom w:val="none" w:sz="0" w:space="0" w:color="auto"/>
        <w:right w:val="none" w:sz="0" w:space="0" w:color="auto"/>
      </w:divBdr>
    </w:div>
    <w:div w:id="1685012945">
      <w:bodyDiv w:val="1"/>
      <w:marLeft w:val="0"/>
      <w:marRight w:val="0"/>
      <w:marTop w:val="0"/>
      <w:marBottom w:val="0"/>
      <w:divBdr>
        <w:top w:val="none" w:sz="0" w:space="0" w:color="auto"/>
        <w:left w:val="none" w:sz="0" w:space="0" w:color="auto"/>
        <w:bottom w:val="none" w:sz="0" w:space="0" w:color="auto"/>
        <w:right w:val="none" w:sz="0" w:space="0" w:color="auto"/>
      </w:divBdr>
    </w:div>
    <w:div w:id="1686857125">
      <w:bodyDiv w:val="1"/>
      <w:marLeft w:val="0"/>
      <w:marRight w:val="0"/>
      <w:marTop w:val="0"/>
      <w:marBottom w:val="0"/>
      <w:divBdr>
        <w:top w:val="none" w:sz="0" w:space="0" w:color="auto"/>
        <w:left w:val="none" w:sz="0" w:space="0" w:color="auto"/>
        <w:bottom w:val="none" w:sz="0" w:space="0" w:color="auto"/>
        <w:right w:val="none" w:sz="0" w:space="0" w:color="auto"/>
      </w:divBdr>
    </w:div>
    <w:div w:id="1693801113">
      <w:bodyDiv w:val="1"/>
      <w:marLeft w:val="0"/>
      <w:marRight w:val="0"/>
      <w:marTop w:val="0"/>
      <w:marBottom w:val="0"/>
      <w:divBdr>
        <w:top w:val="none" w:sz="0" w:space="0" w:color="auto"/>
        <w:left w:val="none" w:sz="0" w:space="0" w:color="auto"/>
        <w:bottom w:val="none" w:sz="0" w:space="0" w:color="auto"/>
        <w:right w:val="none" w:sz="0" w:space="0" w:color="auto"/>
      </w:divBdr>
    </w:div>
    <w:div w:id="1693873203">
      <w:bodyDiv w:val="1"/>
      <w:marLeft w:val="0"/>
      <w:marRight w:val="0"/>
      <w:marTop w:val="0"/>
      <w:marBottom w:val="0"/>
      <w:divBdr>
        <w:top w:val="none" w:sz="0" w:space="0" w:color="auto"/>
        <w:left w:val="none" w:sz="0" w:space="0" w:color="auto"/>
        <w:bottom w:val="none" w:sz="0" w:space="0" w:color="auto"/>
        <w:right w:val="none" w:sz="0" w:space="0" w:color="auto"/>
      </w:divBdr>
      <w:divsChild>
        <w:div w:id="4524822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16855334">
      <w:bodyDiv w:val="1"/>
      <w:marLeft w:val="0"/>
      <w:marRight w:val="0"/>
      <w:marTop w:val="0"/>
      <w:marBottom w:val="0"/>
      <w:divBdr>
        <w:top w:val="none" w:sz="0" w:space="0" w:color="auto"/>
        <w:left w:val="none" w:sz="0" w:space="0" w:color="auto"/>
        <w:bottom w:val="none" w:sz="0" w:space="0" w:color="auto"/>
        <w:right w:val="none" w:sz="0" w:space="0" w:color="auto"/>
      </w:divBdr>
    </w:div>
    <w:div w:id="1724022678">
      <w:bodyDiv w:val="1"/>
      <w:marLeft w:val="0"/>
      <w:marRight w:val="0"/>
      <w:marTop w:val="0"/>
      <w:marBottom w:val="0"/>
      <w:divBdr>
        <w:top w:val="none" w:sz="0" w:space="0" w:color="auto"/>
        <w:left w:val="none" w:sz="0" w:space="0" w:color="auto"/>
        <w:bottom w:val="none" w:sz="0" w:space="0" w:color="auto"/>
        <w:right w:val="none" w:sz="0" w:space="0" w:color="auto"/>
      </w:divBdr>
    </w:div>
    <w:div w:id="1763181964">
      <w:bodyDiv w:val="1"/>
      <w:marLeft w:val="0"/>
      <w:marRight w:val="0"/>
      <w:marTop w:val="0"/>
      <w:marBottom w:val="0"/>
      <w:divBdr>
        <w:top w:val="none" w:sz="0" w:space="0" w:color="auto"/>
        <w:left w:val="none" w:sz="0" w:space="0" w:color="auto"/>
        <w:bottom w:val="none" w:sz="0" w:space="0" w:color="auto"/>
        <w:right w:val="none" w:sz="0" w:space="0" w:color="auto"/>
      </w:divBdr>
      <w:divsChild>
        <w:div w:id="1761373184">
          <w:marLeft w:val="0"/>
          <w:marRight w:val="0"/>
          <w:marTop w:val="0"/>
          <w:marBottom w:val="0"/>
          <w:divBdr>
            <w:top w:val="none" w:sz="0" w:space="0" w:color="auto"/>
            <w:left w:val="none" w:sz="0" w:space="0" w:color="auto"/>
            <w:bottom w:val="none" w:sz="0" w:space="0" w:color="auto"/>
            <w:right w:val="none" w:sz="0" w:space="0" w:color="auto"/>
          </w:divBdr>
        </w:div>
      </w:divsChild>
    </w:div>
    <w:div w:id="1787038440">
      <w:bodyDiv w:val="1"/>
      <w:marLeft w:val="0"/>
      <w:marRight w:val="0"/>
      <w:marTop w:val="0"/>
      <w:marBottom w:val="0"/>
      <w:divBdr>
        <w:top w:val="none" w:sz="0" w:space="0" w:color="auto"/>
        <w:left w:val="none" w:sz="0" w:space="0" w:color="auto"/>
        <w:bottom w:val="none" w:sz="0" w:space="0" w:color="auto"/>
        <w:right w:val="none" w:sz="0" w:space="0" w:color="auto"/>
      </w:divBdr>
    </w:div>
    <w:div w:id="1794442544">
      <w:bodyDiv w:val="1"/>
      <w:marLeft w:val="0"/>
      <w:marRight w:val="0"/>
      <w:marTop w:val="0"/>
      <w:marBottom w:val="0"/>
      <w:divBdr>
        <w:top w:val="none" w:sz="0" w:space="0" w:color="auto"/>
        <w:left w:val="none" w:sz="0" w:space="0" w:color="auto"/>
        <w:bottom w:val="none" w:sz="0" w:space="0" w:color="auto"/>
        <w:right w:val="none" w:sz="0" w:space="0" w:color="auto"/>
      </w:divBdr>
    </w:div>
    <w:div w:id="1831948988">
      <w:bodyDiv w:val="1"/>
      <w:marLeft w:val="0"/>
      <w:marRight w:val="0"/>
      <w:marTop w:val="0"/>
      <w:marBottom w:val="0"/>
      <w:divBdr>
        <w:top w:val="none" w:sz="0" w:space="0" w:color="auto"/>
        <w:left w:val="none" w:sz="0" w:space="0" w:color="auto"/>
        <w:bottom w:val="none" w:sz="0" w:space="0" w:color="auto"/>
        <w:right w:val="none" w:sz="0" w:space="0" w:color="auto"/>
      </w:divBdr>
    </w:div>
    <w:div w:id="1837258491">
      <w:bodyDiv w:val="1"/>
      <w:marLeft w:val="0"/>
      <w:marRight w:val="0"/>
      <w:marTop w:val="0"/>
      <w:marBottom w:val="0"/>
      <w:divBdr>
        <w:top w:val="none" w:sz="0" w:space="0" w:color="auto"/>
        <w:left w:val="none" w:sz="0" w:space="0" w:color="auto"/>
        <w:bottom w:val="none" w:sz="0" w:space="0" w:color="auto"/>
        <w:right w:val="none" w:sz="0" w:space="0" w:color="auto"/>
      </w:divBdr>
      <w:divsChild>
        <w:div w:id="34670145">
          <w:blockQuote w:val="1"/>
          <w:marLeft w:val="0"/>
          <w:marRight w:val="0"/>
          <w:marTop w:val="0"/>
          <w:marBottom w:val="0"/>
          <w:divBdr>
            <w:top w:val="none" w:sz="0" w:space="0" w:color="auto"/>
            <w:left w:val="single" w:sz="6" w:space="18" w:color="707070"/>
            <w:bottom w:val="none" w:sz="0" w:space="0" w:color="auto"/>
            <w:right w:val="none" w:sz="0" w:space="0" w:color="auto"/>
          </w:divBdr>
          <w:divsChild>
            <w:div w:id="1231229323">
              <w:marLeft w:val="0"/>
              <w:marRight w:val="0"/>
              <w:marTop w:val="120"/>
              <w:marBottom w:val="60"/>
              <w:divBdr>
                <w:top w:val="none" w:sz="0" w:space="0" w:color="auto"/>
                <w:left w:val="none" w:sz="0" w:space="0" w:color="auto"/>
                <w:bottom w:val="none" w:sz="0" w:space="0" w:color="auto"/>
                <w:right w:val="none" w:sz="0" w:space="0" w:color="auto"/>
              </w:divBdr>
            </w:div>
          </w:divsChild>
        </w:div>
      </w:divsChild>
    </w:div>
    <w:div w:id="1862930476">
      <w:bodyDiv w:val="1"/>
      <w:marLeft w:val="0"/>
      <w:marRight w:val="0"/>
      <w:marTop w:val="0"/>
      <w:marBottom w:val="0"/>
      <w:divBdr>
        <w:top w:val="none" w:sz="0" w:space="0" w:color="auto"/>
        <w:left w:val="none" w:sz="0" w:space="0" w:color="auto"/>
        <w:bottom w:val="none" w:sz="0" w:space="0" w:color="auto"/>
        <w:right w:val="none" w:sz="0" w:space="0" w:color="auto"/>
      </w:divBdr>
    </w:div>
    <w:div w:id="1876193700">
      <w:bodyDiv w:val="1"/>
      <w:marLeft w:val="0"/>
      <w:marRight w:val="0"/>
      <w:marTop w:val="0"/>
      <w:marBottom w:val="0"/>
      <w:divBdr>
        <w:top w:val="none" w:sz="0" w:space="0" w:color="auto"/>
        <w:left w:val="none" w:sz="0" w:space="0" w:color="auto"/>
        <w:bottom w:val="none" w:sz="0" w:space="0" w:color="auto"/>
        <w:right w:val="none" w:sz="0" w:space="0" w:color="auto"/>
      </w:divBdr>
    </w:div>
    <w:div w:id="1902859129">
      <w:bodyDiv w:val="1"/>
      <w:marLeft w:val="0"/>
      <w:marRight w:val="0"/>
      <w:marTop w:val="0"/>
      <w:marBottom w:val="0"/>
      <w:divBdr>
        <w:top w:val="none" w:sz="0" w:space="0" w:color="auto"/>
        <w:left w:val="none" w:sz="0" w:space="0" w:color="auto"/>
        <w:bottom w:val="none" w:sz="0" w:space="0" w:color="auto"/>
        <w:right w:val="none" w:sz="0" w:space="0" w:color="auto"/>
      </w:divBdr>
    </w:div>
    <w:div w:id="1929346365">
      <w:bodyDiv w:val="1"/>
      <w:marLeft w:val="0"/>
      <w:marRight w:val="0"/>
      <w:marTop w:val="0"/>
      <w:marBottom w:val="0"/>
      <w:divBdr>
        <w:top w:val="none" w:sz="0" w:space="0" w:color="auto"/>
        <w:left w:val="none" w:sz="0" w:space="0" w:color="auto"/>
        <w:bottom w:val="none" w:sz="0" w:space="0" w:color="auto"/>
        <w:right w:val="none" w:sz="0" w:space="0" w:color="auto"/>
      </w:divBdr>
    </w:div>
    <w:div w:id="1974410275">
      <w:bodyDiv w:val="1"/>
      <w:marLeft w:val="0"/>
      <w:marRight w:val="0"/>
      <w:marTop w:val="0"/>
      <w:marBottom w:val="0"/>
      <w:divBdr>
        <w:top w:val="none" w:sz="0" w:space="0" w:color="auto"/>
        <w:left w:val="none" w:sz="0" w:space="0" w:color="auto"/>
        <w:bottom w:val="none" w:sz="0" w:space="0" w:color="auto"/>
        <w:right w:val="none" w:sz="0" w:space="0" w:color="auto"/>
      </w:divBdr>
    </w:div>
    <w:div w:id="1990863650">
      <w:bodyDiv w:val="1"/>
      <w:marLeft w:val="0"/>
      <w:marRight w:val="0"/>
      <w:marTop w:val="0"/>
      <w:marBottom w:val="0"/>
      <w:divBdr>
        <w:top w:val="none" w:sz="0" w:space="0" w:color="auto"/>
        <w:left w:val="none" w:sz="0" w:space="0" w:color="auto"/>
        <w:bottom w:val="none" w:sz="0" w:space="0" w:color="auto"/>
        <w:right w:val="none" w:sz="0" w:space="0" w:color="auto"/>
      </w:divBdr>
    </w:div>
    <w:div w:id="2005816198">
      <w:bodyDiv w:val="1"/>
      <w:marLeft w:val="0"/>
      <w:marRight w:val="0"/>
      <w:marTop w:val="0"/>
      <w:marBottom w:val="0"/>
      <w:divBdr>
        <w:top w:val="none" w:sz="0" w:space="0" w:color="auto"/>
        <w:left w:val="none" w:sz="0" w:space="0" w:color="auto"/>
        <w:bottom w:val="none" w:sz="0" w:space="0" w:color="auto"/>
        <w:right w:val="none" w:sz="0" w:space="0" w:color="auto"/>
      </w:divBdr>
    </w:div>
    <w:div w:id="2006860868">
      <w:bodyDiv w:val="1"/>
      <w:marLeft w:val="0"/>
      <w:marRight w:val="0"/>
      <w:marTop w:val="0"/>
      <w:marBottom w:val="0"/>
      <w:divBdr>
        <w:top w:val="none" w:sz="0" w:space="0" w:color="auto"/>
        <w:left w:val="none" w:sz="0" w:space="0" w:color="auto"/>
        <w:bottom w:val="none" w:sz="0" w:space="0" w:color="auto"/>
        <w:right w:val="none" w:sz="0" w:space="0" w:color="auto"/>
      </w:divBdr>
    </w:div>
    <w:div w:id="2024089074">
      <w:bodyDiv w:val="1"/>
      <w:marLeft w:val="0"/>
      <w:marRight w:val="0"/>
      <w:marTop w:val="0"/>
      <w:marBottom w:val="0"/>
      <w:divBdr>
        <w:top w:val="none" w:sz="0" w:space="0" w:color="auto"/>
        <w:left w:val="none" w:sz="0" w:space="0" w:color="auto"/>
        <w:bottom w:val="none" w:sz="0" w:space="0" w:color="auto"/>
        <w:right w:val="none" w:sz="0" w:space="0" w:color="auto"/>
      </w:divBdr>
    </w:div>
    <w:div w:id="2028824946">
      <w:bodyDiv w:val="1"/>
      <w:marLeft w:val="0"/>
      <w:marRight w:val="0"/>
      <w:marTop w:val="0"/>
      <w:marBottom w:val="0"/>
      <w:divBdr>
        <w:top w:val="none" w:sz="0" w:space="0" w:color="auto"/>
        <w:left w:val="none" w:sz="0" w:space="0" w:color="auto"/>
        <w:bottom w:val="none" w:sz="0" w:space="0" w:color="auto"/>
        <w:right w:val="none" w:sz="0" w:space="0" w:color="auto"/>
      </w:divBdr>
    </w:div>
    <w:div w:id="2082213378">
      <w:bodyDiv w:val="1"/>
      <w:marLeft w:val="0"/>
      <w:marRight w:val="0"/>
      <w:marTop w:val="0"/>
      <w:marBottom w:val="0"/>
      <w:divBdr>
        <w:top w:val="none" w:sz="0" w:space="0" w:color="auto"/>
        <w:left w:val="none" w:sz="0" w:space="0" w:color="auto"/>
        <w:bottom w:val="none" w:sz="0" w:space="0" w:color="auto"/>
        <w:right w:val="none" w:sz="0" w:space="0" w:color="auto"/>
      </w:divBdr>
      <w:divsChild>
        <w:div w:id="393235945">
          <w:marLeft w:val="0"/>
          <w:marRight w:val="0"/>
          <w:marTop w:val="0"/>
          <w:marBottom w:val="0"/>
          <w:divBdr>
            <w:top w:val="none" w:sz="0" w:space="0" w:color="auto"/>
            <w:left w:val="none" w:sz="0" w:space="0" w:color="auto"/>
            <w:bottom w:val="none" w:sz="0" w:space="0" w:color="auto"/>
            <w:right w:val="none" w:sz="0" w:space="0" w:color="auto"/>
          </w:divBdr>
          <w:divsChild>
            <w:div w:id="1130124017">
              <w:marLeft w:val="0"/>
              <w:marRight w:val="0"/>
              <w:marTop w:val="0"/>
              <w:marBottom w:val="0"/>
              <w:divBdr>
                <w:top w:val="none" w:sz="0" w:space="0" w:color="auto"/>
                <w:left w:val="none" w:sz="0" w:space="0" w:color="auto"/>
                <w:bottom w:val="none" w:sz="0" w:space="0" w:color="auto"/>
                <w:right w:val="none" w:sz="0" w:space="0" w:color="auto"/>
              </w:divBdr>
              <w:divsChild>
                <w:div w:id="138860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751705">
      <w:bodyDiv w:val="1"/>
      <w:marLeft w:val="0"/>
      <w:marRight w:val="0"/>
      <w:marTop w:val="0"/>
      <w:marBottom w:val="0"/>
      <w:divBdr>
        <w:top w:val="none" w:sz="0" w:space="0" w:color="auto"/>
        <w:left w:val="none" w:sz="0" w:space="0" w:color="auto"/>
        <w:bottom w:val="none" w:sz="0" w:space="0" w:color="auto"/>
        <w:right w:val="none" w:sz="0" w:space="0" w:color="auto"/>
      </w:divBdr>
    </w:div>
    <w:div w:id="2100520299">
      <w:bodyDiv w:val="1"/>
      <w:marLeft w:val="0"/>
      <w:marRight w:val="0"/>
      <w:marTop w:val="0"/>
      <w:marBottom w:val="0"/>
      <w:divBdr>
        <w:top w:val="none" w:sz="0" w:space="0" w:color="auto"/>
        <w:left w:val="none" w:sz="0" w:space="0" w:color="auto"/>
        <w:bottom w:val="none" w:sz="0" w:space="0" w:color="auto"/>
        <w:right w:val="none" w:sz="0" w:space="0" w:color="auto"/>
      </w:divBdr>
    </w:div>
    <w:div w:id="2103793174">
      <w:bodyDiv w:val="1"/>
      <w:marLeft w:val="0"/>
      <w:marRight w:val="0"/>
      <w:marTop w:val="0"/>
      <w:marBottom w:val="0"/>
      <w:divBdr>
        <w:top w:val="none" w:sz="0" w:space="0" w:color="auto"/>
        <w:left w:val="none" w:sz="0" w:space="0" w:color="auto"/>
        <w:bottom w:val="none" w:sz="0" w:space="0" w:color="auto"/>
        <w:right w:val="none" w:sz="0" w:space="0" w:color="auto"/>
      </w:divBdr>
    </w:div>
    <w:div w:id="2118982749">
      <w:bodyDiv w:val="1"/>
      <w:marLeft w:val="0"/>
      <w:marRight w:val="0"/>
      <w:marTop w:val="0"/>
      <w:marBottom w:val="0"/>
      <w:divBdr>
        <w:top w:val="none" w:sz="0" w:space="0" w:color="auto"/>
        <w:left w:val="none" w:sz="0" w:space="0" w:color="auto"/>
        <w:bottom w:val="none" w:sz="0" w:space="0" w:color="auto"/>
        <w:right w:val="none" w:sz="0" w:space="0" w:color="auto"/>
      </w:divBdr>
    </w:div>
    <w:div w:id="2134788714">
      <w:bodyDiv w:val="1"/>
      <w:marLeft w:val="0"/>
      <w:marRight w:val="0"/>
      <w:marTop w:val="0"/>
      <w:marBottom w:val="0"/>
      <w:divBdr>
        <w:top w:val="none" w:sz="0" w:space="0" w:color="auto"/>
        <w:left w:val="none" w:sz="0" w:space="0" w:color="auto"/>
        <w:bottom w:val="none" w:sz="0" w:space="0" w:color="auto"/>
        <w:right w:val="none" w:sz="0" w:space="0" w:color="auto"/>
      </w:divBdr>
    </w:div>
    <w:div w:id="2134975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517/14656566.2014.936848" TargetMode="External"/><Relationship Id="rId299" Type="http://schemas.openxmlformats.org/officeDocument/2006/relationships/hyperlink" Target="https://doi.org/10.3389/fnagi.2023.1212496" TargetMode="External"/><Relationship Id="rId21" Type="http://schemas.openxmlformats.org/officeDocument/2006/relationships/image" Target="media/image7.png"/><Relationship Id="rId63" Type="http://schemas.openxmlformats.org/officeDocument/2006/relationships/image" Target="media/image31.emf"/><Relationship Id="rId159" Type="http://schemas.openxmlformats.org/officeDocument/2006/relationships/hyperlink" Target="https://doi.org/10.1590/s0102-695x2010000400002" TargetMode="External"/><Relationship Id="rId324" Type="http://schemas.openxmlformats.org/officeDocument/2006/relationships/hyperlink" Target="https://doi.org/10.3233/jad-190644" TargetMode="External"/><Relationship Id="rId170" Type="http://schemas.openxmlformats.org/officeDocument/2006/relationships/hyperlink" Target="https://doi.org/10.7554/eLife.02736" TargetMode="External"/><Relationship Id="rId226" Type="http://schemas.openxmlformats.org/officeDocument/2006/relationships/hyperlink" Target="https://doi.org/10.1073/pnas.1332809100" TargetMode="External"/><Relationship Id="rId268" Type="http://schemas.openxmlformats.org/officeDocument/2006/relationships/hyperlink" Target="https://doi.org/10.1016/j.neulet.2017.04.049" TargetMode="External"/><Relationship Id="rId32" Type="http://schemas.openxmlformats.org/officeDocument/2006/relationships/oleObject" Target="embeddings/oleObject3.bin"/><Relationship Id="rId74" Type="http://schemas.openxmlformats.org/officeDocument/2006/relationships/oleObject" Target="embeddings/oleObject24.bin"/><Relationship Id="rId128" Type="http://schemas.openxmlformats.org/officeDocument/2006/relationships/hyperlink" Target="https://doi.org/10.1523/jneurosci.2250-06.2006" TargetMode="External"/><Relationship Id="rId335" Type="http://schemas.openxmlformats.org/officeDocument/2006/relationships/hyperlink" Target="https://doi.org/https://doi.org/10.1111/gbb.12710" TargetMode="External"/><Relationship Id="rId5" Type="http://schemas.openxmlformats.org/officeDocument/2006/relationships/webSettings" Target="webSettings.xml"/><Relationship Id="rId181" Type="http://schemas.openxmlformats.org/officeDocument/2006/relationships/hyperlink" Target="https://doi.org/10.3389/fnagi.2021.679585" TargetMode="External"/><Relationship Id="rId237" Type="http://schemas.openxmlformats.org/officeDocument/2006/relationships/hyperlink" Target="https://doi.org/10.2174/1570159x21666221121091454" TargetMode="External"/><Relationship Id="rId279" Type="http://schemas.openxmlformats.org/officeDocument/2006/relationships/hyperlink" Target="https://doi.org/10.1017/s1355617715000855" TargetMode="External"/><Relationship Id="rId43" Type="http://schemas.openxmlformats.org/officeDocument/2006/relationships/image" Target="media/image21.emf"/><Relationship Id="rId139" Type="http://schemas.openxmlformats.org/officeDocument/2006/relationships/hyperlink" Target="https://doi.org/10.1007/s00221-015-4507-2" TargetMode="External"/><Relationship Id="rId290" Type="http://schemas.openxmlformats.org/officeDocument/2006/relationships/hyperlink" Target="https://doi.org/https://doi.org/10.1016/j.neurobiolaging.2012.08.006" TargetMode="External"/><Relationship Id="rId304" Type="http://schemas.openxmlformats.org/officeDocument/2006/relationships/hyperlink" Target="https://doi.org/10.1108/add-02-2021-0003" TargetMode="External"/><Relationship Id="rId346" Type="http://schemas.openxmlformats.org/officeDocument/2006/relationships/hyperlink" Target="https://doi.org/10.3233/jad-150708" TargetMode="External"/><Relationship Id="rId85" Type="http://schemas.openxmlformats.org/officeDocument/2006/relationships/image" Target="media/image42.emf"/><Relationship Id="rId150" Type="http://schemas.openxmlformats.org/officeDocument/2006/relationships/hyperlink" Target="https://doi.org/10.1177/1541931213601268" TargetMode="External"/><Relationship Id="rId192" Type="http://schemas.openxmlformats.org/officeDocument/2006/relationships/hyperlink" Target="https://doi.org/10.1038/nprot.2013.122" TargetMode="External"/><Relationship Id="rId206" Type="http://schemas.openxmlformats.org/officeDocument/2006/relationships/hyperlink" Target="https://doi.org/10.3233/nib-169001" TargetMode="External"/><Relationship Id="rId248" Type="http://schemas.openxmlformats.org/officeDocument/2006/relationships/hyperlink" Target="https://doi.org/10.1007/s11910-008-0045-7" TargetMode="External"/><Relationship Id="rId12" Type="http://schemas.openxmlformats.org/officeDocument/2006/relationships/hyperlink" Target="http://creativecommons.org/licenses/by-nc-nd/3.0/it/" TargetMode="External"/><Relationship Id="rId108" Type="http://schemas.openxmlformats.org/officeDocument/2006/relationships/hyperlink" Target="https://doi.org/10.3390/brainsci15020130" TargetMode="External"/><Relationship Id="rId315" Type="http://schemas.openxmlformats.org/officeDocument/2006/relationships/hyperlink" Target="https://doi.org/10.1016/j.neuropsychologia.2009.03.004" TargetMode="External"/><Relationship Id="rId357" Type="http://schemas.openxmlformats.org/officeDocument/2006/relationships/hyperlink" Target="https://doi.org/10.1093/geroni/igad004" TargetMode="External"/><Relationship Id="rId54" Type="http://schemas.openxmlformats.org/officeDocument/2006/relationships/oleObject" Target="embeddings/oleObject14.bin"/><Relationship Id="rId96" Type="http://schemas.openxmlformats.org/officeDocument/2006/relationships/hyperlink" Target="https://doi.org/10.7554/elife.49115" TargetMode="External"/><Relationship Id="rId161" Type="http://schemas.openxmlformats.org/officeDocument/2006/relationships/hyperlink" Target="https://doi.org/10.1007/s00213-012-2854-2" TargetMode="External"/><Relationship Id="rId217" Type="http://schemas.openxmlformats.org/officeDocument/2006/relationships/hyperlink" Target="https://doi.org/10.1007/s00213-015-4017-8" TargetMode="External"/><Relationship Id="rId259" Type="http://schemas.openxmlformats.org/officeDocument/2006/relationships/hyperlink" Target="https://doi.org/10.1093/geroni/igad104.2238" TargetMode="External"/><Relationship Id="rId23" Type="http://schemas.openxmlformats.org/officeDocument/2006/relationships/image" Target="media/image9.png"/><Relationship Id="rId119" Type="http://schemas.openxmlformats.org/officeDocument/2006/relationships/hyperlink" Target="https://doi.org/10.1177/23779608241289099" TargetMode="External"/><Relationship Id="rId270" Type="http://schemas.openxmlformats.org/officeDocument/2006/relationships/hyperlink" Target="https://doi.org/10.1007/s00401-018-1851-x" TargetMode="External"/><Relationship Id="rId326" Type="http://schemas.openxmlformats.org/officeDocument/2006/relationships/hyperlink" Target="https://doi.org/10.1016/j.nlm.2010.07.006" TargetMode="External"/><Relationship Id="rId65" Type="http://schemas.openxmlformats.org/officeDocument/2006/relationships/image" Target="media/image32.emf"/><Relationship Id="rId130" Type="http://schemas.openxmlformats.org/officeDocument/2006/relationships/hyperlink" Target="https://doi.org/10.1002/jnr.25198" TargetMode="External"/><Relationship Id="rId172" Type="http://schemas.openxmlformats.org/officeDocument/2006/relationships/hyperlink" Target="https://doi.org/10.3892/ijmm.2020.4653" TargetMode="External"/><Relationship Id="rId228" Type="http://schemas.openxmlformats.org/officeDocument/2006/relationships/hyperlink" Target="https://doi.org/10.3389/fneur.2024.1419128" TargetMode="External"/><Relationship Id="rId281" Type="http://schemas.openxmlformats.org/officeDocument/2006/relationships/hyperlink" Target="https://doi.org/10.1523/jneurosci.3279-05.2005" TargetMode="External"/><Relationship Id="rId337" Type="http://schemas.openxmlformats.org/officeDocument/2006/relationships/hyperlink" Target="https://doi.org/10.4149/bll_2018_038" TargetMode="External"/><Relationship Id="rId34" Type="http://schemas.openxmlformats.org/officeDocument/2006/relationships/oleObject" Target="embeddings/oleObject4.bin"/><Relationship Id="rId76" Type="http://schemas.openxmlformats.org/officeDocument/2006/relationships/oleObject" Target="embeddings/oleObject25.bin"/><Relationship Id="rId141" Type="http://schemas.openxmlformats.org/officeDocument/2006/relationships/hyperlink" Target="https://doi.org/10.1016/j.brainres.2011.05.053" TargetMode="External"/><Relationship Id="rId7" Type="http://schemas.openxmlformats.org/officeDocument/2006/relationships/endnotes" Target="endnotes.xml"/><Relationship Id="rId183" Type="http://schemas.openxmlformats.org/officeDocument/2006/relationships/hyperlink" Target="https://doi.org/10.3390/bs9050058" TargetMode="External"/><Relationship Id="rId239" Type="http://schemas.openxmlformats.org/officeDocument/2006/relationships/hyperlink" Target="https://doi.org/10.3389/fnins.2014.00104" TargetMode="External"/><Relationship Id="rId250" Type="http://schemas.openxmlformats.org/officeDocument/2006/relationships/hyperlink" Target="https://doi.org/10.1212/01.wnl.0000240224.38978.d8" TargetMode="External"/><Relationship Id="rId292" Type="http://schemas.openxmlformats.org/officeDocument/2006/relationships/hyperlink" Target="https://doi.org/10.1523/jneurosci.5242-10.2011" TargetMode="External"/><Relationship Id="rId306" Type="http://schemas.openxmlformats.org/officeDocument/2006/relationships/hyperlink" Target="https://doi.org/10.3390/ijms22094850" TargetMode="External"/><Relationship Id="rId45" Type="http://schemas.openxmlformats.org/officeDocument/2006/relationships/image" Target="media/image22.emf"/><Relationship Id="rId87" Type="http://schemas.openxmlformats.org/officeDocument/2006/relationships/image" Target="media/image43.emf"/><Relationship Id="rId110" Type="http://schemas.openxmlformats.org/officeDocument/2006/relationships/hyperlink" Target="https://doi.org/10.1016/j.jneumeth.2017.07.011" TargetMode="External"/><Relationship Id="rId348" Type="http://schemas.openxmlformats.org/officeDocument/2006/relationships/hyperlink" Target="https://doi.org/10.1542/peds.2019-2528" TargetMode="External"/><Relationship Id="rId152" Type="http://schemas.openxmlformats.org/officeDocument/2006/relationships/hyperlink" Target="https://doi.org/https://doi.org/10.1002/alz.12073" TargetMode="External"/><Relationship Id="rId194" Type="http://schemas.openxmlformats.org/officeDocument/2006/relationships/hyperlink" Target="https://doi.org/10.1007/7854_2015_5007" TargetMode="External"/><Relationship Id="rId208" Type="http://schemas.openxmlformats.org/officeDocument/2006/relationships/hyperlink" Target="https://doi.org/10.1017/s1041610212000567" TargetMode="External"/><Relationship Id="rId261" Type="http://schemas.openxmlformats.org/officeDocument/2006/relationships/hyperlink" Target="https://doi.org/10.2174/1874609812666190311160754" TargetMode="External"/><Relationship Id="rId14" Type="http://schemas.openxmlformats.org/officeDocument/2006/relationships/hyperlink" Target="http://creativecommons.org/licenses/by-nc-nd/3.0/it/" TargetMode="External"/><Relationship Id="rId56" Type="http://schemas.openxmlformats.org/officeDocument/2006/relationships/oleObject" Target="embeddings/oleObject15.bin"/><Relationship Id="rId317" Type="http://schemas.openxmlformats.org/officeDocument/2006/relationships/hyperlink" Target="https://doi.org/10.4108/eai.7-12-2021.2314513" TargetMode="External"/><Relationship Id="rId359" Type="http://schemas.openxmlformats.org/officeDocument/2006/relationships/hyperlink" Target="https://doi.org/10.1038/labinvest.2010.6" TargetMode="External"/><Relationship Id="rId98" Type="http://schemas.openxmlformats.org/officeDocument/2006/relationships/hyperlink" Target="https://doi.org/10.1212/wnl.0000000000006075" TargetMode="External"/><Relationship Id="rId121" Type="http://schemas.openxmlformats.org/officeDocument/2006/relationships/hyperlink" Target="https://doi.org/10.1016/j.neuropharm.2011.04.011" TargetMode="External"/><Relationship Id="rId163" Type="http://schemas.openxmlformats.org/officeDocument/2006/relationships/hyperlink" Target="https://doi.org/10.1093/hmg/ddq212" TargetMode="External"/><Relationship Id="rId219" Type="http://schemas.openxmlformats.org/officeDocument/2006/relationships/hyperlink" Target="https://doi.org/10.1155/2015/748212" TargetMode="External"/><Relationship Id="rId230" Type="http://schemas.openxmlformats.org/officeDocument/2006/relationships/hyperlink" Target="https://doi.org/10.1080/17435889.2025.2461984" TargetMode="External"/><Relationship Id="rId25" Type="http://schemas.openxmlformats.org/officeDocument/2006/relationships/image" Target="media/image11.png"/><Relationship Id="rId67" Type="http://schemas.openxmlformats.org/officeDocument/2006/relationships/image" Target="media/image33.emf"/><Relationship Id="rId272" Type="http://schemas.openxmlformats.org/officeDocument/2006/relationships/hyperlink" Target="https://doi.org/10.3389/fpsyt.2025.1518435" TargetMode="External"/><Relationship Id="rId328" Type="http://schemas.openxmlformats.org/officeDocument/2006/relationships/hyperlink" Target="https://doi.org/10.3233/jad-132690" TargetMode="External"/><Relationship Id="rId88" Type="http://schemas.openxmlformats.org/officeDocument/2006/relationships/oleObject" Target="embeddings/oleObject31.bin"/><Relationship Id="rId111" Type="http://schemas.openxmlformats.org/officeDocument/2006/relationships/hyperlink" Target="https://doi.org/10.1080/20008198.2022.2055296" TargetMode="External"/><Relationship Id="rId132" Type="http://schemas.openxmlformats.org/officeDocument/2006/relationships/hyperlink" Target="https://doi.org/10.1002/alz.068924" TargetMode="External"/><Relationship Id="rId153" Type="http://schemas.openxmlformats.org/officeDocument/2006/relationships/hyperlink" Target="https://doi.org/10.1037/neu0000743" TargetMode="External"/><Relationship Id="rId174" Type="http://schemas.openxmlformats.org/officeDocument/2006/relationships/hyperlink" Target="https://doi.org/10.1117/12.910870" TargetMode="External"/><Relationship Id="rId195" Type="http://schemas.openxmlformats.org/officeDocument/2006/relationships/hyperlink" Target="https://doi.org/10.1007/7854_2015_5007" TargetMode="External"/><Relationship Id="rId209" Type="http://schemas.openxmlformats.org/officeDocument/2006/relationships/hyperlink" Target="https://doi.org/10.1002/ana.21212" TargetMode="External"/><Relationship Id="rId360" Type="http://schemas.openxmlformats.org/officeDocument/2006/relationships/hyperlink" Target="https://doi.org/10.3390/geriatrics7020024" TargetMode="External"/><Relationship Id="rId220" Type="http://schemas.openxmlformats.org/officeDocument/2006/relationships/hyperlink" Target="https://doi.org/10.1093/braincomms/fcab199" TargetMode="External"/><Relationship Id="rId241" Type="http://schemas.openxmlformats.org/officeDocument/2006/relationships/hyperlink" Target="https://doi.org/10.1101/lm.053620.122" TargetMode="External"/><Relationship Id="rId15" Type="http://schemas.openxmlformats.org/officeDocument/2006/relationships/hyperlink" Target="http://creativecommons.org/licenses/by-nc-nd/3.0/it/" TargetMode="External"/><Relationship Id="rId36" Type="http://schemas.openxmlformats.org/officeDocument/2006/relationships/oleObject" Target="embeddings/oleObject5.bin"/><Relationship Id="rId57" Type="http://schemas.openxmlformats.org/officeDocument/2006/relationships/image" Target="media/image28.emf"/><Relationship Id="rId262" Type="http://schemas.openxmlformats.org/officeDocument/2006/relationships/hyperlink" Target="https://doi.org/10.1242/dmm.049310" TargetMode="External"/><Relationship Id="rId283" Type="http://schemas.openxmlformats.org/officeDocument/2006/relationships/hyperlink" Target="https://doi.org/10.2174/156720511795745401" TargetMode="External"/><Relationship Id="rId318" Type="http://schemas.openxmlformats.org/officeDocument/2006/relationships/hyperlink" Target="https://doi.org/10.1586/epr.10.6" TargetMode="External"/><Relationship Id="rId339" Type="http://schemas.openxmlformats.org/officeDocument/2006/relationships/hyperlink" Target="https://doi.org/10.1101/2024.05.17.594658" TargetMode="External"/><Relationship Id="rId78" Type="http://schemas.openxmlformats.org/officeDocument/2006/relationships/oleObject" Target="embeddings/oleObject26.bin"/><Relationship Id="rId99" Type="http://schemas.openxmlformats.org/officeDocument/2006/relationships/hyperlink" Target="https://doi.org/10.1590/s1980-57642013dn70100019" TargetMode="External"/><Relationship Id="rId101" Type="http://schemas.openxmlformats.org/officeDocument/2006/relationships/hyperlink" Target="https://doi.org/10.1155/2024/7652217" TargetMode="External"/><Relationship Id="rId122" Type="http://schemas.openxmlformats.org/officeDocument/2006/relationships/hyperlink" Target="https://doi.org/https://doi.org/10.1016/j.neuropharm.2011.04.011" TargetMode="External"/><Relationship Id="rId143" Type="http://schemas.openxmlformats.org/officeDocument/2006/relationships/hyperlink" Target="https://doi.org/10.1093/cercor/bhae287" TargetMode="External"/><Relationship Id="rId164" Type="http://schemas.openxmlformats.org/officeDocument/2006/relationships/hyperlink" Target="https://doi.org/10.3389/fnut.2022.972379" TargetMode="External"/><Relationship Id="rId185" Type="http://schemas.openxmlformats.org/officeDocument/2006/relationships/hyperlink" Target="https://doi.org/10.1080/07853890.2020.1808239" TargetMode="External"/><Relationship Id="rId350" Type="http://schemas.openxmlformats.org/officeDocument/2006/relationships/hyperlink" Target="https://doi.org/10.1093/geroni/igz038.741" TargetMode="External"/><Relationship Id="rId9" Type="http://schemas.openxmlformats.org/officeDocument/2006/relationships/footer" Target="footer1.xml"/><Relationship Id="rId210" Type="http://schemas.openxmlformats.org/officeDocument/2006/relationships/hyperlink" Target="https://doi.org/10.1037/a0023575" TargetMode="External"/><Relationship Id="rId26" Type="http://schemas.openxmlformats.org/officeDocument/2006/relationships/image" Target="media/image12.png"/><Relationship Id="rId231" Type="http://schemas.openxmlformats.org/officeDocument/2006/relationships/hyperlink" Target="https://doi.org/10.1007/s12144-023-04534-z" TargetMode="External"/><Relationship Id="rId252" Type="http://schemas.openxmlformats.org/officeDocument/2006/relationships/hyperlink" Target="https://doi.org/10.1152/ajpregu.00208.2003" TargetMode="External"/><Relationship Id="rId273" Type="http://schemas.openxmlformats.org/officeDocument/2006/relationships/hyperlink" Target="https://doi.org/https://doi.org/10.1016/j.jneumeth.2022.109749" TargetMode="External"/><Relationship Id="rId294" Type="http://schemas.openxmlformats.org/officeDocument/2006/relationships/hyperlink" Target="https://doi.org/10.1155/2012/383062" TargetMode="External"/><Relationship Id="rId308" Type="http://schemas.openxmlformats.org/officeDocument/2006/relationships/hyperlink" Target="https://doi.org/https://doi.org/10.1111/gbb.12594" TargetMode="External"/><Relationship Id="rId329" Type="http://schemas.openxmlformats.org/officeDocument/2006/relationships/hyperlink" Target="https://doi.org/10.3389/fnmol.2017.00359" TargetMode="External"/><Relationship Id="rId47" Type="http://schemas.openxmlformats.org/officeDocument/2006/relationships/image" Target="media/image23.emf"/><Relationship Id="rId68" Type="http://schemas.openxmlformats.org/officeDocument/2006/relationships/oleObject" Target="embeddings/oleObject21.bin"/><Relationship Id="rId89" Type="http://schemas.openxmlformats.org/officeDocument/2006/relationships/hyperlink" Target="https://doi.org/10.1111/jfbc.14213" TargetMode="External"/><Relationship Id="rId112" Type="http://schemas.openxmlformats.org/officeDocument/2006/relationships/hyperlink" Target="https://doi.org/10.1037/0894-4105.18.3.418" TargetMode="External"/><Relationship Id="rId133" Type="http://schemas.openxmlformats.org/officeDocument/2006/relationships/hyperlink" Target="https://doi.org/10.1038/s41598-020-76560-x" TargetMode="External"/><Relationship Id="rId154" Type="http://schemas.openxmlformats.org/officeDocument/2006/relationships/hyperlink" Target="https://doi.org/10.1089/ars.2011.4277" TargetMode="External"/><Relationship Id="rId175" Type="http://schemas.openxmlformats.org/officeDocument/2006/relationships/hyperlink" Target="https://doi.org/10.3389/fnins.2022.1092297" TargetMode="External"/><Relationship Id="rId340" Type="http://schemas.openxmlformats.org/officeDocument/2006/relationships/hyperlink" Target="https://doi.org/10.1186/s13024-020-00376-6" TargetMode="External"/><Relationship Id="rId361" Type="http://schemas.openxmlformats.org/officeDocument/2006/relationships/footer" Target="footer2.xml"/><Relationship Id="rId196" Type="http://schemas.openxmlformats.org/officeDocument/2006/relationships/hyperlink" Target="https://doi.org/10.1212/wnl.0000000000010727" TargetMode="External"/><Relationship Id="rId200" Type="http://schemas.openxmlformats.org/officeDocument/2006/relationships/hyperlink" Target="https://doi.org/10.3928/02793695-20231018-02" TargetMode="External"/><Relationship Id="rId16" Type="http://schemas.openxmlformats.org/officeDocument/2006/relationships/image" Target="media/image3.png"/><Relationship Id="rId221" Type="http://schemas.openxmlformats.org/officeDocument/2006/relationships/hyperlink" Target="https://doi.org/10.1002/ptr.1970" TargetMode="External"/><Relationship Id="rId242" Type="http://schemas.openxmlformats.org/officeDocument/2006/relationships/hyperlink" Target="https://doi.org/10.1080/03007995.2019.1636017" TargetMode="External"/><Relationship Id="rId263" Type="http://schemas.openxmlformats.org/officeDocument/2006/relationships/hyperlink" Target="https://doi.org/10.3389/fnbeh.2025.1536458" TargetMode="External"/><Relationship Id="rId284" Type="http://schemas.openxmlformats.org/officeDocument/2006/relationships/hyperlink" Target="https://doi.org/10.1176/jnp.13.3.326" TargetMode="External"/><Relationship Id="rId319" Type="http://schemas.openxmlformats.org/officeDocument/2006/relationships/hyperlink" Target="https://doi.org/10.1111/gbb.12705" TargetMode="External"/><Relationship Id="rId37" Type="http://schemas.openxmlformats.org/officeDocument/2006/relationships/image" Target="media/image18.emf"/><Relationship Id="rId58" Type="http://schemas.openxmlformats.org/officeDocument/2006/relationships/oleObject" Target="embeddings/oleObject16.bin"/><Relationship Id="rId79" Type="http://schemas.openxmlformats.org/officeDocument/2006/relationships/image" Target="media/image39.emf"/><Relationship Id="rId102" Type="http://schemas.openxmlformats.org/officeDocument/2006/relationships/hyperlink" Target="https://doi.org/10.1016/j.neuropharm.2011.04.024" TargetMode="External"/><Relationship Id="rId123" Type="http://schemas.openxmlformats.org/officeDocument/2006/relationships/hyperlink" Target="https://doi.org/10.1038/nrn3475" TargetMode="External"/><Relationship Id="rId144" Type="http://schemas.openxmlformats.org/officeDocument/2006/relationships/hyperlink" Target="https://doi.org/10.1124/jpet.112.192104" TargetMode="External"/><Relationship Id="rId330" Type="http://schemas.openxmlformats.org/officeDocument/2006/relationships/hyperlink" Target="https://doi.org/10.1038/s41577-022-00684-6" TargetMode="External"/><Relationship Id="rId90" Type="http://schemas.openxmlformats.org/officeDocument/2006/relationships/hyperlink" Target="https://doi.org/10.1007/s00213-009-1706-1" TargetMode="External"/><Relationship Id="rId165" Type="http://schemas.openxmlformats.org/officeDocument/2006/relationships/hyperlink" Target="https://doi.org/https://doi.org/10.1016/j.ejphar.2019.01.038" TargetMode="External"/><Relationship Id="rId186" Type="http://schemas.openxmlformats.org/officeDocument/2006/relationships/hyperlink" Target="https://doi.org/10.3389/fnbeh.2014.00252" TargetMode="External"/><Relationship Id="rId351" Type="http://schemas.openxmlformats.org/officeDocument/2006/relationships/hyperlink" Target="https://doi.org/https://doi.org/10.1016/B978-0-12-802810-0.00001-5" TargetMode="External"/><Relationship Id="rId211" Type="http://schemas.openxmlformats.org/officeDocument/2006/relationships/hyperlink" Target="https://doi.org/https://doi.org/10.1016/j.cell.2017.05.018" TargetMode="External"/><Relationship Id="rId232" Type="http://schemas.openxmlformats.org/officeDocument/2006/relationships/hyperlink" Target="https://doi.org/10.1101/2020.01.01.890798" TargetMode="External"/><Relationship Id="rId253" Type="http://schemas.openxmlformats.org/officeDocument/2006/relationships/hyperlink" Target="https://doi.org/10.1523/jneurosci.3891-12.2013" TargetMode="External"/><Relationship Id="rId274" Type="http://schemas.openxmlformats.org/officeDocument/2006/relationships/hyperlink" Target="https://doi.org/10.1007/978-3-319-44022-4_22" TargetMode="External"/><Relationship Id="rId295" Type="http://schemas.openxmlformats.org/officeDocument/2006/relationships/hyperlink" Target="https://doi.org/10.1101/2023.08.14.553199" TargetMode="External"/><Relationship Id="rId309" Type="http://schemas.openxmlformats.org/officeDocument/2006/relationships/hyperlink" Target="https://doi.org/10.3389/fnbeh.2021.766745" TargetMode="External"/><Relationship Id="rId27" Type="http://schemas.openxmlformats.org/officeDocument/2006/relationships/image" Target="media/image13.emf"/><Relationship Id="rId48" Type="http://schemas.openxmlformats.org/officeDocument/2006/relationships/oleObject" Target="embeddings/oleObject11.bin"/><Relationship Id="rId69" Type="http://schemas.openxmlformats.org/officeDocument/2006/relationships/image" Target="media/image34.emf"/><Relationship Id="rId113" Type="http://schemas.openxmlformats.org/officeDocument/2006/relationships/hyperlink" Target="https://doi.org/10.2174/092986712804485737" TargetMode="External"/><Relationship Id="rId134" Type="http://schemas.openxmlformats.org/officeDocument/2006/relationships/hyperlink" Target="https://doi.org/10.1038/s41398-021-01662-7" TargetMode="External"/><Relationship Id="rId320" Type="http://schemas.openxmlformats.org/officeDocument/2006/relationships/hyperlink" Target="https://doi.org/10.1002/hipo.23632" TargetMode="External"/><Relationship Id="rId80" Type="http://schemas.openxmlformats.org/officeDocument/2006/relationships/oleObject" Target="embeddings/oleObject27.bin"/><Relationship Id="rId155" Type="http://schemas.openxmlformats.org/officeDocument/2006/relationships/hyperlink" Target="https://doi.org/10.1016/j.neubiorev.2012.03.003" TargetMode="External"/><Relationship Id="rId176" Type="http://schemas.openxmlformats.org/officeDocument/2006/relationships/hyperlink" Target="https://doi.org/10.1242/dmm.030205" TargetMode="External"/><Relationship Id="rId197" Type="http://schemas.openxmlformats.org/officeDocument/2006/relationships/hyperlink" Target="https://doi.org/https://doi.org/10.1016/j.neuron.2010.03.005" TargetMode="External"/><Relationship Id="rId341" Type="http://schemas.openxmlformats.org/officeDocument/2006/relationships/hyperlink" Target="https://doi.org/10.1038/s41398-022-02237-w" TargetMode="External"/><Relationship Id="rId362" Type="http://schemas.openxmlformats.org/officeDocument/2006/relationships/fontTable" Target="fontTable.xml"/><Relationship Id="rId201" Type="http://schemas.openxmlformats.org/officeDocument/2006/relationships/hyperlink" Target="https://doi.org/10.1038/s41598-017-09868-w" TargetMode="External"/><Relationship Id="rId222" Type="http://schemas.openxmlformats.org/officeDocument/2006/relationships/hyperlink" Target="https://doi.org/10.2174/156720509790147142" TargetMode="External"/><Relationship Id="rId243" Type="http://schemas.openxmlformats.org/officeDocument/2006/relationships/hyperlink" Target="https://doi.org/10.3389/fnsyn.2023.1129036" TargetMode="External"/><Relationship Id="rId264" Type="http://schemas.openxmlformats.org/officeDocument/2006/relationships/hyperlink" Target="https://doi.org/https://doi.org/10.1016/j.nlm.2021.107443" TargetMode="External"/><Relationship Id="rId285" Type="http://schemas.openxmlformats.org/officeDocument/2006/relationships/hyperlink" Target="https://doi.org/10.1037/xhp0000926" TargetMode="External"/><Relationship Id="rId17" Type="http://schemas.openxmlformats.org/officeDocument/2006/relationships/hyperlink" Target="https://campdeninstruments.com/products/second-gen-bussey-saksida-touch-screen-mice/" TargetMode="External"/><Relationship Id="rId38" Type="http://schemas.openxmlformats.org/officeDocument/2006/relationships/oleObject" Target="embeddings/oleObject6.bin"/><Relationship Id="rId59" Type="http://schemas.openxmlformats.org/officeDocument/2006/relationships/image" Target="media/image29.emf"/><Relationship Id="rId103" Type="http://schemas.openxmlformats.org/officeDocument/2006/relationships/hyperlink" Target="https://doi.org/10.1007/7854_2015_5001" TargetMode="External"/><Relationship Id="rId124" Type="http://schemas.openxmlformats.org/officeDocument/2006/relationships/hyperlink" Target="https://doi.org/10.1080/23279095.2017.1286346" TargetMode="External"/><Relationship Id="rId310" Type="http://schemas.openxmlformats.org/officeDocument/2006/relationships/hyperlink" Target="https://doi.org/10.21203/rs.3.rs-3271134/v1" TargetMode="External"/><Relationship Id="rId70" Type="http://schemas.openxmlformats.org/officeDocument/2006/relationships/oleObject" Target="embeddings/oleObject22.bin"/><Relationship Id="rId91" Type="http://schemas.openxmlformats.org/officeDocument/2006/relationships/hyperlink" Target="https://doi.org/10.3389/fneur.2024.1500140" TargetMode="External"/><Relationship Id="rId145" Type="http://schemas.openxmlformats.org/officeDocument/2006/relationships/hyperlink" Target="https://doi.org/10.1038/s41531-023-00475-3" TargetMode="External"/><Relationship Id="rId166" Type="http://schemas.openxmlformats.org/officeDocument/2006/relationships/hyperlink" Target="https://doi.org/10.1007/s11357-006-9028-2" TargetMode="External"/><Relationship Id="rId187" Type="http://schemas.openxmlformats.org/officeDocument/2006/relationships/hyperlink" Target="https://doi.org/10.1007/s00213-015-4009-8" TargetMode="External"/><Relationship Id="rId331" Type="http://schemas.openxmlformats.org/officeDocument/2006/relationships/hyperlink" Target="https://doi.org/10.1093/hmg/ddy201" TargetMode="External"/><Relationship Id="rId352" Type="http://schemas.openxmlformats.org/officeDocument/2006/relationships/hyperlink" Target="https://doi.org/https://doi.org/10.1016/j.semcdb.2018.05.005" TargetMode="External"/><Relationship Id="rId1" Type="http://schemas.openxmlformats.org/officeDocument/2006/relationships/customXml" Target="../customXml/item1.xml"/><Relationship Id="rId212" Type="http://schemas.openxmlformats.org/officeDocument/2006/relationships/hyperlink" Target="https://doi.org/10.1093/oxfordhb/9780190917982.013.60" TargetMode="External"/><Relationship Id="rId233" Type="http://schemas.openxmlformats.org/officeDocument/2006/relationships/hyperlink" Target="https://doi.org/10.1192/bjp.2025.11" TargetMode="External"/><Relationship Id="rId254" Type="http://schemas.openxmlformats.org/officeDocument/2006/relationships/hyperlink" Target="https://doi.org/10.1038/s41398-018-0295-3" TargetMode="External"/><Relationship Id="rId28" Type="http://schemas.openxmlformats.org/officeDocument/2006/relationships/oleObject" Target="embeddings/oleObject1.bin"/><Relationship Id="rId49" Type="http://schemas.openxmlformats.org/officeDocument/2006/relationships/image" Target="media/image24.emf"/><Relationship Id="rId114" Type="http://schemas.openxmlformats.org/officeDocument/2006/relationships/hyperlink" Target="https://doi.org/10.1371/journal.pone.0043647" TargetMode="External"/><Relationship Id="rId275" Type="http://schemas.openxmlformats.org/officeDocument/2006/relationships/hyperlink" Target="https://doi.org/10.1172/JCI17522" TargetMode="External"/><Relationship Id="rId296" Type="http://schemas.openxmlformats.org/officeDocument/2006/relationships/hyperlink" Target="https://doi.org/10.1016/j.mad.2019.01.007" TargetMode="External"/><Relationship Id="rId300" Type="http://schemas.openxmlformats.org/officeDocument/2006/relationships/hyperlink" Target="https://doi.org/10.2174/1573409918666221010103652" TargetMode="External"/><Relationship Id="rId60" Type="http://schemas.openxmlformats.org/officeDocument/2006/relationships/oleObject" Target="embeddings/oleObject17.bin"/><Relationship Id="rId81" Type="http://schemas.openxmlformats.org/officeDocument/2006/relationships/image" Target="media/image40.emf"/><Relationship Id="rId135" Type="http://schemas.openxmlformats.org/officeDocument/2006/relationships/hyperlink" Target="https://doi.org/10.3390/molecules26113442" TargetMode="External"/><Relationship Id="rId156" Type="http://schemas.openxmlformats.org/officeDocument/2006/relationships/hyperlink" Target="https://doi.org/10.1038/npp.2014.197" TargetMode="External"/><Relationship Id="rId177" Type="http://schemas.openxmlformats.org/officeDocument/2006/relationships/hyperlink" Target="https://doi.org/10.1093/schbul/sby134" TargetMode="External"/><Relationship Id="rId198" Type="http://schemas.openxmlformats.org/officeDocument/2006/relationships/hyperlink" Target="https://doi.org/10.1016/j.jecp.2017.11.013" TargetMode="External"/><Relationship Id="rId321" Type="http://schemas.openxmlformats.org/officeDocument/2006/relationships/hyperlink" Target="https://doi.org/10.1101/2024.09.16.24313753" TargetMode="External"/><Relationship Id="rId342" Type="http://schemas.openxmlformats.org/officeDocument/2006/relationships/hyperlink" Target="https://www.who.int/news/item/14-10-2025-11-million-lives-lost-each-year-urgent-action-needed-on-neurological-care" TargetMode="External"/><Relationship Id="rId363" Type="http://schemas.openxmlformats.org/officeDocument/2006/relationships/theme" Target="theme/theme1.xml"/><Relationship Id="rId202" Type="http://schemas.openxmlformats.org/officeDocument/2006/relationships/hyperlink" Target="https://doi.org/10.3389/fneur.2022.929290" TargetMode="External"/><Relationship Id="rId223" Type="http://schemas.openxmlformats.org/officeDocument/2006/relationships/hyperlink" Target="https://doi.org/10.3389/fnins.2019.00472" TargetMode="External"/><Relationship Id="rId244" Type="http://schemas.openxmlformats.org/officeDocument/2006/relationships/hyperlink" Target="https://doi.org/10.1038/s41597-023-02106-1" TargetMode="External"/><Relationship Id="rId18" Type="http://schemas.openxmlformats.org/officeDocument/2006/relationships/image" Target="media/image4.png"/><Relationship Id="rId39" Type="http://schemas.openxmlformats.org/officeDocument/2006/relationships/image" Target="media/image19.emf"/><Relationship Id="rId265" Type="http://schemas.openxmlformats.org/officeDocument/2006/relationships/hyperlink" Target="https://doi.org/10.1093/cercor/bhae481" TargetMode="External"/><Relationship Id="rId286" Type="http://schemas.openxmlformats.org/officeDocument/2006/relationships/hyperlink" Target="https://doi.org/10.2174/1570159x19666210726150432" TargetMode="External"/><Relationship Id="rId50" Type="http://schemas.openxmlformats.org/officeDocument/2006/relationships/oleObject" Target="embeddings/oleObject12.bin"/><Relationship Id="rId104" Type="http://schemas.openxmlformats.org/officeDocument/2006/relationships/hyperlink" Target="https://doi.org/10.3390/ijms20092293" TargetMode="External"/><Relationship Id="rId125" Type="http://schemas.openxmlformats.org/officeDocument/2006/relationships/hyperlink" Target="https://doi.org/10.4088/JCP.21m14022" TargetMode="External"/><Relationship Id="rId146" Type="http://schemas.openxmlformats.org/officeDocument/2006/relationships/hyperlink" Target="https://doi.org/10.1371/journal.pone.0100817" TargetMode="External"/><Relationship Id="rId167" Type="http://schemas.openxmlformats.org/officeDocument/2006/relationships/hyperlink" Target="https://doi.org/10.3389/fnins.2018.00342" TargetMode="External"/><Relationship Id="rId188" Type="http://schemas.openxmlformats.org/officeDocument/2006/relationships/hyperlink" Target="https://doi.org/10.3389/fneur.2019.00858" TargetMode="External"/><Relationship Id="rId311" Type="http://schemas.openxmlformats.org/officeDocument/2006/relationships/hyperlink" Target="https://doi.org/10.1016/j.neuropsychologia.2016.05.021" TargetMode="External"/><Relationship Id="rId332" Type="http://schemas.openxmlformats.org/officeDocument/2006/relationships/hyperlink" Target="https://doi.org/10.1016/j.cub.2012.11.019" TargetMode="External"/><Relationship Id="rId353" Type="http://schemas.openxmlformats.org/officeDocument/2006/relationships/hyperlink" Target="https://doi.org/10.1038/npp.2009.62" TargetMode="External"/><Relationship Id="rId71" Type="http://schemas.openxmlformats.org/officeDocument/2006/relationships/image" Target="media/image35.emf"/><Relationship Id="rId92" Type="http://schemas.openxmlformats.org/officeDocument/2006/relationships/hyperlink" Target="https://doi.org/10.3390/brainsci15020215" TargetMode="External"/><Relationship Id="rId213" Type="http://schemas.openxmlformats.org/officeDocument/2006/relationships/hyperlink" Target="https://doi.org/10.1016/j.tins.2017.01.002" TargetMode="External"/><Relationship Id="rId234" Type="http://schemas.openxmlformats.org/officeDocument/2006/relationships/hyperlink" Target="https://doi.org/10.1177/0004867420979353" TargetMode="External"/><Relationship Id="rId2" Type="http://schemas.openxmlformats.org/officeDocument/2006/relationships/numbering" Target="numbering.xml"/><Relationship Id="rId29" Type="http://schemas.openxmlformats.org/officeDocument/2006/relationships/image" Target="media/image14.emf"/><Relationship Id="rId255" Type="http://schemas.openxmlformats.org/officeDocument/2006/relationships/hyperlink" Target="https://doi.org/10.1038/nn.3276" TargetMode="External"/><Relationship Id="rId276" Type="http://schemas.openxmlformats.org/officeDocument/2006/relationships/hyperlink" Target="https://doi.org/10.1177/1073858411409051" TargetMode="External"/><Relationship Id="rId297" Type="http://schemas.openxmlformats.org/officeDocument/2006/relationships/hyperlink" Target="https://doi.org/10.1186/s13041-020-00690-6" TargetMode="External"/><Relationship Id="rId40" Type="http://schemas.openxmlformats.org/officeDocument/2006/relationships/oleObject" Target="embeddings/oleObject7.bin"/><Relationship Id="rId115" Type="http://schemas.openxmlformats.org/officeDocument/2006/relationships/hyperlink" Target="https://doi.org/10.1101/lm.777308" TargetMode="External"/><Relationship Id="rId136" Type="http://schemas.openxmlformats.org/officeDocument/2006/relationships/hyperlink" Target="https://doi.org/10.1038/nn.4142" TargetMode="External"/><Relationship Id="rId157" Type="http://schemas.openxmlformats.org/officeDocument/2006/relationships/hyperlink" Target="https://www.mdpi.com/1422-0067/22/21/11550" TargetMode="External"/><Relationship Id="rId178" Type="http://schemas.openxmlformats.org/officeDocument/2006/relationships/hyperlink" Target="https://doi.org/10.1111/cns.12655" TargetMode="External"/><Relationship Id="rId301" Type="http://schemas.openxmlformats.org/officeDocument/2006/relationships/hyperlink" Target="https://doi.org/10.1590/0004-282x20160181" TargetMode="External"/><Relationship Id="rId322" Type="http://schemas.openxmlformats.org/officeDocument/2006/relationships/hyperlink" Target="https://doi.org/10.3390/biom11050624" TargetMode="External"/><Relationship Id="rId343" Type="http://schemas.openxmlformats.org/officeDocument/2006/relationships/hyperlink" Target="https://www.who.int/news-room/fact-sheets/detail/dementia" TargetMode="External"/><Relationship Id="rId61" Type="http://schemas.openxmlformats.org/officeDocument/2006/relationships/image" Target="media/image30.emf"/><Relationship Id="rId82" Type="http://schemas.openxmlformats.org/officeDocument/2006/relationships/oleObject" Target="embeddings/oleObject28.bin"/><Relationship Id="rId199" Type="http://schemas.openxmlformats.org/officeDocument/2006/relationships/hyperlink" Target="https://doi.org/https://doi.org/10.15252/emmm.202013659" TargetMode="External"/><Relationship Id="rId203" Type="http://schemas.openxmlformats.org/officeDocument/2006/relationships/hyperlink" Target="https://doi.org/10.1212/wnl.0b013e318289714a" TargetMode="External"/><Relationship Id="rId19" Type="http://schemas.openxmlformats.org/officeDocument/2006/relationships/image" Target="media/image5.png"/><Relationship Id="rId224" Type="http://schemas.openxmlformats.org/officeDocument/2006/relationships/hyperlink" Target="https://doi.org/10.1371/journal.pone.0085815" TargetMode="External"/><Relationship Id="rId245" Type="http://schemas.openxmlformats.org/officeDocument/2006/relationships/hyperlink" Target="https://doi.org/10.1186/s13063-019-3993-0" TargetMode="External"/><Relationship Id="rId266" Type="http://schemas.openxmlformats.org/officeDocument/2006/relationships/hyperlink" Target="https://doi.org/10.1155/2017/1753673" TargetMode="External"/><Relationship Id="rId287" Type="http://schemas.openxmlformats.org/officeDocument/2006/relationships/hyperlink" Target="https://doi.org/10.2147/clep.S163649" TargetMode="External"/><Relationship Id="rId30" Type="http://schemas.openxmlformats.org/officeDocument/2006/relationships/oleObject" Target="embeddings/oleObject2.bin"/><Relationship Id="rId105" Type="http://schemas.openxmlformats.org/officeDocument/2006/relationships/hyperlink" Target="https://doi.org/10.1101/2025.01.08.25320209" TargetMode="External"/><Relationship Id="rId126" Type="http://schemas.openxmlformats.org/officeDocument/2006/relationships/hyperlink" Target="https://doi.org/10.1017/s0033291720001142" TargetMode="External"/><Relationship Id="rId147" Type="http://schemas.openxmlformats.org/officeDocument/2006/relationships/hyperlink" Target="https://doi.org/10.1371/journal.pone.0100817" TargetMode="External"/><Relationship Id="rId168" Type="http://schemas.openxmlformats.org/officeDocument/2006/relationships/hyperlink" Target="https://doi.org/10.1002/hipo.23283" TargetMode="External"/><Relationship Id="rId312" Type="http://schemas.openxmlformats.org/officeDocument/2006/relationships/hyperlink" Target="https://doi.org/10.3390/biom6010006" TargetMode="External"/><Relationship Id="rId333" Type="http://schemas.openxmlformats.org/officeDocument/2006/relationships/hyperlink" Target="https://doi.org/10.3233/jad-231448" TargetMode="External"/><Relationship Id="rId354" Type="http://schemas.openxmlformats.org/officeDocument/2006/relationships/hyperlink" Target="https://doi.org/10.1038/nm.3913" TargetMode="External"/><Relationship Id="rId51" Type="http://schemas.openxmlformats.org/officeDocument/2006/relationships/image" Target="media/image25.emf"/><Relationship Id="rId72" Type="http://schemas.openxmlformats.org/officeDocument/2006/relationships/oleObject" Target="embeddings/oleObject23.bin"/><Relationship Id="rId93" Type="http://schemas.openxmlformats.org/officeDocument/2006/relationships/hyperlink" Target="https://doi.org/10.1177/1934578x251350761" TargetMode="External"/><Relationship Id="rId189" Type="http://schemas.openxmlformats.org/officeDocument/2006/relationships/hyperlink" Target="https://doi.org/10.3390/scipharm89020029" TargetMode="External"/><Relationship Id="rId3" Type="http://schemas.openxmlformats.org/officeDocument/2006/relationships/styles" Target="styles.xml"/><Relationship Id="rId214" Type="http://schemas.openxmlformats.org/officeDocument/2006/relationships/hyperlink" Target="https://doi.org/10.1093/hmg/ddx217" TargetMode="External"/><Relationship Id="rId235" Type="http://schemas.openxmlformats.org/officeDocument/2006/relationships/hyperlink" Target="https://doi.org/10.3390/nu14163367" TargetMode="External"/><Relationship Id="rId256" Type="http://schemas.openxmlformats.org/officeDocument/2006/relationships/hyperlink" Target="https://doi.org/10.1038/srep14613" TargetMode="External"/><Relationship Id="rId277" Type="http://schemas.openxmlformats.org/officeDocument/2006/relationships/hyperlink" Target="https://doi.org/10.3389/fnhum.2013.00254" TargetMode="External"/><Relationship Id="rId298" Type="http://schemas.openxmlformats.org/officeDocument/2006/relationships/hyperlink" Target="https://doi.org/10.1111/jnc.16117" TargetMode="External"/><Relationship Id="rId116" Type="http://schemas.openxmlformats.org/officeDocument/2006/relationships/hyperlink" Target="https://doi.org/10.3389/neuro.01.013.2010" TargetMode="External"/><Relationship Id="rId137" Type="http://schemas.openxmlformats.org/officeDocument/2006/relationships/hyperlink" Target="https://doi.org/10.1038/nrclinonc.2015.62" TargetMode="External"/><Relationship Id="rId158" Type="http://schemas.openxmlformats.org/officeDocument/2006/relationships/hyperlink" Target="https://doi.org/10.21010/ajtcam.v14i3.14" TargetMode="External"/><Relationship Id="rId302" Type="http://schemas.openxmlformats.org/officeDocument/2006/relationships/hyperlink" Target="https://doi.org/10.1111/ejn.12434" TargetMode="External"/><Relationship Id="rId323" Type="http://schemas.openxmlformats.org/officeDocument/2006/relationships/hyperlink" Target="https://doi.org/https://doi.org/10.1054/cupe.2001.0283" TargetMode="External"/><Relationship Id="rId344" Type="http://schemas.openxmlformats.org/officeDocument/2006/relationships/hyperlink" Target="https://doi.org/10.1101/796938" TargetMode="External"/><Relationship Id="rId20" Type="http://schemas.openxmlformats.org/officeDocument/2006/relationships/image" Target="media/image6.png"/><Relationship Id="rId41" Type="http://schemas.openxmlformats.org/officeDocument/2006/relationships/image" Target="media/image20.emf"/><Relationship Id="rId62" Type="http://schemas.openxmlformats.org/officeDocument/2006/relationships/oleObject" Target="embeddings/oleObject18.bin"/><Relationship Id="rId83" Type="http://schemas.openxmlformats.org/officeDocument/2006/relationships/image" Target="media/image41.emf"/><Relationship Id="rId179" Type="http://schemas.openxmlformats.org/officeDocument/2006/relationships/hyperlink" Target="https://doi.org/10.1016/j.jep.2016.01.013" TargetMode="External"/><Relationship Id="rId190" Type="http://schemas.openxmlformats.org/officeDocument/2006/relationships/hyperlink" Target="https://doi.org/10.1016/j.jad.2013.05.020" TargetMode="External"/><Relationship Id="rId204" Type="http://schemas.openxmlformats.org/officeDocument/2006/relationships/hyperlink" Target="https://www.mdpi.com/2073-4425/13/8/1320" TargetMode="External"/><Relationship Id="rId225" Type="http://schemas.openxmlformats.org/officeDocument/2006/relationships/hyperlink" Target="https://doi.org/https://doi.org/10.1016/j.bbr.2021.113569" TargetMode="External"/><Relationship Id="rId246" Type="http://schemas.openxmlformats.org/officeDocument/2006/relationships/hyperlink" Target="https://doi.org/10.1523/jneurosci.1883-23.2024" TargetMode="External"/><Relationship Id="rId267" Type="http://schemas.openxmlformats.org/officeDocument/2006/relationships/hyperlink" Target="https://doi.org/10.1038/s41380-019-0468-3" TargetMode="External"/><Relationship Id="rId288" Type="http://schemas.openxmlformats.org/officeDocument/2006/relationships/hyperlink" Target="https://doi.org/10.1093/acprof:oso/9780198524885.003.0004" TargetMode="External"/><Relationship Id="rId106" Type="http://schemas.openxmlformats.org/officeDocument/2006/relationships/hyperlink" Target="https://doi.org/10.1523/jneurosci.2101-22.2023" TargetMode="External"/><Relationship Id="rId127" Type="http://schemas.openxmlformats.org/officeDocument/2006/relationships/hyperlink" Target="https://doi.org/10.1097/pra.0000000000000627" TargetMode="External"/><Relationship Id="rId313" Type="http://schemas.openxmlformats.org/officeDocument/2006/relationships/hyperlink" Target="https://doi.org/10.1007/s00213-014-3654-7" TargetMode="External"/><Relationship Id="rId10" Type="http://schemas.openxmlformats.org/officeDocument/2006/relationships/hyperlink" Target="http://creativecommons.org/licenses/by-nc-nd/3.0/it/" TargetMode="External"/><Relationship Id="rId31" Type="http://schemas.openxmlformats.org/officeDocument/2006/relationships/image" Target="media/image15.emf"/><Relationship Id="rId52" Type="http://schemas.openxmlformats.org/officeDocument/2006/relationships/oleObject" Target="embeddings/oleObject13.bin"/><Relationship Id="rId73" Type="http://schemas.openxmlformats.org/officeDocument/2006/relationships/image" Target="media/image36.emf"/><Relationship Id="rId94" Type="http://schemas.openxmlformats.org/officeDocument/2006/relationships/hyperlink" Target="https://doi.org/10.3390/pharmaceutics15010212" TargetMode="External"/><Relationship Id="rId148" Type="http://schemas.openxmlformats.org/officeDocument/2006/relationships/hyperlink" Target="https://doi.org/https://doi.org/10.1016/j.biopsych.2017.11.019" TargetMode="External"/><Relationship Id="rId169" Type="http://schemas.openxmlformats.org/officeDocument/2006/relationships/hyperlink" Target="https://doi.org/10.1097/md.0000000000036217" TargetMode="External"/><Relationship Id="rId334" Type="http://schemas.openxmlformats.org/officeDocument/2006/relationships/hyperlink" Target="https://doi.org/10.1111/gbb.12710" TargetMode="External"/><Relationship Id="rId355" Type="http://schemas.openxmlformats.org/officeDocument/2006/relationships/hyperlink" Target="https://doi.org/10.1038/s41467-023-44295-8" TargetMode="External"/><Relationship Id="rId4" Type="http://schemas.openxmlformats.org/officeDocument/2006/relationships/settings" Target="settings.xml"/><Relationship Id="rId180" Type="http://schemas.openxmlformats.org/officeDocument/2006/relationships/hyperlink" Target="https://doi.org/10.1002/trc2.12497" TargetMode="External"/><Relationship Id="rId215" Type="http://schemas.openxmlformats.org/officeDocument/2006/relationships/hyperlink" Target="https://doi.org/10.1007/s00213-015-4081-0" TargetMode="External"/><Relationship Id="rId236" Type="http://schemas.openxmlformats.org/officeDocument/2006/relationships/hyperlink" Target="https://doi.org/10.2147/cia.S264688" TargetMode="External"/><Relationship Id="rId257" Type="http://schemas.openxmlformats.org/officeDocument/2006/relationships/hyperlink" Target="https://doi.org/https://doi.org/10.1016/j.schres.2015.01.017" TargetMode="External"/><Relationship Id="rId278" Type="http://schemas.openxmlformats.org/officeDocument/2006/relationships/hyperlink" Target="https://doi.org/10.1523/jneurosci.4562-11.2012" TargetMode="External"/><Relationship Id="rId303" Type="http://schemas.openxmlformats.org/officeDocument/2006/relationships/hyperlink" Target="https://doi.org/10.1101/lm.2302811" TargetMode="External"/><Relationship Id="rId42" Type="http://schemas.openxmlformats.org/officeDocument/2006/relationships/oleObject" Target="embeddings/oleObject8.bin"/><Relationship Id="rId84" Type="http://schemas.openxmlformats.org/officeDocument/2006/relationships/oleObject" Target="embeddings/oleObject29.bin"/><Relationship Id="rId138" Type="http://schemas.openxmlformats.org/officeDocument/2006/relationships/hyperlink" Target="https://doi.org/10.3390/pharmaceutics15082052" TargetMode="External"/><Relationship Id="rId345" Type="http://schemas.openxmlformats.org/officeDocument/2006/relationships/hyperlink" Target="https://doi.org/10.1016/j.cell.2022.12.032" TargetMode="External"/><Relationship Id="rId191" Type="http://schemas.openxmlformats.org/officeDocument/2006/relationships/hyperlink" Target="https://doi.org/https://doi.org/10.1111/neup.12298" TargetMode="External"/><Relationship Id="rId205" Type="http://schemas.openxmlformats.org/officeDocument/2006/relationships/hyperlink" Target="https://doi.org/10.1155/2021/6610864" TargetMode="External"/><Relationship Id="rId247" Type="http://schemas.openxmlformats.org/officeDocument/2006/relationships/hyperlink" Target="https://doi.org/10.3389/fneur.2013.00194" TargetMode="External"/><Relationship Id="rId107" Type="http://schemas.openxmlformats.org/officeDocument/2006/relationships/hyperlink" Target="https://doi.org/10.7554/elife.49630" TargetMode="External"/><Relationship Id="rId289" Type="http://schemas.openxmlformats.org/officeDocument/2006/relationships/hyperlink" Target="https://doi.org/10.1093/oso/9780198887911.003.0010" TargetMode="External"/><Relationship Id="rId11" Type="http://schemas.openxmlformats.org/officeDocument/2006/relationships/image" Target="media/image2.jpeg"/><Relationship Id="rId53" Type="http://schemas.openxmlformats.org/officeDocument/2006/relationships/image" Target="media/image26.emf"/><Relationship Id="rId149" Type="http://schemas.openxmlformats.org/officeDocument/2006/relationships/hyperlink" Target="https://doi.org/10.1093/aje/kws202" TargetMode="External"/><Relationship Id="rId314" Type="http://schemas.openxmlformats.org/officeDocument/2006/relationships/hyperlink" Target="https://doi.org/10.1002/hup.2520" TargetMode="External"/><Relationship Id="rId356" Type="http://schemas.openxmlformats.org/officeDocument/2006/relationships/hyperlink" Target="https://doi.org/10.3390/ph16020277" TargetMode="External"/><Relationship Id="rId95" Type="http://schemas.openxmlformats.org/officeDocument/2006/relationships/hyperlink" Target="https://doi.org/10.3389/fnagi.2020.00103" TargetMode="External"/><Relationship Id="rId160" Type="http://schemas.openxmlformats.org/officeDocument/2006/relationships/hyperlink" Target="https://doi.org/https://doi.org/10.1016/j.biopha.2003.11.004" TargetMode="External"/><Relationship Id="rId216" Type="http://schemas.openxmlformats.org/officeDocument/2006/relationships/hyperlink" Target="https://doi.org/10.1007/s00213-016-4400-0" TargetMode="External"/><Relationship Id="rId258" Type="http://schemas.openxmlformats.org/officeDocument/2006/relationships/hyperlink" Target="https://doi.org/10.1177/0301006615614440" TargetMode="External"/><Relationship Id="rId22" Type="http://schemas.openxmlformats.org/officeDocument/2006/relationships/image" Target="media/image8.png"/><Relationship Id="rId64" Type="http://schemas.openxmlformats.org/officeDocument/2006/relationships/oleObject" Target="embeddings/oleObject19.bin"/><Relationship Id="rId118" Type="http://schemas.openxmlformats.org/officeDocument/2006/relationships/hyperlink" Target="https://doi.org/10.1111/gbb.12695" TargetMode="External"/><Relationship Id="rId325" Type="http://schemas.openxmlformats.org/officeDocument/2006/relationships/hyperlink" Target="https://doi.org/https://doi.org/10.1016/j.nlm.2010.07.006" TargetMode="External"/><Relationship Id="rId171" Type="http://schemas.openxmlformats.org/officeDocument/2006/relationships/hyperlink" Target="https://doi.org/10.3390/molecules26020415" TargetMode="External"/><Relationship Id="rId227" Type="http://schemas.openxmlformats.org/officeDocument/2006/relationships/hyperlink" Target="https://doi.org/10.1002/adma.202307081" TargetMode="External"/><Relationship Id="rId269" Type="http://schemas.openxmlformats.org/officeDocument/2006/relationships/hyperlink" Target="https://www.mdpi.com/2072-6643/16/18/3156" TargetMode="External"/><Relationship Id="rId33" Type="http://schemas.openxmlformats.org/officeDocument/2006/relationships/image" Target="media/image16.emf"/><Relationship Id="rId129" Type="http://schemas.openxmlformats.org/officeDocument/2006/relationships/hyperlink" Target="https://doi.org/10.1038/nn1203" TargetMode="External"/><Relationship Id="rId280" Type="http://schemas.openxmlformats.org/officeDocument/2006/relationships/hyperlink" Target="https://doi.org/10.26452/ijrps.v11i4.3158" TargetMode="External"/><Relationship Id="rId336" Type="http://schemas.openxmlformats.org/officeDocument/2006/relationships/hyperlink" Target="https://doi.org/10.31234/osf.io/c8zq7" TargetMode="External"/><Relationship Id="rId75" Type="http://schemas.openxmlformats.org/officeDocument/2006/relationships/image" Target="media/image37.emf"/><Relationship Id="rId140" Type="http://schemas.openxmlformats.org/officeDocument/2006/relationships/hyperlink" Target="https://doi.org/10.1038/nrn755" TargetMode="External"/><Relationship Id="rId182" Type="http://schemas.openxmlformats.org/officeDocument/2006/relationships/hyperlink" Target="https://doi.org/https://doi.org/10.1016/j.neuropsychologia.2010.09.029" TargetMode="External"/><Relationship Id="rId6" Type="http://schemas.openxmlformats.org/officeDocument/2006/relationships/footnotes" Target="footnotes.xml"/><Relationship Id="rId238" Type="http://schemas.openxmlformats.org/officeDocument/2006/relationships/hyperlink" Target="https://doi.org/10.1186/s13024-015-0013-z" TargetMode="External"/><Relationship Id="rId291" Type="http://schemas.openxmlformats.org/officeDocument/2006/relationships/hyperlink" Target="https://doi.org/10.1523/jneurosci.5242-10.2011" TargetMode="External"/><Relationship Id="rId305" Type="http://schemas.openxmlformats.org/officeDocument/2006/relationships/hyperlink" Target="https://doi.org/10.1016/j.cortex.2011.08.003" TargetMode="External"/><Relationship Id="rId347" Type="http://schemas.openxmlformats.org/officeDocument/2006/relationships/hyperlink" Target="https://doi.org/10.1017/S1355617711000683" TargetMode="External"/><Relationship Id="rId44" Type="http://schemas.openxmlformats.org/officeDocument/2006/relationships/oleObject" Target="embeddings/oleObject9.bin"/><Relationship Id="rId86" Type="http://schemas.openxmlformats.org/officeDocument/2006/relationships/oleObject" Target="embeddings/oleObject30.bin"/><Relationship Id="rId151" Type="http://schemas.openxmlformats.org/officeDocument/2006/relationships/hyperlink" Target="https://doi.org/10.1101/2024.08.20.608757" TargetMode="External"/><Relationship Id="rId193" Type="http://schemas.openxmlformats.org/officeDocument/2006/relationships/hyperlink" Target="https://doi.org/10.1038/nprot.2013.122" TargetMode="External"/><Relationship Id="rId207" Type="http://schemas.openxmlformats.org/officeDocument/2006/relationships/hyperlink" Target="https://doi.org/10.1017/S1092852919001081" TargetMode="External"/><Relationship Id="rId249" Type="http://schemas.openxmlformats.org/officeDocument/2006/relationships/hyperlink" Target="https://doi.org/10.1155/2020/8819045" TargetMode="External"/><Relationship Id="rId13" Type="http://schemas.openxmlformats.org/officeDocument/2006/relationships/hyperlink" Target="http://creativecommons.org/licenses/by-nc-nd/3.0/it/" TargetMode="External"/><Relationship Id="rId109" Type="http://schemas.openxmlformats.org/officeDocument/2006/relationships/hyperlink" Target="https://doi.org/10.1111/j.1532-5415.2000.tb02603.x" TargetMode="External"/><Relationship Id="rId260" Type="http://schemas.openxmlformats.org/officeDocument/2006/relationships/hyperlink" Target="https://doi.org/10.5115/acb.2018.51.2.119" TargetMode="External"/><Relationship Id="rId316" Type="http://schemas.openxmlformats.org/officeDocument/2006/relationships/hyperlink" Target="https://doi.org/10.1016/j.expneurol.2014.07.003" TargetMode="External"/><Relationship Id="rId55" Type="http://schemas.openxmlformats.org/officeDocument/2006/relationships/image" Target="media/image27.emf"/><Relationship Id="rId97" Type="http://schemas.openxmlformats.org/officeDocument/2006/relationships/hyperlink" Target="https://doi.org/10.5114/fn.2020.96707" TargetMode="External"/><Relationship Id="rId120" Type="http://schemas.openxmlformats.org/officeDocument/2006/relationships/hyperlink" Target="https://doi.org/10.1111/gbb.12757" TargetMode="External"/><Relationship Id="rId358" Type="http://schemas.openxmlformats.org/officeDocument/2006/relationships/hyperlink" Target="https://doi.org/10.3389/fncel.2019.00130" TargetMode="External"/><Relationship Id="rId162" Type="http://schemas.openxmlformats.org/officeDocument/2006/relationships/hyperlink" Target="https://doi.org/10.1371/journal.pone.0159741" TargetMode="External"/><Relationship Id="rId218" Type="http://schemas.openxmlformats.org/officeDocument/2006/relationships/hyperlink" Target="https://doi.org/10.1093/schbul/sbj053" TargetMode="External"/><Relationship Id="rId271" Type="http://schemas.openxmlformats.org/officeDocument/2006/relationships/hyperlink" Target="https://doi.org/10.1186/s12967-018-1678-1" TargetMode="External"/><Relationship Id="rId24" Type="http://schemas.openxmlformats.org/officeDocument/2006/relationships/image" Target="media/image10.png"/><Relationship Id="rId66" Type="http://schemas.openxmlformats.org/officeDocument/2006/relationships/oleObject" Target="embeddings/oleObject20.bin"/><Relationship Id="rId131" Type="http://schemas.openxmlformats.org/officeDocument/2006/relationships/hyperlink" Target="https://doi.org/https://doi.org/10.1111/bcp.14922" TargetMode="External"/><Relationship Id="rId327" Type="http://schemas.openxmlformats.org/officeDocument/2006/relationships/hyperlink" Target="https://doi.org/10.1016/j.neures.2009.09.1399" TargetMode="External"/><Relationship Id="rId173" Type="http://schemas.openxmlformats.org/officeDocument/2006/relationships/hyperlink" Target="https://doi.org/10.1007/s11065-020-09434-8" TargetMode="External"/><Relationship Id="rId229" Type="http://schemas.openxmlformats.org/officeDocument/2006/relationships/hyperlink" Target="https://doi.org/10.1016/j.biopsych.2018.01.019" TargetMode="External"/><Relationship Id="rId240" Type="http://schemas.openxmlformats.org/officeDocument/2006/relationships/hyperlink" Target="https://doi.org/10.3389/fnmol.2017.00089" TargetMode="External"/><Relationship Id="rId35" Type="http://schemas.openxmlformats.org/officeDocument/2006/relationships/image" Target="media/image17.emf"/><Relationship Id="rId77" Type="http://schemas.openxmlformats.org/officeDocument/2006/relationships/image" Target="media/image38.emf"/><Relationship Id="rId100" Type="http://schemas.openxmlformats.org/officeDocument/2006/relationships/hyperlink" Target="https://doi.org/10.1186/s13024-022-00522-2" TargetMode="External"/><Relationship Id="rId282" Type="http://schemas.openxmlformats.org/officeDocument/2006/relationships/hyperlink" Target="https://doi.org/10.3390/cells8050488" TargetMode="External"/><Relationship Id="rId338" Type="http://schemas.openxmlformats.org/officeDocument/2006/relationships/hyperlink" Target="https://doi.org/10.1136/jnnp.2006.112367" TargetMode="External"/><Relationship Id="rId8" Type="http://schemas.openxmlformats.org/officeDocument/2006/relationships/image" Target="media/image1.png"/><Relationship Id="rId142" Type="http://schemas.openxmlformats.org/officeDocument/2006/relationships/hyperlink" Target="https://doi.org/10.1007/s10648-013-9246-y" TargetMode="External"/><Relationship Id="rId184" Type="http://schemas.openxmlformats.org/officeDocument/2006/relationships/hyperlink" Target="https://doi.org/10.15412/j.bcn.03070203" TargetMode="External"/><Relationship Id="rId251" Type="http://schemas.openxmlformats.org/officeDocument/2006/relationships/hyperlink" Target="https://doi.org/10.3791/60548" TargetMode="External"/><Relationship Id="rId46" Type="http://schemas.openxmlformats.org/officeDocument/2006/relationships/oleObject" Target="embeddings/oleObject10.bin"/><Relationship Id="rId293" Type="http://schemas.openxmlformats.org/officeDocument/2006/relationships/hyperlink" Target="https://doi.org/10.1523/jneurosci.1055-15.2015" TargetMode="External"/><Relationship Id="rId307" Type="http://schemas.openxmlformats.org/officeDocument/2006/relationships/hyperlink" Target="https://doi.org/10.1111/j.1471-4159.2011.07581.x" TargetMode="External"/><Relationship Id="rId349" Type="http://schemas.openxmlformats.org/officeDocument/2006/relationships/hyperlink" Target="https://doi.org/10.1038/npp.2013.35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B0506E03-4791-4ADF-BAFA-2F79286209CC}">
  <we:reference id="74296acf-ff86-450c-9340-d30ee71775ae" version="1.0.5.0" store="EXCatalog" storeType="EXCatalog"/>
  <we:alternateReferences>
    <we:reference id="WA200001482" version="1.0.5.0" store="it-IT"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088D9341-51E3-3640-83A5-EFFFFB5C9F27}">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16B752-9E63-48D6-B68D-43854F517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10947</TotalTime>
  <Pages>129</Pages>
  <Words>83938</Words>
  <Characters>478450</Characters>
  <Application>Microsoft Office Word</Application>
  <DocSecurity>0</DocSecurity>
  <Lines>3987</Lines>
  <Paragraphs>1122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Universita' degli Studi di Verona</Company>
  <LinksUpToDate>false</LinksUpToDate>
  <CharactersWithSpaces>561266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Ehsan Fesahat</dc:creator>
  <cp:keywords/>
  <dc:description/>
  <cp:lastModifiedBy>Ehsan Fesahat</cp:lastModifiedBy>
  <cp:revision>845</cp:revision>
  <cp:lastPrinted>2025-08-28T11:20:00Z</cp:lastPrinted>
  <dcterms:created xsi:type="dcterms:W3CDTF">2025-02-13T10:10:00Z</dcterms:created>
  <dcterms:modified xsi:type="dcterms:W3CDTF">2026-04-29T14:59:00Z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19ea80ea641b5581a4a590a390a3f090ffff8be7d83ffc30ab71fa3d92dd3ff3</vt:lpwstr>
  </property>
  <property fmtid="{D5CDD505-2E9C-101B-9397-08002B2CF9AE}" pid="3" name="ZOTERO_PREF_1">
    <vt:lpwstr>&lt;data data-version="3" zotero-version="7.0.22"&gt;&lt;session id="SXXWlFNW"/&gt;&lt;style id="http://www.zotero.org/styles/apa" locale="en-US" hasBibliography="1" bibliographyStyleHasBeenSet="1"/&gt;&lt;prefs&gt;&lt;pref name="fieldType" value="Bookmark"/&gt;&lt;pref name="automaticJo</vt:lpwstr>
  </property>
  <property fmtid="{D5CDD505-2E9C-101B-9397-08002B2CF9AE}" pid="4" name="ZOTERO_PREF_2">
    <vt:lpwstr>urnalAbbreviations" value="true"/&gt;&lt;/prefs&gt;&lt;/data&gt;</vt:lpwstr>
  </property>
  <property fmtid="{D5CDD505-2E9C-101B-9397-08002B2CF9AE}" pid="5" name="ZOTERO_BREF_I1LNHp2XCqqn_1">
    <vt:lpwstr>ZOTERO_ITEM CSL_CITATION {"citationID":"cVytMuwD","properties":{"formattedCitation":"(Wilson et al., 2023)","plainCitation":"(Wilson et al., 2023)","noteIndex":0},"citationItems":[{"id":78,"uris":["http://zotero.org/users/14163823/items/D6Q2RIAQ"],"itemDa</vt:lpwstr>
  </property>
  <property fmtid="{D5CDD505-2E9C-101B-9397-08002B2CF9AE}" pid="6" name="ZOTERO_BREF_I1LNHp2XCqqn_2">
    <vt:lpwstr>ta":{"id":78,"type":"article-journal","abstract":"Decades of research have identified genetic factors and biochemical pathways involved in neurodegenerative diseases (NDDs). We present evidence for the following eight hallmarks of NDD: pathological protei</vt:lpwstr>
  </property>
  <property fmtid="{D5CDD505-2E9C-101B-9397-08002B2CF9AE}" pid="7" name="ZOTERO_BREF_I1LNHp2XCqqn_3">
    <vt:lpwstr>n aggregation, synaptic and neuronal network dysfunction, aberrant proteostasis, cytoskeletal abnormalities, altered energy homeostasis, DNA and RNA defects, inflammation, and neuronal cell death. We describe the hallmarks, their biomarkers, and their int</vt:lpwstr>
  </property>
  <property fmtid="{D5CDD505-2E9C-101B-9397-08002B2CF9AE}" pid="8" name="ZOTERO_BREF_I1LNHp2XCqqn_4">
    <vt:lpwstr>eractions as a framework to study NDDs using a holistic approach. The framework can serve as a basis for defining pathogenic mechanisms, categorizing different NDDs based on their primary hallmarks, stratifying patients within a specific NDD, and designin</vt:lpwstr>
  </property>
  <property fmtid="{D5CDD505-2E9C-101B-9397-08002B2CF9AE}" pid="9" name="ZOTERO_BREF_I1LNHp2XCqqn_5">
    <vt:lpwstr>g multi-targeted, personalized therapies to effectively halt NDDs.","container-title":"Cell","DOI":"10.1016/j.cell.2022.12.032","ISSN":"0092-8674","issue":"4","journalAbbreviation":"Cell","page":"693-714","source":"ScienceDirect","title":"Hallmarks of neu</vt:lpwstr>
  </property>
  <property fmtid="{D5CDD505-2E9C-101B-9397-08002B2CF9AE}" pid="10" name="ZOTERO_BREF_I1LNHp2XCqqn_6">
    <vt:lpwstr>rodegenerative diseases","volume":"186","author":[{"family":"Wilson","given":"David M."},{"family":"Cookson","given":"Mark R."},{"family":"Van Den Bosch","given":"Ludo"},{"family":"Zetterberg","given":"Henrik"},{"family":"Holtzman","given":"David M."},{"f</vt:lpwstr>
  </property>
  <property fmtid="{D5CDD505-2E9C-101B-9397-08002B2CF9AE}" pid="11" name="ZOTERO_BREF_I1LNHp2XCqqn_7">
    <vt:lpwstr>amily":"Dewachter","given":"Ilse"}],"issued":{"date-parts":[["2023",2,16]]}}}],"schema":"https://github.com/citation-style-language/schema/raw/master/csl-citation.json"}</vt:lpwstr>
  </property>
  <property fmtid="{D5CDD505-2E9C-101B-9397-08002B2CF9AE}" pid="12" name="ZOTERO_BREF_L4mH6MqOobKB_1">
    <vt:lpwstr>ZOTERO_ITEM CSL_CITATION {"citationID":"RMhCGfEf","properties":{"formattedCitation":"(Montie &amp; Durcan, 2013)","plainCitation":"(Montie &amp; Durcan, 2013)","noteIndex":0},"citationItems":[{"id":76,"uris":["http://zotero.org/users/14163823/items/WYETGS83"],"it</vt:lpwstr>
  </property>
  <property fmtid="{D5CDD505-2E9C-101B-9397-08002B2CF9AE}" pid="13" name="ZOTERO_BREF_L4mH6MqOobKB_2">
    <vt:lpwstr>emData":{"id":76,"type":"article-journal","container-title":"Frontiers in Neurology","DOI":"10.3389/fneur.2013.00194","ISSN":"1664-2295","title":"The Cell and Molecular Biology of Neurodegenerative Diseases: An Overview","URL":"https://www.frontiersin.org</vt:lpwstr>
  </property>
  <property fmtid="{D5CDD505-2E9C-101B-9397-08002B2CF9AE}" pid="14" name="ZOTERO_BREF_L4mH6MqOobKB_3">
    <vt:lpwstr>/journals/neurology/articles/10.3389/fneur.2013.00194","volume":"Volume 4 - 2013","author":[{"family":"Montie","given":"Heather L."},{"family":"Durcan","given":"Thomas M."}],"issued":{"date-parts":[["2013"]]}}}],"schema":"https://github.com/citation-style</vt:lpwstr>
  </property>
  <property fmtid="{D5CDD505-2E9C-101B-9397-08002B2CF9AE}" pid="15" name="ZOTERO_BREF_L4mH6MqOobKB_4">
    <vt:lpwstr>-language/schema/raw/master/csl-citation.json"}</vt:lpwstr>
  </property>
</Properties>
</file>