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B1F2EA" w14:textId="77777777" w:rsidR="00357E8C" w:rsidRPr="00DC4817" w:rsidRDefault="000C405B" w:rsidP="000C405B">
      <w:pPr>
        <w:jc w:val="center"/>
        <w:rPr>
          <w:rFonts w:ascii="Garamond" w:hAnsi="Garamond"/>
        </w:rPr>
      </w:pPr>
      <w:r w:rsidRPr="00DC4817">
        <w:rPr>
          <w:rFonts w:ascii="Garamond" w:hAnsi="Garamond"/>
        </w:rPr>
        <w:t>Contributo DSU-CNR</w:t>
      </w:r>
    </w:p>
    <w:p w14:paraId="034607FF" w14:textId="73D7C4C8" w:rsidR="00D67105" w:rsidRDefault="00D67105" w:rsidP="00D67105">
      <w:pPr>
        <w:pStyle w:val="Titolofrontespizio"/>
        <w:spacing w:line="240" w:lineRule="auto"/>
        <w:rPr>
          <w:b/>
          <w:i/>
          <w:caps w:val="0"/>
          <w:color w:val="0F243E" w:themeColor="text2" w:themeShade="80"/>
          <w:sz w:val="20"/>
          <w:szCs w:val="20"/>
        </w:rPr>
      </w:pPr>
      <w:r>
        <w:rPr>
          <w:b/>
          <w:i/>
          <w:caps w:val="0"/>
          <w:color w:val="0F243E" w:themeColor="text2" w:themeShade="80"/>
          <w:sz w:val="20"/>
          <w:szCs w:val="20"/>
        </w:rPr>
        <w:t>C</w:t>
      </w:r>
      <w:r w:rsidR="000C405B" w:rsidRPr="00D67105">
        <w:rPr>
          <w:b/>
          <w:i/>
          <w:caps w:val="0"/>
          <w:color w:val="0F243E" w:themeColor="text2" w:themeShade="80"/>
          <w:sz w:val="20"/>
          <w:szCs w:val="20"/>
        </w:rPr>
        <w:t>onoscere e affront</w:t>
      </w:r>
      <w:r>
        <w:rPr>
          <w:b/>
          <w:i/>
          <w:caps w:val="0"/>
          <w:color w:val="0F243E" w:themeColor="text2" w:themeShade="80"/>
          <w:sz w:val="20"/>
          <w:szCs w:val="20"/>
        </w:rPr>
        <w:t>are la sfida delle migrazioni.</w:t>
      </w:r>
    </w:p>
    <w:p w14:paraId="48C0E1BC" w14:textId="5FA7BB24" w:rsidR="000C405B" w:rsidRPr="00D67105" w:rsidRDefault="00D67105" w:rsidP="00D67105">
      <w:pPr>
        <w:pStyle w:val="Titolofrontespizio"/>
        <w:spacing w:line="240" w:lineRule="auto"/>
        <w:rPr>
          <w:b/>
          <w:i/>
          <w:caps w:val="0"/>
          <w:color w:val="0F243E" w:themeColor="text2" w:themeShade="80"/>
          <w:sz w:val="20"/>
          <w:szCs w:val="20"/>
        </w:rPr>
      </w:pPr>
      <w:r>
        <w:rPr>
          <w:b/>
          <w:i/>
          <w:caps w:val="0"/>
          <w:color w:val="0F243E" w:themeColor="text2" w:themeShade="80"/>
          <w:sz w:val="20"/>
          <w:szCs w:val="20"/>
        </w:rPr>
        <w:t>I</w:t>
      </w:r>
      <w:r w:rsidR="00AB1412">
        <w:rPr>
          <w:b/>
          <w:i/>
          <w:caps w:val="0"/>
          <w:color w:val="0F243E" w:themeColor="text2" w:themeShade="80"/>
          <w:sz w:val="20"/>
          <w:szCs w:val="20"/>
        </w:rPr>
        <w:t>l ruolo del Consiglio Nazionale delle Ricerche</w:t>
      </w:r>
    </w:p>
    <w:p w14:paraId="2AA0C443" w14:textId="77777777" w:rsidR="007F0D35" w:rsidRDefault="007F0D35" w:rsidP="007F0D35">
      <w:pPr>
        <w:spacing w:before="120"/>
        <w:ind w:right="284"/>
        <w:jc w:val="center"/>
        <w:rPr>
          <w:rFonts w:ascii="Garamond" w:hAnsi="Garamond"/>
          <w:sz w:val="21"/>
          <w:szCs w:val="21"/>
        </w:rPr>
      </w:pPr>
    </w:p>
    <w:p w14:paraId="3A5BCEB7" w14:textId="77777777" w:rsidR="00DC4817" w:rsidRDefault="00DC4817" w:rsidP="00DC4817">
      <w:pPr>
        <w:spacing w:before="120"/>
        <w:ind w:right="284"/>
        <w:jc w:val="both"/>
        <w:rPr>
          <w:rFonts w:ascii="Garamond" w:hAnsi="Garamond"/>
          <w:sz w:val="21"/>
          <w:szCs w:val="21"/>
        </w:rPr>
      </w:pPr>
      <w:r w:rsidRPr="00DC4817">
        <w:rPr>
          <w:rFonts w:ascii="Garamond" w:hAnsi="Garamond"/>
          <w:sz w:val="21"/>
          <w:szCs w:val="21"/>
        </w:rPr>
        <w:t xml:space="preserve">In questo inizio di secolo le migrazioni attraverso e attorno al Mediterraneo sono divenute un’emergenza umanitaria per Spagna, Italia, Malta, Grecia e Cipro e per l’Europa come intero. Ci si occupa della crisi dei migranti a tutti i livelli: diversità culturale, sistema dell’accoglienza, pluralismo religioso, integrazione, assistenza sanitaria, assistenza sociale, scolarizzazione, sistema </w:t>
      </w:r>
      <w:proofErr w:type="gramStart"/>
      <w:r w:rsidRPr="00DC4817">
        <w:rPr>
          <w:rFonts w:ascii="Garamond" w:hAnsi="Garamond"/>
          <w:sz w:val="21"/>
          <w:szCs w:val="21"/>
        </w:rPr>
        <w:t>pensionistico</w:t>
      </w:r>
      <w:proofErr w:type="gramEnd"/>
      <w:r w:rsidRPr="00DC4817">
        <w:rPr>
          <w:rFonts w:ascii="Garamond" w:hAnsi="Garamond"/>
          <w:sz w:val="21"/>
          <w:szCs w:val="21"/>
        </w:rPr>
        <w:t xml:space="preserve">. Sono tutte sfide che la nostra società deve affrontare con grande urgenza per governare una crescita sostenibile. </w:t>
      </w:r>
    </w:p>
    <w:p w14:paraId="6FC6E953" w14:textId="2ED68E0C" w:rsidR="00AB1412" w:rsidRPr="00DC4817" w:rsidRDefault="00AB1412" w:rsidP="00DC4817">
      <w:pPr>
        <w:spacing w:before="120"/>
        <w:ind w:right="284"/>
        <w:jc w:val="both"/>
        <w:rPr>
          <w:rFonts w:ascii="Garamond" w:hAnsi="Garamond"/>
          <w:sz w:val="21"/>
          <w:szCs w:val="21"/>
        </w:rPr>
      </w:pPr>
      <w:r w:rsidRPr="000C405B">
        <w:rPr>
          <w:rFonts w:ascii="Garamond" w:hAnsi="Garamond"/>
          <w:sz w:val="21"/>
          <w:szCs w:val="21"/>
        </w:rPr>
        <w:t xml:space="preserve">L’emergenza umanitaria dei migranti dell’estate 2015 ha chiarito con terribile efficacia che l’obiettivo più urgente </w:t>
      </w:r>
      <w:proofErr w:type="gramStart"/>
      <w:r w:rsidRPr="000C405B">
        <w:rPr>
          <w:rFonts w:ascii="Garamond" w:hAnsi="Garamond"/>
          <w:sz w:val="21"/>
          <w:szCs w:val="21"/>
        </w:rPr>
        <w:t>al quale</w:t>
      </w:r>
      <w:proofErr w:type="gramEnd"/>
      <w:r w:rsidRPr="000C405B">
        <w:rPr>
          <w:rFonts w:ascii="Garamond" w:hAnsi="Garamond"/>
          <w:sz w:val="21"/>
          <w:szCs w:val="21"/>
        </w:rPr>
        <w:t xml:space="preserve"> puntare è la costituzione di società euro-mediterranee che siano inclusive, riflessive e attente alle ripercussioni del fenomeno migrazioni su innovazione sociale e culturale, sicurezza e salute, ambiente e biodiversità.</w:t>
      </w:r>
    </w:p>
    <w:p w14:paraId="6F161653" w14:textId="77777777" w:rsidR="00DC4817" w:rsidRPr="000C405B" w:rsidRDefault="00DC4817" w:rsidP="00DC4817">
      <w:pPr>
        <w:spacing w:before="120"/>
        <w:ind w:right="284"/>
        <w:jc w:val="both"/>
        <w:rPr>
          <w:rFonts w:ascii="Garamond" w:hAnsi="Garamond"/>
          <w:sz w:val="21"/>
          <w:szCs w:val="21"/>
        </w:rPr>
      </w:pPr>
      <w:r w:rsidRPr="000C405B">
        <w:rPr>
          <w:rFonts w:ascii="Garamond" w:hAnsi="Garamond"/>
          <w:sz w:val="21"/>
          <w:szCs w:val="21"/>
        </w:rPr>
        <w:t xml:space="preserve">Un’attenzione del governo italiano sulle migrazioni nel Mediterraneo è quanto mai urgente in questo momento. La crisi dei migranti pone l’Italia e l’Europa davanti a una sfida le cui dimensioni sono comparabili alla sfida posta dalla crisi ecologica dell’ultimo quarto del secolo scorso, crisi che fu superata grazie a un enorme sforzo di ricerca, che portò a una riconversione industriale e un cambiamento nella mentalità dei cittadini. </w:t>
      </w:r>
    </w:p>
    <w:p w14:paraId="3D6351CF" w14:textId="77777777" w:rsidR="000C405B" w:rsidRPr="000C405B" w:rsidRDefault="00DC4817" w:rsidP="00DC4817">
      <w:pPr>
        <w:spacing w:before="120"/>
        <w:ind w:right="284"/>
        <w:jc w:val="both"/>
        <w:rPr>
          <w:rFonts w:ascii="Garamond" w:hAnsi="Garamond"/>
          <w:sz w:val="21"/>
          <w:szCs w:val="21"/>
        </w:rPr>
      </w:pPr>
      <w:r w:rsidRPr="00DC4817">
        <w:rPr>
          <w:rFonts w:ascii="Garamond" w:hAnsi="Garamond"/>
          <w:sz w:val="21"/>
          <w:szCs w:val="21"/>
        </w:rPr>
        <w:t xml:space="preserve">Dal punto di vista del sistema della ricerca, le migrazioni sono un ambito </w:t>
      </w:r>
      <w:proofErr w:type="gramStart"/>
      <w:r w:rsidRPr="00DC4817">
        <w:rPr>
          <w:rFonts w:ascii="Garamond" w:hAnsi="Garamond"/>
          <w:sz w:val="21"/>
          <w:szCs w:val="21"/>
        </w:rPr>
        <w:t>altamente</w:t>
      </w:r>
      <w:proofErr w:type="gramEnd"/>
      <w:r w:rsidRPr="00DC4817">
        <w:rPr>
          <w:rFonts w:ascii="Garamond" w:hAnsi="Garamond"/>
          <w:sz w:val="21"/>
          <w:szCs w:val="21"/>
        </w:rPr>
        <w:t xml:space="preserve"> diversificato aperto al contributo di un grande numero di discipline.</w:t>
      </w:r>
      <w:r>
        <w:rPr>
          <w:rFonts w:ascii="Garamond" w:hAnsi="Garamond"/>
          <w:sz w:val="21"/>
          <w:szCs w:val="21"/>
        </w:rPr>
        <w:t xml:space="preserve"> </w:t>
      </w:r>
      <w:r w:rsidR="000C405B" w:rsidRPr="000C405B">
        <w:rPr>
          <w:rFonts w:ascii="Garamond" w:hAnsi="Garamond"/>
          <w:sz w:val="21"/>
          <w:szCs w:val="21"/>
        </w:rPr>
        <w:t xml:space="preserve">Oggi, la crisi dei migranti richiede lo stesso approccio, </w:t>
      </w:r>
      <w:proofErr w:type="gramStart"/>
      <w:r w:rsidR="000C405B" w:rsidRPr="000C405B">
        <w:rPr>
          <w:rFonts w:ascii="Garamond" w:hAnsi="Garamond"/>
          <w:sz w:val="21"/>
          <w:szCs w:val="21"/>
        </w:rPr>
        <w:t>estremamente</w:t>
      </w:r>
      <w:proofErr w:type="gramEnd"/>
      <w:r w:rsidR="000C405B" w:rsidRPr="000C405B">
        <w:rPr>
          <w:rFonts w:ascii="Garamond" w:hAnsi="Garamond"/>
          <w:sz w:val="21"/>
          <w:szCs w:val="21"/>
        </w:rPr>
        <w:t xml:space="preserve"> </w:t>
      </w:r>
      <w:r>
        <w:rPr>
          <w:rFonts w:ascii="Garamond" w:hAnsi="Garamond"/>
          <w:sz w:val="21"/>
          <w:szCs w:val="21"/>
        </w:rPr>
        <w:t>multidisciplinare, che coinvolge</w:t>
      </w:r>
      <w:r w:rsidR="000C405B" w:rsidRPr="000C405B">
        <w:rPr>
          <w:rFonts w:ascii="Garamond" w:hAnsi="Garamond"/>
          <w:sz w:val="21"/>
          <w:szCs w:val="21"/>
        </w:rPr>
        <w:t xml:space="preserve"> l’intero settore scienze umane, scienze sociali, scienze religiose e patrimonio culturale con medicina, matematica, fisica, chimica, scienze della vita, scienze dell’ambiente, trasporti, agroalimentare e ICT.</w:t>
      </w:r>
    </w:p>
    <w:p w14:paraId="7CA1C432" w14:textId="77777777" w:rsidR="00AB1412" w:rsidRPr="000C405B" w:rsidRDefault="00AB1412" w:rsidP="00AB1412">
      <w:pPr>
        <w:spacing w:before="120"/>
        <w:ind w:right="284"/>
        <w:jc w:val="both"/>
        <w:rPr>
          <w:rFonts w:ascii="Garamond" w:hAnsi="Garamond"/>
          <w:sz w:val="21"/>
          <w:szCs w:val="21"/>
        </w:rPr>
      </w:pPr>
      <w:proofErr w:type="gramStart"/>
      <w:r w:rsidRPr="000C405B">
        <w:rPr>
          <w:rFonts w:ascii="Garamond" w:hAnsi="Garamond"/>
          <w:sz w:val="21"/>
          <w:szCs w:val="21"/>
        </w:rPr>
        <w:t>Cosa è</w:t>
      </w:r>
      <w:proofErr w:type="gramEnd"/>
      <w:r w:rsidRPr="000C405B">
        <w:rPr>
          <w:rFonts w:ascii="Garamond" w:hAnsi="Garamond"/>
          <w:sz w:val="21"/>
          <w:szCs w:val="21"/>
        </w:rPr>
        <w:t xml:space="preserve"> necessario fare? </w:t>
      </w:r>
      <w:proofErr w:type="gramStart"/>
      <w:r w:rsidRPr="000C405B">
        <w:rPr>
          <w:rFonts w:ascii="Garamond" w:hAnsi="Garamond"/>
          <w:sz w:val="21"/>
          <w:szCs w:val="21"/>
        </w:rPr>
        <w:t>Investire in Italia per essere competitivi a livello europeo e guidare il processo di ricerca e innovazio</w:t>
      </w:r>
      <w:r>
        <w:rPr>
          <w:rFonts w:ascii="Garamond" w:hAnsi="Garamond"/>
          <w:sz w:val="21"/>
          <w:szCs w:val="21"/>
        </w:rPr>
        <w:t>ne nel settore delle migrazioni.</w:t>
      </w:r>
      <w:proofErr w:type="gramEnd"/>
    </w:p>
    <w:p w14:paraId="2160EE82" w14:textId="71610FDD" w:rsidR="000C405B" w:rsidRPr="000C405B" w:rsidRDefault="00DC4817" w:rsidP="00DC4817">
      <w:pPr>
        <w:spacing w:before="120"/>
        <w:ind w:right="284"/>
        <w:jc w:val="both"/>
        <w:rPr>
          <w:rFonts w:ascii="Garamond" w:hAnsi="Garamond"/>
          <w:sz w:val="21"/>
          <w:szCs w:val="21"/>
        </w:rPr>
      </w:pPr>
      <w:r>
        <w:rPr>
          <w:rFonts w:ascii="Garamond" w:hAnsi="Garamond"/>
          <w:sz w:val="21"/>
          <w:szCs w:val="21"/>
        </w:rPr>
        <w:t>S</w:t>
      </w:r>
      <w:r w:rsidR="000C405B" w:rsidRPr="000C405B">
        <w:rPr>
          <w:rFonts w:ascii="Garamond" w:hAnsi="Garamond"/>
          <w:sz w:val="21"/>
          <w:szCs w:val="21"/>
        </w:rPr>
        <w:t xml:space="preserve">ono </w:t>
      </w:r>
      <w:r>
        <w:rPr>
          <w:rFonts w:ascii="Garamond" w:hAnsi="Garamond"/>
          <w:sz w:val="21"/>
          <w:szCs w:val="21"/>
        </w:rPr>
        <w:t xml:space="preserve">diverse </w:t>
      </w:r>
      <w:r w:rsidR="000C405B" w:rsidRPr="000C405B">
        <w:rPr>
          <w:rFonts w:ascii="Garamond" w:hAnsi="Garamond"/>
          <w:sz w:val="21"/>
          <w:szCs w:val="21"/>
        </w:rPr>
        <w:t xml:space="preserve">le azioni di sistema che il CNR sta promuovendo e rispetto alle quali chiede un intervento della Presidenza del Consiglio con i Ministeri direttamente interessati (Ministero Istruzione Università Ricerca, Ministero dell’Interno, Ministero del Lavoro e delle Politiche Sociali, Ministero della Giustizia, Ministero degli Affari Esteri e della Cooperazione Internazionale, Ministero della Salute, Ministero dello Sviluppo Economico, Ministero dei Beni e Attività Culturali e del Turismo, Ministero delle Politiche Agricole </w:t>
      </w:r>
      <w:proofErr w:type="gramStart"/>
      <w:r w:rsidR="000C405B" w:rsidRPr="000C405B">
        <w:rPr>
          <w:rFonts w:ascii="Garamond" w:hAnsi="Garamond"/>
          <w:sz w:val="21"/>
          <w:szCs w:val="21"/>
        </w:rPr>
        <w:t>Alimentari</w:t>
      </w:r>
      <w:proofErr w:type="gramEnd"/>
      <w:r w:rsidR="000C405B" w:rsidRPr="000C405B">
        <w:rPr>
          <w:rFonts w:ascii="Garamond" w:hAnsi="Garamond"/>
          <w:sz w:val="21"/>
          <w:szCs w:val="21"/>
        </w:rPr>
        <w:t xml:space="preserve"> e Forestali, Ministero dell’Ambiente e della Tutela del Territorio e del Mare). I</w:t>
      </w:r>
      <w:r w:rsidR="00AB1412">
        <w:rPr>
          <w:rFonts w:ascii="Garamond" w:hAnsi="Garamond"/>
          <w:sz w:val="21"/>
          <w:szCs w:val="21"/>
        </w:rPr>
        <w:t>n Europa, i</w:t>
      </w:r>
      <w:r w:rsidR="000C405B" w:rsidRPr="000C405B">
        <w:rPr>
          <w:rFonts w:ascii="Garamond" w:hAnsi="Garamond"/>
          <w:sz w:val="21"/>
          <w:szCs w:val="21"/>
        </w:rPr>
        <w:t xml:space="preserve"> </w:t>
      </w:r>
      <w:proofErr w:type="spellStart"/>
      <w:r w:rsidR="000C405B" w:rsidRPr="000C405B">
        <w:rPr>
          <w:rFonts w:ascii="Garamond" w:hAnsi="Garamond"/>
          <w:sz w:val="21"/>
          <w:szCs w:val="21"/>
        </w:rPr>
        <w:t>Direttorati</w:t>
      </w:r>
      <w:proofErr w:type="spellEnd"/>
      <w:r w:rsidR="000C405B" w:rsidRPr="000C405B">
        <w:rPr>
          <w:rFonts w:ascii="Garamond" w:hAnsi="Garamond"/>
          <w:sz w:val="21"/>
          <w:szCs w:val="21"/>
        </w:rPr>
        <w:t>-Generali che portano già avanti azioni su questioni legate alle ‘migrazioni’ sono DG RTD, DG HOME, DG EAC, DG JUST, DG GROWTH, DG SANCO, DG AGRI, DG MARE e DG ECHO. Un ruolo importante potrebbe anche svolgere l’Alto Rappresentante dell’Unione per gli Affari Esteri e la Politica di Sicurezza.</w:t>
      </w:r>
    </w:p>
    <w:p w14:paraId="4A9E035E" w14:textId="1618DCDD" w:rsidR="00AB1412" w:rsidRPr="00DC4817" w:rsidRDefault="00AB1412" w:rsidP="00AB1412">
      <w:pPr>
        <w:spacing w:before="120"/>
        <w:ind w:right="284"/>
        <w:jc w:val="both"/>
        <w:rPr>
          <w:rFonts w:ascii="Garamond" w:hAnsi="Garamond"/>
          <w:b/>
          <w:bCs/>
          <w:sz w:val="21"/>
          <w:szCs w:val="21"/>
        </w:rPr>
      </w:pPr>
      <w:proofErr w:type="gramStart"/>
      <w:r w:rsidRPr="00DC4817">
        <w:rPr>
          <w:rFonts w:ascii="Garamond" w:hAnsi="Garamond"/>
          <w:sz w:val="21"/>
          <w:szCs w:val="21"/>
        </w:rPr>
        <w:t>A</w:t>
      </w:r>
      <w:proofErr w:type="gramEnd"/>
      <w:r w:rsidRPr="00DC4817">
        <w:rPr>
          <w:rFonts w:ascii="Garamond" w:hAnsi="Garamond"/>
          <w:sz w:val="21"/>
          <w:szCs w:val="21"/>
        </w:rPr>
        <w:t xml:space="preserve"> seguito del Concilio Europeo di Lisbona del giugno 1992, la UE stabilì un nuovo quadro di riferimento per le sue relazioni con i paesi del bacino del Mediterraneo con l’obiettivo di formare una partnership euro-mediterranea, partnership che divenne realtà alla conferenza di Barcellona del novembre 1995, che riunì per la prima volta i ministri degli affari esteri degli Stati Membri della UE e quelli dei Paesi Terzi del Mediterraneo. Per monitorare e promuovere la cooperazione in RTD, nel 1995 </w:t>
      </w:r>
      <w:proofErr w:type="gramStart"/>
      <w:r w:rsidRPr="00DC4817">
        <w:rPr>
          <w:rFonts w:ascii="Garamond" w:hAnsi="Garamond"/>
          <w:sz w:val="21"/>
          <w:szCs w:val="21"/>
        </w:rPr>
        <w:t>veniva</w:t>
      </w:r>
      <w:proofErr w:type="gramEnd"/>
      <w:r w:rsidRPr="00DC4817">
        <w:rPr>
          <w:rFonts w:ascii="Garamond" w:hAnsi="Garamond"/>
          <w:sz w:val="21"/>
          <w:szCs w:val="21"/>
        </w:rPr>
        <w:t xml:space="preserve"> istituito il </w:t>
      </w:r>
      <w:proofErr w:type="spellStart"/>
      <w:r w:rsidRPr="00DC4817">
        <w:rPr>
          <w:rFonts w:ascii="Garamond" w:hAnsi="Garamond"/>
          <w:sz w:val="21"/>
          <w:szCs w:val="21"/>
        </w:rPr>
        <w:t>Monitoring</w:t>
      </w:r>
      <w:proofErr w:type="spellEnd"/>
      <w:r w:rsidRPr="00DC4817">
        <w:rPr>
          <w:rFonts w:ascii="Garamond" w:hAnsi="Garamond"/>
          <w:sz w:val="21"/>
          <w:szCs w:val="21"/>
        </w:rPr>
        <w:t xml:space="preserve"> </w:t>
      </w:r>
      <w:proofErr w:type="spellStart"/>
      <w:r w:rsidRPr="00DC4817">
        <w:rPr>
          <w:rFonts w:ascii="Garamond" w:hAnsi="Garamond"/>
          <w:sz w:val="21"/>
          <w:szCs w:val="21"/>
        </w:rPr>
        <w:t>Committee</w:t>
      </w:r>
      <w:proofErr w:type="spellEnd"/>
      <w:r w:rsidRPr="00DC4817">
        <w:rPr>
          <w:rFonts w:ascii="Garamond" w:hAnsi="Garamond"/>
          <w:sz w:val="21"/>
          <w:szCs w:val="21"/>
        </w:rPr>
        <w:t xml:space="preserve"> for Euro-</w:t>
      </w:r>
      <w:proofErr w:type="spellStart"/>
      <w:r w:rsidRPr="00DC4817">
        <w:rPr>
          <w:rFonts w:ascii="Garamond" w:hAnsi="Garamond"/>
          <w:sz w:val="21"/>
          <w:szCs w:val="21"/>
        </w:rPr>
        <w:t>Mediterranean</w:t>
      </w:r>
      <w:proofErr w:type="spellEnd"/>
      <w:r w:rsidRPr="00DC4817">
        <w:rPr>
          <w:rFonts w:ascii="Garamond" w:hAnsi="Garamond"/>
          <w:sz w:val="21"/>
          <w:szCs w:val="21"/>
        </w:rPr>
        <w:t xml:space="preserve"> </w:t>
      </w:r>
      <w:proofErr w:type="spellStart"/>
      <w:r w:rsidRPr="00DC4817">
        <w:rPr>
          <w:rFonts w:ascii="Garamond" w:hAnsi="Garamond"/>
          <w:sz w:val="21"/>
          <w:szCs w:val="21"/>
        </w:rPr>
        <w:t>Cooperation</w:t>
      </w:r>
      <w:proofErr w:type="spellEnd"/>
      <w:r w:rsidRPr="00DC4817">
        <w:rPr>
          <w:rFonts w:ascii="Garamond" w:hAnsi="Garamond"/>
          <w:sz w:val="21"/>
          <w:szCs w:val="21"/>
        </w:rPr>
        <w:t xml:space="preserve"> (</w:t>
      </w:r>
      <w:proofErr w:type="spellStart"/>
      <w:r w:rsidRPr="00DC4817">
        <w:rPr>
          <w:rFonts w:ascii="Garamond" w:hAnsi="Garamond"/>
          <w:sz w:val="21"/>
          <w:szCs w:val="21"/>
        </w:rPr>
        <w:t>MoCo</w:t>
      </w:r>
      <w:proofErr w:type="spellEnd"/>
      <w:r w:rsidRPr="00DC4817">
        <w:rPr>
          <w:rFonts w:ascii="Garamond" w:hAnsi="Garamond"/>
          <w:sz w:val="21"/>
          <w:szCs w:val="21"/>
        </w:rPr>
        <w:t xml:space="preserve">). In termini di relazioni bilaterali, l’attuale politica di dialogo </w:t>
      </w:r>
      <w:proofErr w:type="gramStart"/>
      <w:r w:rsidRPr="00DC4817">
        <w:rPr>
          <w:rFonts w:ascii="Garamond" w:hAnsi="Garamond"/>
          <w:sz w:val="21"/>
          <w:szCs w:val="21"/>
        </w:rPr>
        <w:t xml:space="preserve">della </w:t>
      </w:r>
      <w:proofErr w:type="gramEnd"/>
      <w:r w:rsidRPr="00DC4817">
        <w:rPr>
          <w:rFonts w:ascii="Garamond" w:hAnsi="Garamond"/>
          <w:sz w:val="21"/>
          <w:szCs w:val="21"/>
        </w:rPr>
        <w:t xml:space="preserve">UE con i Paesi del Mediterraneo è regolata dalla </w:t>
      </w:r>
      <w:proofErr w:type="spellStart"/>
      <w:r w:rsidRPr="00DC4817">
        <w:rPr>
          <w:rFonts w:ascii="Garamond" w:hAnsi="Garamond"/>
          <w:i/>
          <w:sz w:val="21"/>
          <w:szCs w:val="21"/>
        </w:rPr>
        <w:t>European</w:t>
      </w:r>
      <w:proofErr w:type="spellEnd"/>
      <w:r w:rsidRPr="00DC4817">
        <w:rPr>
          <w:rFonts w:ascii="Garamond" w:hAnsi="Garamond"/>
          <w:i/>
          <w:sz w:val="21"/>
          <w:szCs w:val="21"/>
        </w:rPr>
        <w:t xml:space="preserve"> </w:t>
      </w:r>
      <w:proofErr w:type="spellStart"/>
      <w:r w:rsidRPr="00DC4817">
        <w:rPr>
          <w:rFonts w:ascii="Garamond" w:hAnsi="Garamond"/>
          <w:i/>
          <w:sz w:val="21"/>
          <w:szCs w:val="21"/>
        </w:rPr>
        <w:t>Neighbourhood</w:t>
      </w:r>
      <w:proofErr w:type="spellEnd"/>
      <w:r w:rsidRPr="00DC4817">
        <w:rPr>
          <w:rFonts w:ascii="Garamond" w:hAnsi="Garamond"/>
          <w:i/>
          <w:sz w:val="21"/>
          <w:szCs w:val="21"/>
        </w:rPr>
        <w:t xml:space="preserve"> Policy</w:t>
      </w:r>
      <w:r w:rsidRPr="00DC4817">
        <w:rPr>
          <w:rFonts w:ascii="Garamond" w:hAnsi="Garamond"/>
          <w:sz w:val="21"/>
          <w:szCs w:val="21"/>
        </w:rPr>
        <w:t xml:space="preserve"> istituita nel 2004 con l’obiettivo di rafforzare le relazioni con i Paesi delle sponde meridionale e orientale. Nel maggio 2011, </w:t>
      </w:r>
      <w:proofErr w:type="gramStart"/>
      <w:r w:rsidRPr="00DC4817">
        <w:rPr>
          <w:rFonts w:ascii="Garamond" w:hAnsi="Garamond"/>
          <w:sz w:val="21"/>
          <w:szCs w:val="21"/>
        </w:rPr>
        <w:t>una</w:t>
      </w:r>
      <w:proofErr w:type="gramEnd"/>
      <w:r w:rsidRPr="00DC4817">
        <w:rPr>
          <w:rFonts w:ascii="Garamond" w:hAnsi="Garamond"/>
          <w:sz w:val="21"/>
          <w:szCs w:val="21"/>
        </w:rPr>
        <w:t xml:space="preserve"> joint </w:t>
      </w:r>
      <w:proofErr w:type="spellStart"/>
      <w:r w:rsidRPr="00DC4817">
        <w:rPr>
          <w:rFonts w:ascii="Garamond" w:hAnsi="Garamond"/>
          <w:sz w:val="21"/>
          <w:szCs w:val="21"/>
        </w:rPr>
        <w:t>communication</w:t>
      </w:r>
      <w:proofErr w:type="spellEnd"/>
      <w:r w:rsidRPr="00DC4817">
        <w:rPr>
          <w:rFonts w:ascii="Garamond" w:hAnsi="Garamond"/>
          <w:sz w:val="21"/>
          <w:szCs w:val="21"/>
        </w:rPr>
        <w:t xml:space="preserve"> (COM (2011) 303) ha proposto lo sviluppo di un </w:t>
      </w:r>
      <w:r w:rsidRPr="00DC4817">
        <w:rPr>
          <w:rFonts w:ascii="Garamond" w:hAnsi="Garamond"/>
          <w:i/>
          <w:sz w:val="21"/>
          <w:szCs w:val="21"/>
        </w:rPr>
        <w:t xml:space="preserve">Common Knowledge and </w:t>
      </w:r>
      <w:proofErr w:type="spellStart"/>
      <w:r w:rsidRPr="00DC4817">
        <w:rPr>
          <w:rFonts w:ascii="Garamond" w:hAnsi="Garamond"/>
          <w:i/>
          <w:sz w:val="21"/>
          <w:szCs w:val="21"/>
        </w:rPr>
        <w:t>Innovation</w:t>
      </w:r>
      <w:proofErr w:type="spellEnd"/>
      <w:r w:rsidRPr="00DC4817">
        <w:rPr>
          <w:rFonts w:ascii="Garamond" w:hAnsi="Garamond"/>
          <w:i/>
          <w:sz w:val="21"/>
          <w:szCs w:val="21"/>
        </w:rPr>
        <w:t xml:space="preserve"> Space</w:t>
      </w:r>
      <w:r w:rsidRPr="008C5BED">
        <w:rPr>
          <w:rFonts w:ascii="Garamond" w:hAnsi="Garamond"/>
          <w:sz w:val="21"/>
          <w:szCs w:val="21"/>
          <w:vertAlign w:val="superscript"/>
          <w:lang w:val="en-GB"/>
        </w:rPr>
        <w:footnoteReference w:id="1"/>
      </w:r>
      <w:r>
        <w:rPr>
          <w:rFonts w:ascii="Garamond" w:hAnsi="Garamond"/>
          <w:sz w:val="21"/>
          <w:szCs w:val="21"/>
        </w:rPr>
        <w:t xml:space="preserve">. </w:t>
      </w:r>
      <w:r w:rsidRPr="00DC4817">
        <w:rPr>
          <w:rFonts w:ascii="Garamond" w:hAnsi="Garamond"/>
          <w:sz w:val="21"/>
          <w:szCs w:val="21"/>
        </w:rPr>
        <w:t xml:space="preserve">L’evoluzione dell’art. 185 TFEU del Mediterraneo </w:t>
      </w:r>
      <w:proofErr w:type="gramStart"/>
      <w:r w:rsidRPr="00DC4817">
        <w:rPr>
          <w:rFonts w:ascii="Garamond" w:hAnsi="Garamond"/>
          <w:sz w:val="21"/>
          <w:szCs w:val="21"/>
        </w:rPr>
        <w:t>ha</w:t>
      </w:r>
      <w:proofErr w:type="gramEnd"/>
      <w:r w:rsidRPr="00DC4817">
        <w:rPr>
          <w:rFonts w:ascii="Garamond" w:hAnsi="Garamond"/>
          <w:sz w:val="21"/>
          <w:szCs w:val="21"/>
        </w:rPr>
        <w:t xml:space="preserve"> visto un ruolo determinante dell’Italia come catalizzatore di una deframmentazione del sistema della ricerca nella sua unitarietà. L’idea di creare un progetto di cooperazione durevole e che integri la ricerca euro-</w:t>
      </w:r>
      <w:r w:rsidRPr="00DC4817">
        <w:rPr>
          <w:rFonts w:ascii="Garamond" w:hAnsi="Garamond"/>
          <w:sz w:val="21"/>
          <w:szCs w:val="21"/>
        </w:rPr>
        <w:lastRenderedPageBreak/>
        <w:t xml:space="preserve">mediterranea è nata nel 2010 ai margini dei lavori del </w:t>
      </w:r>
      <w:proofErr w:type="spellStart"/>
      <w:r w:rsidRPr="00DC4817">
        <w:rPr>
          <w:rFonts w:ascii="Garamond" w:hAnsi="Garamond"/>
          <w:sz w:val="21"/>
          <w:szCs w:val="21"/>
        </w:rPr>
        <w:t>MoCo</w:t>
      </w:r>
      <w:proofErr w:type="spellEnd"/>
      <w:r w:rsidRPr="00DC4817">
        <w:rPr>
          <w:rFonts w:ascii="Garamond" w:hAnsi="Garamond"/>
          <w:sz w:val="21"/>
          <w:szCs w:val="21"/>
        </w:rPr>
        <w:t xml:space="preserve">, ripresa negli incontri a latere della conferenza euro-mediterranea di Barcellona </w:t>
      </w:r>
      <w:proofErr w:type="gramStart"/>
      <w:r w:rsidRPr="00DC4817">
        <w:rPr>
          <w:rFonts w:ascii="Garamond" w:hAnsi="Garamond"/>
          <w:sz w:val="21"/>
          <w:szCs w:val="21"/>
        </w:rPr>
        <w:t>del</w:t>
      </w:r>
      <w:proofErr w:type="gramEnd"/>
      <w:r w:rsidRPr="00DC4817">
        <w:rPr>
          <w:rFonts w:ascii="Garamond" w:hAnsi="Garamond"/>
          <w:sz w:val="21"/>
          <w:szCs w:val="21"/>
        </w:rPr>
        <w:t xml:space="preserve"> 2-3 aprile 2012. La riunione del </w:t>
      </w:r>
      <w:proofErr w:type="spellStart"/>
      <w:r w:rsidRPr="00DC4817">
        <w:rPr>
          <w:rFonts w:ascii="Garamond" w:hAnsi="Garamond"/>
          <w:sz w:val="21"/>
          <w:szCs w:val="21"/>
        </w:rPr>
        <w:t>MoCo</w:t>
      </w:r>
      <w:proofErr w:type="spellEnd"/>
      <w:r w:rsidRPr="00DC4817">
        <w:rPr>
          <w:rFonts w:ascii="Garamond" w:hAnsi="Garamond"/>
          <w:sz w:val="21"/>
          <w:szCs w:val="21"/>
        </w:rPr>
        <w:t xml:space="preserve"> del novembre 2012 ha </w:t>
      </w:r>
      <w:proofErr w:type="gramStart"/>
      <w:r w:rsidRPr="00DC4817">
        <w:rPr>
          <w:rFonts w:ascii="Garamond" w:hAnsi="Garamond"/>
          <w:sz w:val="21"/>
          <w:szCs w:val="21"/>
        </w:rPr>
        <w:t>dato</w:t>
      </w:r>
      <w:proofErr w:type="gramEnd"/>
      <w:r w:rsidRPr="00DC4817">
        <w:rPr>
          <w:rFonts w:ascii="Garamond" w:hAnsi="Garamond"/>
          <w:sz w:val="21"/>
          <w:szCs w:val="21"/>
        </w:rPr>
        <w:t xml:space="preserve"> un nome all’iniziativa: PRIMA</w:t>
      </w:r>
      <w:r w:rsidRPr="00DC4817">
        <w:rPr>
          <w:rFonts w:ascii="Garamond" w:hAnsi="Garamond"/>
          <w:i/>
          <w:sz w:val="21"/>
          <w:szCs w:val="21"/>
        </w:rPr>
        <w:t xml:space="preserve">-Partnership in </w:t>
      </w:r>
      <w:proofErr w:type="spellStart"/>
      <w:r w:rsidRPr="00DC4817">
        <w:rPr>
          <w:rFonts w:ascii="Garamond" w:hAnsi="Garamond"/>
          <w:i/>
          <w:sz w:val="21"/>
          <w:szCs w:val="21"/>
        </w:rPr>
        <w:t>Research</w:t>
      </w:r>
      <w:proofErr w:type="spellEnd"/>
      <w:r w:rsidRPr="00DC4817">
        <w:rPr>
          <w:rFonts w:ascii="Garamond" w:hAnsi="Garamond"/>
          <w:i/>
          <w:sz w:val="21"/>
          <w:szCs w:val="21"/>
        </w:rPr>
        <w:t xml:space="preserve"> and </w:t>
      </w:r>
      <w:proofErr w:type="spellStart"/>
      <w:r w:rsidRPr="00DC4817">
        <w:rPr>
          <w:rFonts w:ascii="Garamond" w:hAnsi="Garamond"/>
          <w:i/>
          <w:sz w:val="21"/>
          <w:szCs w:val="21"/>
        </w:rPr>
        <w:t>Innovation</w:t>
      </w:r>
      <w:proofErr w:type="spellEnd"/>
      <w:r w:rsidRPr="00DC4817">
        <w:rPr>
          <w:rFonts w:ascii="Garamond" w:hAnsi="Garamond"/>
          <w:i/>
          <w:sz w:val="21"/>
          <w:szCs w:val="21"/>
        </w:rPr>
        <w:t xml:space="preserve"> in the </w:t>
      </w:r>
      <w:proofErr w:type="spellStart"/>
      <w:r w:rsidRPr="00DC4817">
        <w:rPr>
          <w:rFonts w:ascii="Garamond" w:hAnsi="Garamond"/>
          <w:i/>
          <w:sz w:val="21"/>
          <w:szCs w:val="21"/>
        </w:rPr>
        <w:t>Mediterranean</w:t>
      </w:r>
      <w:proofErr w:type="spellEnd"/>
      <w:r w:rsidRPr="00DC4817">
        <w:rPr>
          <w:rFonts w:ascii="Garamond" w:hAnsi="Garamond"/>
          <w:i/>
          <w:sz w:val="21"/>
          <w:szCs w:val="21"/>
        </w:rPr>
        <w:t xml:space="preserve"> Area</w:t>
      </w:r>
      <w:r w:rsidRPr="00DC4817">
        <w:rPr>
          <w:rFonts w:ascii="Garamond" w:hAnsi="Garamond"/>
          <w:sz w:val="21"/>
          <w:szCs w:val="21"/>
        </w:rPr>
        <w:t>, art. 185 presieduto dall’Italia</w:t>
      </w:r>
      <w:proofErr w:type="gramStart"/>
      <w:r w:rsidRPr="008C5BED">
        <w:rPr>
          <w:rFonts w:ascii="Garamond" w:hAnsi="Garamond"/>
          <w:sz w:val="21"/>
          <w:szCs w:val="21"/>
          <w:vertAlign w:val="superscript"/>
          <w:lang w:val="en-GB"/>
        </w:rPr>
        <w:footnoteReference w:id="2"/>
      </w:r>
      <w:r w:rsidRPr="00DC4817">
        <w:rPr>
          <w:rFonts w:ascii="Garamond" w:hAnsi="Garamond"/>
          <w:sz w:val="21"/>
          <w:szCs w:val="21"/>
        </w:rPr>
        <w:t>.</w:t>
      </w:r>
      <w:proofErr w:type="gramEnd"/>
      <w:r w:rsidRPr="00DC4817">
        <w:rPr>
          <w:rFonts w:ascii="Garamond" w:hAnsi="Garamond"/>
          <w:sz w:val="21"/>
          <w:szCs w:val="21"/>
        </w:rPr>
        <w:t xml:space="preserve"> PRIMA è una proposta innovativa perché, a differenza di altre azioni basate sull’art.</w:t>
      </w:r>
      <w:r>
        <w:rPr>
          <w:rFonts w:ascii="Garamond" w:hAnsi="Garamond"/>
          <w:sz w:val="21"/>
          <w:szCs w:val="21"/>
        </w:rPr>
        <w:t xml:space="preserve"> </w:t>
      </w:r>
      <w:r w:rsidRPr="00DC4817">
        <w:rPr>
          <w:rFonts w:ascii="Garamond" w:hAnsi="Garamond"/>
          <w:sz w:val="21"/>
          <w:szCs w:val="21"/>
        </w:rPr>
        <w:t xml:space="preserve">185, vuole coinvolgere in tutti gli organi </w:t>
      </w:r>
      <w:proofErr w:type="gramStart"/>
      <w:r w:rsidRPr="00DC4817">
        <w:rPr>
          <w:rFonts w:ascii="Garamond" w:hAnsi="Garamond"/>
          <w:sz w:val="21"/>
          <w:szCs w:val="21"/>
        </w:rPr>
        <w:t>decisionali i</w:t>
      </w:r>
      <w:proofErr w:type="gramEnd"/>
      <w:r w:rsidRPr="00DC4817">
        <w:rPr>
          <w:rFonts w:ascii="Garamond" w:hAnsi="Garamond"/>
          <w:sz w:val="21"/>
          <w:szCs w:val="21"/>
        </w:rPr>
        <w:t xml:space="preserve"> rappresentanti dei Paesi Terzi del Mediterraneo, seguendo il principio di </w:t>
      </w:r>
      <w:r w:rsidRPr="00DC4817">
        <w:rPr>
          <w:rFonts w:ascii="Garamond" w:hAnsi="Garamond"/>
          <w:i/>
          <w:sz w:val="21"/>
          <w:szCs w:val="21"/>
        </w:rPr>
        <w:t>co-</w:t>
      </w:r>
      <w:proofErr w:type="spellStart"/>
      <w:r w:rsidRPr="00DC4817">
        <w:rPr>
          <w:rFonts w:ascii="Garamond" w:hAnsi="Garamond"/>
          <w:i/>
          <w:sz w:val="21"/>
          <w:szCs w:val="21"/>
        </w:rPr>
        <w:t>ownership</w:t>
      </w:r>
      <w:proofErr w:type="spellEnd"/>
      <w:r w:rsidRPr="00DC4817">
        <w:rPr>
          <w:rFonts w:ascii="Garamond" w:hAnsi="Garamond"/>
          <w:sz w:val="21"/>
          <w:szCs w:val="21"/>
        </w:rPr>
        <w:t xml:space="preserve">, </w:t>
      </w:r>
      <w:r w:rsidRPr="00DC4817">
        <w:rPr>
          <w:rFonts w:ascii="Garamond" w:hAnsi="Garamond"/>
          <w:i/>
          <w:sz w:val="21"/>
          <w:szCs w:val="21"/>
        </w:rPr>
        <w:t>co-</w:t>
      </w:r>
      <w:proofErr w:type="spellStart"/>
      <w:r w:rsidRPr="00DC4817">
        <w:rPr>
          <w:rFonts w:ascii="Garamond" w:hAnsi="Garamond"/>
          <w:i/>
          <w:sz w:val="21"/>
          <w:szCs w:val="21"/>
        </w:rPr>
        <w:t>funding</w:t>
      </w:r>
      <w:proofErr w:type="spellEnd"/>
      <w:r w:rsidRPr="00DC4817">
        <w:rPr>
          <w:rFonts w:ascii="Garamond" w:hAnsi="Garamond"/>
          <w:sz w:val="21"/>
          <w:szCs w:val="21"/>
        </w:rPr>
        <w:t xml:space="preserve"> e </w:t>
      </w:r>
      <w:proofErr w:type="spellStart"/>
      <w:r w:rsidRPr="00DC4817">
        <w:rPr>
          <w:rFonts w:ascii="Garamond" w:hAnsi="Garamond"/>
          <w:i/>
          <w:sz w:val="21"/>
          <w:szCs w:val="21"/>
        </w:rPr>
        <w:t>mutual</w:t>
      </w:r>
      <w:proofErr w:type="spellEnd"/>
      <w:r w:rsidRPr="00DC4817">
        <w:rPr>
          <w:rFonts w:ascii="Garamond" w:hAnsi="Garamond"/>
          <w:i/>
          <w:sz w:val="21"/>
          <w:szCs w:val="21"/>
        </w:rPr>
        <w:t xml:space="preserve"> benefit</w:t>
      </w:r>
      <w:r w:rsidRPr="00DC4817">
        <w:rPr>
          <w:rFonts w:ascii="Garamond" w:hAnsi="Garamond"/>
          <w:sz w:val="21"/>
          <w:szCs w:val="21"/>
        </w:rPr>
        <w:t xml:space="preserve">. </w:t>
      </w:r>
    </w:p>
    <w:p w14:paraId="2AF404F7" w14:textId="72B23101" w:rsidR="00AB1412" w:rsidRPr="00DC4817" w:rsidRDefault="00AB1412" w:rsidP="00AB1412">
      <w:pPr>
        <w:spacing w:before="120"/>
        <w:ind w:right="284"/>
        <w:jc w:val="both"/>
        <w:rPr>
          <w:rFonts w:ascii="Garamond" w:hAnsi="Garamond"/>
          <w:b/>
          <w:bCs/>
          <w:sz w:val="21"/>
          <w:szCs w:val="21"/>
        </w:rPr>
      </w:pPr>
      <w:r w:rsidRPr="00DC4817">
        <w:rPr>
          <w:rFonts w:ascii="Garamond" w:hAnsi="Garamond"/>
          <w:sz w:val="21"/>
          <w:szCs w:val="21"/>
        </w:rPr>
        <w:t xml:space="preserve">Migrazioni e patrimonio culturale sono </w:t>
      </w:r>
      <w:proofErr w:type="gramStart"/>
      <w:r w:rsidRPr="00DC4817">
        <w:rPr>
          <w:rFonts w:ascii="Garamond" w:hAnsi="Garamond"/>
          <w:sz w:val="21"/>
          <w:szCs w:val="21"/>
        </w:rPr>
        <w:t>considerati</w:t>
      </w:r>
      <w:proofErr w:type="gramEnd"/>
      <w:r w:rsidRPr="00DC4817">
        <w:rPr>
          <w:rFonts w:ascii="Garamond" w:hAnsi="Garamond"/>
          <w:sz w:val="21"/>
          <w:szCs w:val="21"/>
        </w:rPr>
        <w:t xml:space="preserve"> senz’altro importanti, ma non risultano a oggi presenti nei focus dell’iniziativa art. 185 del Trattato dell’Unione Europea PRIMA sebbene le </w:t>
      </w:r>
      <w:proofErr w:type="gramStart"/>
      <w:r w:rsidRPr="00DC4817">
        <w:rPr>
          <w:rFonts w:ascii="Garamond" w:hAnsi="Garamond"/>
          <w:sz w:val="21"/>
          <w:szCs w:val="21"/>
        </w:rPr>
        <w:t>tematiche</w:t>
      </w:r>
      <w:proofErr w:type="gramEnd"/>
      <w:r w:rsidRPr="00DC4817">
        <w:rPr>
          <w:rFonts w:ascii="Garamond" w:hAnsi="Garamond"/>
          <w:sz w:val="21"/>
          <w:szCs w:val="21"/>
        </w:rPr>
        <w:t xml:space="preserve"> di interesse socio-economico siano essenziali e trasversali a vari settori, non</w:t>
      </w:r>
      <w:r>
        <w:rPr>
          <w:rFonts w:ascii="Garamond" w:hAnsi="Garamond"/>
          <w:sz w:val="21"/>
          <w:szCs w:val="21"/>
        </w:rPr>
        <w:t xml:space="preserve"> in ultimo alla sicurezza</w:t>
      </w:r>
      <w:r w:rsidRPr="00DC4817">
        <w:rPr>
          <w:rFonts w:ascii="Garamond" w:hAnsi="Garamond"/>
          <w:sz w:val="21"/>
          <w:szCs w:val="21"/>
        </w:rPr>
        <w:t xml:space="preserve">, al dialogo interculturale e al sostegno dell’economia, soprattutto l’industria culturale e creativa, nei paesi del Mediterraneo. </w:t>
      </w:r>
    </w:p>
    <w:p w14:paraId="6E6F4D12" w14:textId="39136531" w:rsidR="00AB1412" w:rsidRPr="00D67105" w:rsidRDefault="00AB1412" w:rsidP="00AB1412">
      <w:pPr>
        <w:spacing w:before="120"/>
        <w:ind w:right="284"/>
        <w:jc w:val="both"/>
        <w:rPr>
          <w:rFonts w:ascii="Garamond" w:hAnsi="Garamond"/>
          <w:b/>
          <w:bCs/>
          <w:sz w:val="21"/>
          <w:szCs w:val="21"/>
        </w:rPr>
      </w:pPr>
      <w:r w:rsidRPr="00DC4817">
        <w:rPr>
          <w:rFonts w:ascii="Garamond" w:hAnsi="Garamond"/>
          <w:sz w:val="21"/>
          <w:szCs w:val="21"/>
        </w:rPr>
        <w:t xml:space="preserve">Già prima dei risultati della Conferenza </w:t>
      </w:r>
      <w:proofErr w:type="spellStart"/>
      <w:r w:rsidRPr="00DC4817">
        <w:rPr>
          <w:rFonts w:ascii="Garamond" w:hAnsi="Garamond"/>
          <w:sz w:val="21"/>
          <w:szCs w:val="21"/>
        </w:rPr>
        <w:t>Euromediterranea</w:t>
      </w:r>
      <w:proofErr w:type="spellEnd"/>
      <w:r w:rsidRPr="00DC4817">
        <w:rPr>
          <w:rFonts w:ascii="Garamond" w:hAnsi="Garamond"/>
          <w:sz w:val="21"/>
          <w:szCs w:val="21"/>
        </w:rPr>
        <w:t xml:space="preserve"> dell’aprile 2012 a Barcellona, ebbero luogo diverso incontri per verificare con la Commissione Europea la fattibilità e la volontà di utilizzare </w:t>
      </w:r>
      <w:proofErr w:type="gramStart"/>
      <w:r w:rsidRPr="00DC4817">
        <w:rPr>
          <w:rFonts w:ascii="Garamond" w:hAnsi="Garamond"/>
          <w:sz w:val="21"/>
          <w:szCs w:val="21"/>
        </w:rPr>
        <w:t xml:space="preserve">un </w:t>
      </w:r>
      <w:proofErr w:type="gramEnd"/>
      <w:r w:rsidRPr="00DC4817">
        <w:rPr>
          <w:rFonts w:ascii="Garamond" w:hAnsi="Garamond"/>
          <w:sz w:val="21"/>
          <w:szCs w:val="21"/>
        </w:rPr>
        <w:t xml:space="preserve">art. 185 sul Mediterraneo, che portarono </w:t>
      </w:r>
      <w:proofErr w:type="gramStart"/>
      <w:r w:rsidRPr="00DC4817">
        <w:rPr>
          <w:rFonts w:ascii="Garamond" w:hAnsi="Garamond"/>
          <w:sz w:val="21"/>
          <w:szCs w:val="21"/>
        </w:rPr>
        <w:t>alla</w:t>
      </w:r>
      <w:proofErr w:type="gramEnd"/>
      <w:r w:rsidRPr="00DC4817">
        <w:rPr>
          <w:rFonts w:ascii="Garamond" w:hAnsi="Garamond"/>
          <w:sz w:val="21"/>
          <w:szCs w:val="21"/>
        </w:rPr>
        <w:t xml:space="preserve"> costituzioni di </w:t>
      </w:r>
      <w:proofErr w:type="spellStart"/>
      <w:r w:rsidRPr="00DC4817">
        <w:rPr>
          <w:rFonts w:ascii="Garamond" w:hAnsi="Garamond"/>
          <w:sz w:val="21"/>
          <w:szCs w:val="21"/>
        </w:rPr>
        <w:t>working-group</w:t>
      </w:r>
      <w:proofErr w:type="spellEnd"/>
      <w:r w:rsidRPr="00DC4817">
        <w:rPr>
          <w:rFonts w:ascii="Garamond" w:hAnsi="Garamond"/>
          <w:sz w:val="21"/>
          <w:szCs w:val="21"/>
        </w:rPr>
        <w:t xml:space="preserve"> con rappresentanti dei Ministeri dei Paesi UE e dei paesi non UE del Mediterraneo. L’</w:t>
      </w:r>
      <w:proofErr w:type="spellStart"/>
      <w:r w:rsidRPr="00DC4817">
        <w:rPr>
          <w:rFonts w:ascii="Garamond" w:hAnsi="Garamond"/>
          <w:i/>
          <w:sz w:val="21"/>
          <w:szCs w:val="21"/>
        </w:rPr>
        <w:t>Informal</w:t>
      </w:r>
      <w:proofErr w:type="spellEnd"/>
      <w:r w:rsidRPr="00DC4817">
        <w:rPr>
          <w:rFonts w:ascii="Garamond" w:hAnsi="Garamond"/>
          <w:i/>
          <w:sz w:val="21"/>
          <w:szCs w:val="21"/>
        </w:rPr>
        <w:t xml:space="preserve"> </w:t>
      </w:r>
      <w:proofErr w:type="spellStart"/>
      <w:r w:rsidRPr="00DC4817">
        <w:rPr>
          <w:rFonts w:ascii="Garamond" w:hAnsi="Garamond"/>
          <w:i/>
          <w:sz w:val="21"/>
          <w:szCs w:val="21"/>
        </w:rPr>
        <w:t>Competitiveness</w:t>
      </w:r>
      <w:proofErr w:type="spellEnd"/>
      <w:r w:rsidRPr="00DC4817">
        <w:rPr>
          <w:rFonts w:ascii="Garamond" w:hAnsi="Garamond"/>
          <w:i/>
          <w:sz w:val="21"/>
          <w:szCs w:val="21"/>
        </w:rPr>
        <w:t xml:space="preserve"> </w:t>
      </w:r>
      <w:proofErr w:type="spellStart"/>
      <w:r w:rsidRPr="00DC4817">
        <w:rPr>
          <w:rFonts w:ascii="Garamond" w:hAnsi="Garamond"/>
          <w:i/>
          <w:sz w:val="21"/>
          <w:szCs w:val="21"/>
        </w:rPr>
        <w:t>Council</w:t>
      </w:r>
      <w:proofErr w:type="spellEnd"/>
      <w:r w:rsidRPr="00DC4817">
        <w:rPr>
          <w:rFonts w:ascii="Garamond" w:hAnsi="Garamond"/>
          <w:sz w:val="21"/>
          <w:szCs w:val="21"/>
        </w:rPr>
        <w:t xml:space="preserve"> del maggio 2014 ad Atene e il successivo </w:t>
      </w:r>
      <w:proofErr w:type="spellStart"/>
      <w:r w:rsidRPr="00DC4817">
        <w:rPr>
          <w:rFonts w:ascii="Garamond" w:hAnsi="Garamond"/>
          <w:i/>
          <w:sz w:val="21"/>
          <w:szCs w:val="21"/>
        </w:rPr>
        <w:t>Competitiveness</w:t>
      </w:r>
      <w:proofErr w:type="spellEnd"/>
      <w:r w:rsidRPr="00DC4817">
        <w:rPr>
          <w:rFonts w:ascii="Garamond" w:hAnsi="Garamond"/>
          <w:i/>
          <w:sz w:val="21"/>
          <w:szCs w:val="21"/>
        </w:rPr>
        <w:t xml:space="preserve"> </w:t>
      </w:r>
      <w:proofErr w:type="spellStart"/>
      <w:r w:rsidRPr="00DC4817">
        <w:rPr>
          <w:rFonts w:ascii="Garamond" w:hAnsi="Garamond"/>
          <w:i/>
          <w:sz w:val="21"/>
          <w:szCs w:val="21"/>
        </w:rPr>
        <w:t>Council</w:t>
      </w:r>
      <w:proofErr w:type="spellEnd"/>
      <w:r w:rsidRPr="00DC4817">
        <w:rPr>
          <w:rFonts w:ascii="Garamond" w:hAnsi="Garamond"/>
          <w:sz w:val="21"/>
          <w:szCs w:val="21"/>
        </w:rPr>
        <w:t xml:space="preserve"> a Bruxelles</w:t>
      </w:r>
      <w:r w:rsidR="00DD212C">
        <w:rPr>
          <w:rFonts w:ascii="Garamond" w:hAnsi="Garamond"/>
          <w:sz w:val="21"/>
          <w:szCs w:val="21"/>
        </w:rPr>
        <w:t xml:space="preserve"> identificarono come focus </w:t>
      </w:r>
      <w:proofErr w:type="spellStart"/>
      <w:r w:rsidR="00DD212C">
        <w:rPr>
          <w:rFonts w:ascii="Garamond" w:hAnsi="Garamond"/>
          <w:sz w:val="21"/>
          <w:szCs w:val="21"/>
        </w:rPr>
        <w:t>areas</w:t>
      </w:r>
      <w:proofErr w:type="spellEnd"/>
      <w:r w:rsidRPr="00DC4817">
        <w:rPr>
          <w:rFonts w:ascii="Garamond" w:hAnsi="Garamond"/>
          <w:sz w:val="21"/>
          <w:szCs w:val="21"/>
        </w:rPr>
        <w:t xml:space="preserve"> </w:t>
      </w:r>
      <w:r w:rsidRPr="00DC4817">
        <w:rPr>
          <w:rFonts w:ascii="Garamond" w:hAnsi="Garamond"/>
          <w:i/>
          <w:sz w:val="21"/>
          <w:szCs w:val="21"/>
        </w:rPr>
        <w:t xml:space="preserve">Water </w:t>
      </w:r>
      <w:r w:rsidRPr="00DC4817">
        <w:rPr>
          <w:rFonts w:ascii="Garamond" w:hAnsi="Garamond"/>
          <w:sz w:val="21"/>
          <w:szCs w:val="21"/>
        </w:rPr>
        <w:t xml:space="preserve">e </w:t>
      </w:r>
      <w:proofErr w:type="spellStart"/>
      <w:proofErr w:type="gramStart"/>
      <w:r w:rsidRPr="00DC4817">
        <w:rPr>
          <w:rFonts w:ascii="Garamond" w:hAnsi="Garamond"/>
          <w:i/>
          <w:sz w:val="21"/>
          <w:szCs w:val="21"/>
        </w:rPr>
        <w:t>Food</w:t>
      </w:r>
      <w:proofErr w:type="spellEnd"/>
      <w:proofErr w:type="gramEnd"/>
      <w:r w:rsidRPr="00DC4817">
        <w:rPr>
          <w:rFonts w:ascii="Garamond" w:hAnsi="Garamond"/>
          <w:sz w:val="21"/>
          <w:szCs w:val="21"/>
        </w:rPr>
        <w:t xml:space="preserve">, con aspetti multidisciplinari che vanno dalla salute, al cambiamento climatico, all’energia e con aspetti trasversali che investono innovazione e sviluppo sociale e sostenibile. </w:t>
      </w:r>
      <w:proofErr w:type="gramStart"/>
      <w:r w:rsidRPr="00DC4817">
        <w:rPr>
          <w:rFonts w:ascii="Garamond" w:hAnsi="Garamond"/>
          <w:sz w:val="21"/>
          <w:szCs w:val="21"/>
        </w:rPr>
        <w:t>Risulta</w:t>
      </w:r>
      <w:proofErr w:type="gramEnd"/>
      <w:r w:rsidRPr="00DC4817">
        <w:rPr>
          <w:rFonts w:ascii="Garamond" w:hAnsi="Garamond"/>
          <w:sz w:val="21"/>
          <w:szCs w:val="21"/>
        </w:rPr>
        <w:t xml:space="preserve"> dunq</w:t>
      </w:r>
      <w:r w:rsidR="00DD212C">
        <w:rPr>
          <w:rFonts w:ascii="Garamond" w:hAnsi="Garamond"/>
          <w:sz w:val="21"/>
          <w:szCs w:val="21"/>
        </w:rPr>
        <w:t>ue chiaro che</w:t>
      </w:r>
      <w:r w:rsidRPr="00DC4817">
        <w:rPr>
          <w:rFonts w:ascii="Garamond" w:hAnsi="Garamond"/>
          <w:sz w:val="21"/>
          <w:szCs w:val="21"/>
        </w:rPr>
        <w:t xml:space="preserve"> </w:t>
      </w:r>
      <w:r w:rsidR="00DD212C">
        <w:rPr>
          <w:rFonts w:ascii="Garamond" w:hAnsi="Garamond"/>
          <w:sz w:val="21"/>
          <w:szCs w:val="21"/>
        </w:rPr>
        <w:t xml:space="preserve">l’ampliamento delle ricerca sul Mediterraneo all’essere sociale </w:t>
      </w:r>
      <w:r w:rsidRPr="00DC4817">
        <w:rPr>
          <w:rFonts w:ascii="Garamond" w:hAnsi="Garamond"/>
          <w:sz w:val="21"/>
          <w:szCs w:val="21"/>
        </w:rPr>
        <w:t>viene a integrare per l’Italia e per l’Europa le azioni di PRIMA e dei due ERANET COFUND ERANETMED</w:t>
      </w:r>
      <w:r w:rsidRPr="008C5BED">
        <w:rPr>
          <w:rFonts w:ascii="Garamond" w:hAnsi="Garamond"/>
          <w:sz w:val="21"/>
          <w:szCs w:val="21"/>
          <w:vertAlign w:val="superscript"/>
          <w:lang w:val="en-GB"/>
        </w:rPr>
        <w:footnoteReference w:id="3"/>
      </w:r>
      <w:r w:rsidRPr="00DC4817">
        <w:rPr>
          <w:rFonts w:ascii="Garamond" w:hAnsi="Garamond"/>
          <w:sz w:val="21"/>
          <w:szCs w:val="21"/>
        </w:rPr>
        <w:t xml:space="preserve"> </w:t>
      </w:r>
      <w:proofErr w:type="gramStart"/>
      <w:r w:rsidRPr="00DC4817">
        <w:rPr>
          <w:rFonts w:ascii="Garamond" w:hAnsi="Garamond"/>
          <w:sz w:val="21"/>
          <w:szCs w:val="21"/>
        </w:rPr>
        <w:t>e</w:t>
      </w:r>
      <w:proofErr w:type="gramEnd"/>
      <w:r w:rsidRPr="00DC4817">
        <w:rPr>
          <w:rFonts w:ascii="Garamond" w:hAnsi="Garamond"/>
          <w:sz w:val="21"/>
          <w:szCs w:val="21"/>
        </w:rPr>
        <w:t xml:space="preserve"> </w:t>
      </w:r>
      <w:r w:rsidRPr="00DC4817">
        <w:rPr>
          <w:rFonts w:ascii="Garamond" w:hAnsi="Garamond"/>
          <w:bCs/>
          <w:iCs/>
          <w:sz w:val="21"/>
          <w:szCs w:val="21"/>
        </w:rPr>
        <w:t>BLUEMED</w:t>
      </w:r>
      <w:r w:rsidRPr="008C5BED">
        <w:rPr>
          <w:rFonts w:ascii="Garamond" w:hAnsi="Garamond"/>
          <w:sz w:val="21"/>
          <w:szCs w:val="21"/>
          <w:vertAlign w:val="superscript"/>
          <w:lang w:val="en-GB"/>
        </w:rPr>
        <w:footnoteReference w:id="4"/>
      </w:r>
      <w:r w:rsidR="00DD212C">
        <w:rPr>
          <w:rFonts w:ascii="Garamond" w:hAnsi="Garamond"/>
          <w:sz w:val="21"/>
          <w:szCs w:val="21"/>
          <w:lang w:val="en-GB"/>
        </w:rPr>
        <w:t>.</w:t>
      </w:r>
      <w:r w:rsidRPr="00DC4817">
        <w:rPr>
          <w:rFonts w:ascii="Garamond" w:hAnsi="Garamond"/>
          <w:b/>
          <w:bCs/>
          <w:sz w:val="21"/>
          <w:szCs w:val="21"/>
        </w:rPr>
        <w:t xml:space="preserve"> </w:t>
      </w:r>
    </w:p>
    <w:p w14:paraId="17E19138" w14:textId="381DE1E4" w:rsidR="00AB1412" w:rsidRPr="00DD212C" w:rsidRDefault="00AB1412" w:rsidP="00AB1412">
      <w:pPr>
        <w:spacing w:before="120"/>
        <w:ind w:right="284"/>
        <w:jc w:val="both"/>
        <w:rPr>
          <w:rFonts w:ascii="Garamond" w:hAnsi="Garamond"/>
          <w:sz w:val="21"/>
          <w:szCs w:val="21"/>
        </w:rPr>
      </w:pPr>
      <w:r w:rsidRPr="007F0D35">
        <w:rPr>
          <w:rFonts w:ascii="Garamond" w:hAnsi="Garamond"/>
          <w:sz w:val="21"/>
          <w:szCs w:val="21"/>
        </w:rPr>
        <w:t xml:space="preserve">Di qui l’urgenza di inserire le </w:t>
      </w:r>
      <w:r w:rsidRPr="007F0D35">
        <w:rPr>
          <w:rFonts w:ascii="Garamond" w:hAnsi="Garamond"/>
          <w:i/>
          <w:sz w:val="21"/>
          <w:szCs w:val="21"/>
        </w:rPr>
        <w:t>migrazioni</w:t>
      </w:r>
      <w:r w:rsidRPr="007F0D35">
        <w:rPr>
          <w:rFonts w:ascii="Garamond" w:hAnsi="Garamond"/>
          <w:sz w:val="21"/>
          <w:szCs w:val="21"/>
        </w:rPr>
        <w:t xml:space="preserve"> </w:t>
      </w:r>
      <w:proofErr w:type="gramStart"/>
      <w:r w:rsidRPr="007F0D35">
        <w:rPr>
          <w:rFonts w:ascii="Garamond" w:hAnsi="Garamond"/>
          <w:sz w:val="21"/>
          <w:szCs w:val="21"/>
        </w:rPr>
        <w:t>in aggiunta alle già presenti aree tematiche agroalimentare</w:t>
      </w:r>
      <w:proofErr w:type="gramEnd"/>
      <w:r w:rsidRPr="007F0D35">
        <w:rPr>
          <w:rFonts w:ascii="Garamond" w:hAnsi="Garamond"/>
          <w:sz w:val="21"/>
          <w:szCs w:val="21"/>
        </w:rPr>
        <w:t xml:space="preserve"> e mare. </w:t>
      </w:r>
      <w:proofErr w:type="gramStart"/>
      <w:r w:rsidRPr="007F0D35">
        <w:rPr>
          <w:rFonts w:ascii="Garamond" w:hAnsi="Garamond"/>
          <w:sz w:val="21"/>
          <w:szCs w:val="21"/>
        </w:rPr>
        <w:t>Non respingere la diversità ma coglierne l’opportunità e valorizzarla attraverso l’essere sociale</w:t>
      </w:r>
      <w:proofErr w:type="gramEnd"/>
      <w:r w:rsidRPr="007F0D35">
        <w:rPr>
          <w:rFonts w:ascii="Garamond" w:hAnsi="Garamond"/>
          <w:sz w:val="21"/>
          <w:szCs w:val="21"/>
        </w:rPr>
        <w:t>.</w:t>
      </w:r>
      <w:r w:rsidRPr="00DC4817">
        <w:rPr>
          <w:rFonts w:ascii="Garamond" w:hAnsi="Garamond"/>
          <w:sz w:val="21"/>
          <w:szCs w:val="21"/>
        </w:rPr>
        <w:t xml:space="preserve"> L’innovazione sociale e culturale </w:t>
      </w:r>
      <w:proofErr w:type="gramStart"/>
      <w:r w:rsidRPr="00DC4817">
        <w:rPr>
          <w:rFonts w:ascii="Garamond" w:hAnsi="Garamond"/>
          <w:sz w:val="21"/>
          <w:szCs w:val="21"/>
        </w:rPr>
        <w:t>sono</w:t>
      </w:r>
      <w:proofErr w:type="gramEnd"/>
      <w:r w:rsidRPr="00DC4817">
        <w:rPr>
          <w:rFonts w:ascii="Garamond" w:hAnsi="Garamond"/>
          <w:sz w:val="21"/>
          <w:szCs w:val="21"/>
        </w:rPr>
        <w:t xml:space="preserve"> lo strumento per favorire la conoscenza reciproca, l’accoglienza e l’integrazione dei migranti, fungendo anche come mezzo per azioni di </w:t>
      </w:r>
      <w:r w:rsidRPr="00DC4817">
        <w:rPr>
          <w:rFonts w:ascii="Garamond" w:hAnsi="Garamond"/>
          <w:i/>
          <w:sz w:val="21"/>
          <w:szCs w:val="21"/>
        </w:rPr>
        <w:t xml:space="preserve">cultural </w:t>
      </w:r>
      <w:proofErr w:type="spellStart"/>
      <w:r w:rsidRPr="00DC4817">
        <w:rPr>
          <w:rFonts w:ascii="Garamond" w:hAnsi="Garamond"/>
          <w:i/>
          <w:sz w:val="21"/>
          <w:szCs w:val="21"/>
        </w:rPr>
        <w:t>diplomacy</w:t>
      </w:r>
      <w:proofErr w:type="spellEnd"/>
      <w:r w:rsidRPr="00DC4817">
        <w:rPr>
          <w:rFonts w:ascii="Garamond" w:hAnsi="Garamond"/>
          <w:i/>
          <w:sz w:val="21"/>
          <w:szCs w:val="21"/>
        </w:rPr>
        <w:t xml:space="preserve"> </w:t>
      </w:r>
      <w:r w:rsidRPr="00DC4817">
        <w:rPr>
          <w:rFonts w:ascii="Garamond" w:hAnsi="Garamond"/>
          <w:sz w:val="21"/>
          <w:szCs w:val="21"/>
        </w:rPr>
        <w:t xml:space="preserve">(cfr. </w:t>
      </w:r>
      <w:proofErr w:type="spellStart"/>
      <w:r w:rsidRPr="00DC4817">
        <w:rPr>
          <w:rFonts w:ascii="Garamond" w:hAnsi="Garamond"/>
          <w:sz w:val="21"/>
          <w:szCs w:val="21"/>
        </w:rPr>
        <w:t>Regulation</w:t>
      </w:r>
      <w:proofErr w:type="spellEnd"/>
      <w:r w:rsidRPr="00DC4817">
        <w:rPr>
          <w:rFonts w:ascii="Garamond" w:hAnsi="Garamond"/>
          <w:sz w:val="21"/>
          <w:szCs w:val="21"/>
        </w:rPr>
        <w:t xml:space="preserve"> (EU) n. 234/2014 of the </w:t>
      </w:r>
      <w:proofErr w:type="spellStart"/>
      <w:r w:rsidRPr="00DC4817">
        <w:rPr>
          <w:rFonts w:ascii="Garamond" w:hAnsi="Garamond"/>
          <w:sz w:val="21"/>
          <w:szCs w:val="21"/>
        </w:rPr>
        <w:t>European</w:t>
      </w:r>
      <w:proofErr w:type="spellEnd"/>
      <w:r w:rsidRPr="00DC4817">
        <w:rPr>
          <w:rFonts w:ascii="Garamond" w:hAnsi="Garamond"/>
          <w:sz w:val="21"/>
          <w:szCs w:val="21"/>
        </w:rPr>
        <w:t xml:space="preserve"> </w:t>
      </w:r>
      <w:proofErr w:type="spellStart"/>
      <w:r w:rsidRPr="00DC4817">
        <w:rPr>
          <w:rFonts w:ascii="Garamond" w:hAnsi="Garamond"/>
          <w:sz w:val="21"/>
          <w:szCs w:val="21"/>
        </w:rPr>
        <w:t>Parliament</w:t>
      </w:r>
      <w:proofErr w:type="spellEnd"/>
      <w:r w:rsidRPr="00DC4817">
        <w:rPr>
          <w:rFonts w:ascii="Garamond" w:hAnsi="Garamond"/>
          <w:sz w:val="21"/>
          <w:szCs w:val="21"/>
        </w:rPr>
        <w:t xml:space="preserve"> and of the </w:t>
      </w:r>
      <w:proofErr w:type="spellStart"/>
      <w:r w:rsidRPr="00DC4817">
        <w:rPr>
          <w:rFonts w:ascii="Garamond" w:hAnsi="Garamond"/>
          <w:sz w:val="21"/>
          <w:szCs w:val="21"/>
        </w:rPr>
        <w:t>Council</w:t>
      </w:r>
      <w:proofErr w:type="spellEnd"/>
      <w:r w:rsidRPr="00DC4817">
        <w:rPr>
          <w:rFonts w:ascii="Garamond" w:hAnsi="Garamond"/>
          <w:sz w:val="21"/>
          <w:szCs w:val="21"/>
        </w:rPr>
        <w:t xml:space="preserve"> of 11 March 2014, servizio FPI.4 Partnership </w:t>
      </w:r>
      <w:proofErr w:type="spellStart"/>
      <w:r w:rsidRPr="00DC4817">
        <w:rPr>
          <w:rFonts w:ascii="Garamond" w:hAnsi="Garamond"/>
          <w:sz w:val="21"/>
          <w:szCs w:val="21"/>
        </w:rPr>
        <w:t>Instrument</w:t>
      </w:r>
      <w:proofErr w:type="spellEnd"/>
      <w:r w:rsidRPr="00DC4817">
        <w:rPr>
          <w:rFonts w:ascii="Garamond" w:hAnsi="Garamond"/>
          <w:sz w:val="21"/>
          <w:szCs w:val="21"/>
        </w:rPr>
        <w:t xml:space="preserve">, Service for </w:t>
      </w:r>
      <w:proofErr w:type="spellStart"/>
      <w:r w:rsidRPr="00DC4817">
        <w:rPr>
          <w:rFonts w:ascii="Garamond" w:hAnsi="Garamond"/>
          <w:sz w:val="21"/>
          <w:szCs w:val="21"/>
        </w:rPr>
        <w:t>Foreign</w:t>
      </w:r>
      <w:proofErr w:type="spellEnd"/>
      <w:r w:rsidRPr="00DC4817">
        <w:rPr>
          <w:rFonts w:ascii="Garamond" w:hAnsi="Garamond"/>
          <w:sz w:val="21"/>
          <w:szCs w:val="21"/>
        </w:rPr>
        <w:t xml:space="preserve"> Policy Instruments, High </w:t>
      </w:r>
      <w:proofErr w:type="spellStart"/>
      <w:r w:rsidRPr="00DC4817">
        <w:rPr>
          <w:rFonts w:ascii="Garamond" w:hAnsi="Garamond"/>
          <w:sz w:val="21"/>
          <w:szCs w:val="21"/>
        </w:rPr>
        <w:t>Representative</w:t>
      </w:r>
      <w:proofErr w:type="spellEnd"/>
      <w:r w:rsidRPr="00DC4817">
        <w:rPr>
          <w:rFonts w:ascii="Garamond" w:hAnsi="Garamond"/>
          <w:sz w:val="21"/>
          <w:szCs w:val="21"/>
        </w:rPr>
        <w:t xml:space="preserve"> for </w:t>
      </w:r>
      <w:proofErr w:type="spellStart"/>
      <w:r w:rsidRPr="00DC4817">
        <w:rPr>
          <w:rFonts w:ascii="Garamond" w:hAnsi="Garamond"/>
          <w:sz w:val="21"/>
          <w:szCs w:val="21"/>
        </w:rPr>
        <w:t>Foreign</w:t>
      </w:r>
      <w:proofErr w:type="spellEnd"/>
      <w:r w:rsidRPr="00DC4817">
        <w:rPr>
          <w:rFonts w:ascii="Garamond" w:hAnsi="Garamond"/>
          <w:sz w:val="21"/>
          <w:szCs w:val="21"/>
        </w:rPr>
        <w:t xml:space="preserve"> Affairs and Security </w:t>
      </w:r>
      <w:proofErr w:type="spellStart"/>
      <w:r w:rsidRPr="00DC4817">
        <w:rPr>
          <w:rFonts w:ascii="Garamond" w:hAnsi="Garamond"/>
          <w:sz w:val="21"/>
          <w:szCs w:val="21"/>
        </w:rPr>
        <w:t>Policies</w:t>
      </w:r>
      <w:proofErr w:type="spellEnd"/>
      <w:r w:rsidRPr="00DC4817">
        <w:rPr>
          <w:rFonts w:ascii="Garamond" w:hAnsi="Garamond"/>
          <w:sz w:val="21"/>
          <w:szCs w:val="21"/>
        </w:rPr>
        <w:t xml:space="preserve">). </w:t>
      </w:r>
      <w:r>
        <w:rPr>
          <w:rFonts w:ascii="Garamond" w:hAnsi="Garamond"/>
          <w:sz w:val="21"/>
          <w:szCs w:val="21"/>
          <w:lang w:val="en-US"/>
        </w:rPr>
        <w:t xml:space="preserve">I </w:t>
      </w:r>
      <w:proofErr w:type="spellStart"/>
      <w:r>
        <w:rPr>
          <w:rFonts w:ascii="Garamond" w:hAnsi="Garamond"/>
          <w:sz w:val="21"/>
          <w:szCs w:val="21"/>
          <w:lang w:val="en-US"/>
        </w:rPr>
        <w:t>testi</w:t>
      </w:r>
      <w:proofErr w:type="spellEnd"/>
      <w:r>
        <w:rPr>
          <w:rFonts w:ascii="Garamond" w:hAnsi="Garamond"/>
          <w:sz w:val="21"/>
          <w:szCs w:val="21"/>
          <w:lang w:val="en-US"/>
        </w:rPr>
        <w:t xml:space="preserve"> di </w:t>
      </w:r>
      <w:proofErr w:type="spellStart"/>
      <w:r>
        <w:rPr>
          <w:rFonts w:ascii="Garamond" w:hAnsi="Garamond"/>
          <w:sz w:val="21"/>
          <w:szCs w:val="21"/>
          <w:lang w:val="en-US"/>
        </w:rPr>
        <w:t>riferimento</w:t>
      </w:r>
      <w:proofErr w:type="spellEnd"/>
      <w:r>
        <w:rPr>
          <w:rFonts w:ascii="Garamond" w:hAnsi="Garamond"/>
          <w:sz w:val="21"/>
          <w:szCs w:val="21"/>
          <w:lang w:val="en-US"/>
        </w:rPr>
        <w:t xml:space="preserve"> </w:t>
      </w:r>
      <w:proofErr w:type="spellStart"/>
      <w:r>
        <w:rPr>
          <w:rFonts w:ascii="Garamond" w:hAnsi="Garamond"/>
          <w:sz w:val="21"/>
          <w:szCs w:val="21"/>
          <w:lang w:val="en-US"/>
        </w:rPr>
        <w:t>sono</w:t>
      </w:r>
      <w:proofErr w:type="spellEnd"/>
      <w:r w:rsidRPr="00DC4817">
        <w:rPr>
          <w:rFonts w:ascii="Garamond" w:hAnsi="Garamond"/>
          <w:sz w:val="21"/>
          <w:szCs w:val="21"/>
          <w:lang w:val="en-US"/>
        </w:rPr>
        <w:t xml:space="preserve"> la</w:t>
      </w:r>
      <w:r w:rsidRPr="00DC4817">
        <w:rPr>
          <w:rFonts w:ascii="Garamond" w:hAnsi="Garamond"/>
          <w:i/>
          <w:sz w:val="21"/>
          <w:szCs w:val="21"/>
          <w:lang w:val="fr-FR"/>
        </w:rPr>
        <w:t xml:space="preserve"> </w:t>
      </w:r>
      <w:proofErr w:type="spellStart"/>
      <w:r w:rsidRPr="00DC4817">
        <w:rPr>
          <w:rFonts w:ascii="Garamond" w:hAnsi="Garamond"/>
          <w:i/>
          <w:sz w:val="21"/>
          <w:szCs w:val="21"/>
          <w:lang w:val="fr-FR"/>
        </w:rPr>
        <w:t>European</w:t>
      </w:r>
      <w:proofErr w:type="spellEnd"/>
      <w:r w:rsidRPr="00DC4817">
        <w:rPr>
          <w:rFonts w:ascii="Garamond" w:hAnsi="Garamond"/>
          <w:i/>
          <w:sz w:val="21"/>
          <w:szCs w:val="21"/>
          <w:lang w:val="fr-FR"/>
        </w:rPr>
        <w:t xml:space="preserve"> Agenda on Migration</w:t>
      </w:r>
      <w:r w:rsidRPr="00DC4817">
        <w:rPr>
          <w:rFonts w:ascii="Garamond" w:hAnsi="Garamond"/>
          <w:sz w:val="21"/>
          <w:szCs w:val="21"/>
          <w:lang w:val="fr-FR"/>
        </w:rPr>
        <w:t xml:space="preserve"> </w:t>
      </w:r>
      <w:proofErr w:type="spellStart"/>
      <w:r w:rsidRPr="00DC4817">
        <w:rPr>
          <w:rFonts w:ascii="Garamond" w:hAnsi="Garamond"/>
          <w:sz w:val="21"/>
          <w:szCs w:val="21"/>
          <w:lang w:val="fr-FR"/>
        </w:rPr>
        <w:t>del</w:t>
      </w:r>
      <w:proofErr w:type="spellEnd"/>
      <w:r w:rsidRPr="00DC4817">
        <w:rPr>
          <w:rFonts w:ascii="Garamond" w:hAnsi="Garamond"/>
          <w:sz w:val="21"/>
          <w:szCs w:val="21"/>
          <w:lang w:val="fr-FR"/>
        </w:rPr>
        <w:t xml:space="preserve"> </w:t>
      </w:r>
      <w:proofErr w:type="spellStart"/>
      <w:r w:rsidRPr="00DC4817">
        <w:rPr>
          <w:rFonts w:ascii="Garamond" w:hAnsi="Garamond"/>
          <w:sz w:val="21"/>
          <w:szCs w:val="21"/>
          <w:lang w:val="fr-FR"/>
        </w:rPr>
        <w:t>maggio</w:t>
      </w:r>
      <w:proofErr w:type="spellEnd"/>
      <w:r w:rsidRPr="00DC4817">
        <w:rPr>
          <w:rFonts w:ascii="Garamond" w:hAnsi="Garamond"/>
          <w:sz w:val="21"/>
          <w:szCs w:val="21"/>
          <w:lang w:val="fr-FR"/>
        </w:rPr>
        <w:t xml:space="preserve"> 2015</w:t>
      </w:r>
      <w:r>
        <w:rPr>
          <w:rFonts w:ascii="Garamond" w:hAnsi="Garamond"/>
          <w:sz w:val="21"/>
          <w:szCs w:val="21"/>
          <w:lang w:val="fr-FR"/>
        </w:rPr>
        <w:t xml:space="preserve">, </w:t>
      </w:r>
      <w:proofErr w:type="spellStart"/>
      <w:r>
        <w:rPr>
          <w:rFonts w:ascii="Garamond" w:hAnsi="Garamond"/>
          <w:sz w:val="21"/>
          <w:szCs w:val="21"/>
          <w:lang w:val="fr-FR"/>
        </w:rPr>
        <w:t>riscritta</w:t>
      </w:r>
      <w:proofErr w:type="spellEnd"/>
      <w:r>
        <w:rPr>
          <w:rFonts w:ascii="Garamond" w:hAnsi="Garamond"/>
          <w:sz w:val="21"/>
          <w:szCs w:val="21"/>
          <w:lang w:val="fr-FR"/>
        </w:rPr>
        <w:t xml:space="preserve"> </w:t>
      </w:r>
      <w:proofErr w:type="spellStart"/>
      <w:r>
        <w:rPr>
          <w:rFonts w:ascii="Garamond" w:hAnsi="Garamond"/>
          <w:sz w:val="21"/>
          <w:szCs w:val="21"/>
          <w:lang w:val="fr-FR"/>
        </w:rPr>
        <w:t>nell’ottobre</w:t>
      </w:r>
      <w:proofErr w:type="spellEnd"/>
      <w:r>
        <w:rPr>
          <w:rFonts w:ascii="Garamond" w:hAnsi="Garamond"/>
          <w:sz w:val="21"/>
          <w:szCs w:val="21"/>
          <w:lang w:val="fr-FR"/>
        </w:rPr>
        <w:t xml:space="preserve"> 2015</w:t>
      </w:r>
      <w:r w:rsidRPr="008C5BED">
        <w:rPr>
          <w:rFonts w:ascii="Garamond" w:hAnsi="Garamond"/>
          <w:sz w:val="21"/>
          <w:szCs w:val="21"/>
          <w:vertAlign w:val="superscript"/>
          <w:lang w:val="en-GB"/>
        </w:rPr>
        <w:footnoteReference w:id="5"/>
      </w:r>
      <w:r>
        <w:rPr>
          <w:rFonts w:ascii="Garamond" w:hAnsi="Garamond"/>
          <w:sz w:val="21"/>
          <w:szCs w:val="21"/>
          <w:lang w:val="fr-FR"/>
        </w:rPr>
        <w:t xml:space="preserve"> e la </w:t>
      </w:r>
      <w:proofErr w:type="spellStart"/>
      <w:r>
        <w:rPr>
          <w:rFonts w:ascii="Garamond" w:hAnsi="Garamond"/>
          <w:sz w:val="21"/>
          <w:szCs w:val="21"/>
          <w:lang w:val="fr-FR"/>
        </w:rPr>
        <w:t>rassegna</w:t>
      </w:r>
      <w:proofErr w:type="spellEnd"/>
      <w:r>
        <w:rPr>
          <w:rFonts w:ascii="Garamond" w:hAnsi="Garamond"/>
          <w:sz w:val="21"/>
          <w:szCs w:val="21"/>
          <w:lang w:val="fr-FR"/>
        </w:rPr>
        <w:t xml:space="preserve"> </w:t>
      </w:r>
      <w:proofErr w:type="spellStart"/>
      <w:r>
        <w:rPr>
          <w:rFonts w:ascii="Garamond" w:hAnsi="Garamond"/>
          <w:sz w:val="21"/>
          <w:szCs w:val="21"/>
          <w:lang w:val="fr-FR"/>
        </w:rPr>
        <w:t>stocktaking</w:t>
      </w:r>
      <w:proofErr w:type="spellEnd"/>
      <w:r>
        <w:rPr>
          <w:rFonts w:ascii="Garamond" w:hAnsi="Garamond"/>
          <w:sz w:val="21"/>
          <w:szCs w:val="21"/>
          <w:lang w:val="fr-FR"/>
        </w:rPr>
        <w:t xml:space="preserve"> </w:t>
      </w:r>
      <w:r w:rsidRPr="00DC4817">
        <w:rPr>
          <w:rFonts w:ascii="Garamond" w:hAnsi="Garamond"/>
          <w:i/>
          <w:sz w:val="21"/>
          <w:szCs w:val="21"/>
          <w:lang w:val="en-US"/>
        </w:rPr>
        <w:t>EU Funds for Migration Policies: Analysis of Efficiency and Best Practice for the Future: Study</w:t>
      </w:r>
      <w:r w:rsidRPr="008C5BED">
        <w:rPr>
          <w:rFonts w:ascii="Garamond" w:hAnsi="Garamond"/>
          <w:sz w:val="21"/>
          <w:szCs w:val="21"/>
          <w:vertAlign w:val="superscript"/>
          <w:lang w:val="en-GB"/>
        </w:rPr>
        <w:footnoteReference w:id="6"/>
      </w:r>
      <w:r>
        <w:rPr>
          <w:rFonts w:ascii="Garamond" w:hAnsi="Garamond"/>
          <w:sz w:val="21"/>
          <w:szCs w:val="21"/>
          <w:vertAlign w:val="superscript"/>
          <w:lang w:val="en-GB"/>
        </w:rPr>
        <w:t xml:space="preserve">; </w:t>
      </w:r>
      <w:r>
        <w:rPr>
          <w:rFonts w:ascii="Garamond" w:hAnsi="Garamond"/>
          <w:sz w:val="21"/>
          <w:szCs w:val="21"/>
          <w:lang w:val="en-US"/>
        </w:rPr>
        <w:t>come pure lo</w:t>
      </w:r>
      <w:r w:rsidRPr="008C5BED">
        <w:rPr>
          <w:rFonts w:ascii="Garamond" w:hAnsi="Garamond"/>
          <w:sz w:val="21"/>
          <w:szCs w:val="21"/>
          <w:lang w:val="en-US"/>
        </w:rPr>
        <w:t xml:space="preserve"> </w:t>
      </w:r>
      <w:r w:rsidRPr="008C5BED">
        <w:rPr>
          <w:rFonts w:ascii="Garamond" w:hAnsi="Garamond"/>
          <w:i/>
          <w:sz w:val="21"/>
          <w:szCs w:val="21"/>
          <w:lang w:val="en-US"/>
        </w:rPr>
        <w:t>European Council statement</w:t>
      </w:r>
      <w:r w:rsidRPr="008C5BED">
        <w:rPr>
          <w:rFonts w:ascii="Garamond" w:hAnsi="Garamond"/>
          <w:i/>
          <w:sz w:val="21"/>
          <w:szCs w:val="21"/>
          <w:vertAlign w:val="superscript"/>
          <w:lang w:val="en-US"/>
        </w:rPr>
        <w:t xml:space="preserve"> </w:t>
      </w:r>
      <w:r w:rsidRPr="008C5BED">
        <w:rPr>
          <w:rFonts w:ascii="Garamond" w:hAnsi="Garamond"/>
          <w:i/>
          <w:sz w:val="21"/>
          <w:szCs w:val="21"/>
          <w:lang w:val="en-US"/>
        </w:rPr>
        <w:t>of 23 April 2015 on The situation in the Mediterranean</w:t>
      </w:r>
      <w:r w:rsidRPr="008C5BED">
        <w:rPr>
          <w:rFonts w:ascii="Garamond" w:hAnsi="Garamond"/>
          <w:sz w:val="21"/>
          <w:szCs w:val="21"/>
          <w:vertAlign w:val="superscript"/>
          <w:lang w:val="en-US"/>
        </w:rPr>
        <w:footnoteReference w:id="7"/>
      </w:r>
      <w:r>
        <w:rPr>
          <w:rFonts w:ascii="Garamond" w:hAnsi="Garamond"/>
          <w:sz w:val="21"/>
          <w:szCs w:val="21"/>
          <w:lang w:val="en-US"/>
        </w:rPr>
        <w:t xml:space="preserve"> e la</w:t>
      </w:r>
      <w:r w:rsidRPr="008C5BED">
        <w:rPr>
          <w:rFonts w:ascii="Garamond" w:hAnsi="Garamond"/>
          <w:b/>
          <w:bCs/>
          <w:sz w:val="21"/>
          <w:szCs w:val="21"/>
          <w:lang w:val="en-GB"/>
        </w:rPr>
        <w:t xml:space="preserve"> </w:t>
      </w:r>
      <w:r w:rsidRPr="008C5BED">
        <w:rPr>
          <w:rFonts w:ascii="Garamond" w:hAnsi="Garamond"/>
          <w:i/>
          <w:sz w:val="21"/>
          <w:szCs w:val="21"/>
          <w:lang w:val="en-US"/>
        </w:rPr>
        <w:t>European Pa</w:t>
      </w:r>
      <w:r>
        <w:rPr>
          <w:rFonts w:ascii="Garamond" w:hAnsi="Garamond"/>
          <w:i/>
          <w:sz w:val="21"/>
          <w:szCs w:val="21"/>
          <w:lang w:val="en-US"/>
        </w:rPr>
        <w:t xml:space="preserve">rliament Resolution Roadmap on </w:t>
      </w:r>
      <w:r w:rsidRPr="008C5BED">
        <w:rPr>
          <w:rFonts w:ascii="Garamond" w:hAnsi="Garamond"/>
          <w:i/>
          <w:sz w:val="21"/>
          <w:szCs w:val="21"/>
          <w:lang w:val="en-US"/>
        </w:rPr>
        <w:t>Migration</w:t>
      </w:r>
      <w:r w:rsidRPr="008C5BED">
        <w:rPr>
          <w:rFonts w:ascii="Garamond" w:hAnsi="Garamond"/>
          <w:sz w:val="21"/>
          <w:szCs w:val="21"/>
          <w:vertAlign w:val="superscript"/>
          <w:lang w:val="en-US"/>
        </w:rPr>
        <w:footnoteReference w:id="8"/>
      </w:r>
      <w:r w:rsidRPr="00DC4817">
        <w:rPr>
          <w:rFonts w:ascii="Garamond" w:hAnsi="Garamond"/>
          <w:sz w:val="21"/>
          <w:szCs w:val="21"/>
          <w:lang w:val="en-US"/>
        </w:rPr>
        <w:t xml:space="preserve">. </w:t>
      </w:r>
    </w:p>
    <w:p w14:paraId="15C7C4AF" w14:textId="08D994EC" w:rsidR="00DC4817" w:rsidRPr="00DC4817" w:rsidRDefault="00DD212C" w:rsidP="00DC4817">
      <w:pPr>
        <w:spacing w:before="120"/>
        <w:ind w:right="284"/>
        <w:jc w:val="both"/>
        <w:rPr>
          <w:rFonts w:ascii="Garamond" w:hAnsi="Garamond"/>
          <w:sz w:val="21"/>
          <w:szCs w:val="21"/>
        </w:rPr>
      </w:pPr>
      <w:r>
        <w:rPr>
          <w:rFonts w:ascii="Garamond" w:hAnsi="Garamond"/>
          <w:sz w:val="21"/>
          <w:szCs w:val="21"/>
        </w:rPr>
        <w:t>Il CNR intende contribuire</w:t>
      </w:r>
      <w:r w:rsidR="00AB1412" w:rsidRPr="00DC4817">
        <w:rPr>
          <w:rFonts w:ascii="Garamond" w:hAnsi="Garamond"/>
          <w:sz w:val="21"/>
          <w:szCs w:val="21"/>
        </w:rPr>
        <w:t xml:space="preserve"> alla discussione in atto sulle sfide culturali, sociali, ambientali ed economiche che la crisi dei migranti pone all’Italia e all’Europa e alla comunità internazionale. </w:t>
      </w:r>
      <w:r w:rsidR="00AB1412">
        <w:rPr>
          <w:rFonts w:ascii="Garamond" w:hAnsi="Garamond"/>
          <w:sz w:val="21"/>
          <w:szCs w:val="21"/>
          <w:lang w:val="de-DE"/>
        </w:rPr>
        <w:t xml:space="preserve">Su </w:t>
      </w:r>
      <w:proofErr w:type="spellStart"/>
      <w:r w:rsidR="00AB1412">
        <w:rPr>
          <w:rFonts w:ascii="Garamond" w:hAnsi="Garamond"/>
          <w:sz w:val="21"/>
          <w:szCs w:val="21"/>
          <w:lang w:val="de-DE"/>
        </w:rPr>
        <w:t>un</w:t>
      </w:r>
      <w:proofErr w:type="spellEnd"/>
      <w:r w:rsidR="00AB1412">
        <w:rPr>
          <w:rFonts w:ascii="Garamond" w:hAnsi="Garamond"/>
          <w:sz w:val="21"/>
          <w:szCs w:val="21"/>
          <w:lang w:val="de-DE"/>
        </w:rPr>
        <w:t xml:space="preserve"> </w:t>
      </w:r>
      <w:proofErr w:type="spellStart"/>
      <w:r w:rsidR="00AB1412">
        <w:rPr>
          <w:rFonts w:ascii="Garamond" w:hAnsi="Garamond"/>
          <w:sz w:val="21"/>
          <w:szCs w:val="21"/>
          <w:lang w:val="de-DE"/>
        </w:rPr>
        <w:t>progetto</w:t>
      </w:r>
      <w:proofErr w:type="spellEnd"/>
      <w:r w:rsidR="00AB1412">
        <w:rPr>
          <w:rFonts w:ascii="Garamond" w:hAnsi="Garamond"/>
          <w:sz w:val="21"/>
          <w:szCs w:val="21"/>
          <w:lang w:val="de-DE"/>
        </w:rPr>
        <w:t xml:space="preserve"> d</w:t>
      </w:r>
      <w:r w:rsidR="00AB1412">
        <w:rPr>
          <w:rFonts w:ascii="Garamond" w:hAnsi="Garamond"/>
          <w:sz w:val="21"/>
          <w:szCs w:val="21"/>
        </w:rPr>
        <w:t>’</w:t>
      </w:r>
      <w:r w:rsidR="00AB1412">
        <w:rPr>
          <w:rFonts w:ascii="Garamond" w:hAnsi="Garamond"/>
          <w:sz w:val="21"/>
          <w:szCs w:val="21"/>
          <w:lang w:val="de-DE"/>
        </w:rPr>
        <w:t xml:space="preserve">Ente </w:t>
      </w:r>
      <w:r w:rsidR="00AB1412">
        <w:rPr>
          <w:rFonts w:ascii="Garamond" w:hAnsi="Garamond"/>
          <w:sz w:val="21"/>
          <w:szCs w:val="21"/>
        </w:rPr>
        <w:t>coordinato</w:t>
      </w:r>
      <w:r w:rsidR="00AB1412" w:rsidRPr="000C405B">
        <w:rPr>
          <w:rFonts w:ascii="Garamond" w:hAnsi="Garamond"/>
          <w:sz w:val="21"/>
          <w:szCs w:val="21"/>
        </w:rPr>
        <w:t xml:space="preserve"> dal Dipartimento Scienze Umane e Sociali, Patrimonio Culturale </w:t>
      </w:r>
      <w:r w:rsidR="00AB1412">
        <w:rPr>
          <w:rFonts w:ascii="Garamond" w:hAnsi="Garamond"/>
          <w:sz w:val="21"/>
          <w:szCs w:val="21"/>
        </w:rPr>
        <w:t>stanno lavorando ricercatori provenienti da tutti e</w:t>
      </w:r>
      <w:r w:rsidR="000C405B" w:rsidRPr="000C405B">
        <w:rPr>
          <w:rFonts w:ascii="Garamond" w:hAnsi="Garamond"/>
          <w:sz w:val="21"/>
          <w:szCs w:val="21"/>
        </w:rPr>
        <w:t xml:space="preserve"> sette </w:t>
      </w:r>
      <w:r w:rsidR="00AB1412">
        <w:rPr>
          <w:rFonts w:ascii="Garamond" w:hAnsi="Garamond"/>
          <w:sz w:val="21"/>
          <w:szCs w:val="21"/>
        </w:rPr>
        <w:t xml:space="preserve">i </w:t>
      </w:r>
      <w:r w:rsidR="000C405B" w:rsidRPr="000C405B">
        <w:rPr>
          <w:rFonts w:ascii="Garamond" w:hAnsi="Garamond"/>
          <w:sz w:val="21"/>
          <w:szCs w:val="21"/>
        </w:rPr>
        <w:t xml:space="preserve">dipartimenti del CNR (Ingegneria, ICT e Tecnologie per l’Energia e i Trasporti; Scienze </w:t>
      </w:r>
      <w:proofErr w:type="spellStart"/>
      <w:r w:rsidR="000C405B" w:rsidRPr="000C405B">
        <w:rPr>
          <w:rFonts w:ascii="Garamond" w:hAnsi="Garamond"/>
          <w:sz w:val="21"/>
          <w:szCs w:val="21"/>
        </w:rPr>
        <w:t>Bio</w:t>
      </w:r>
      <w:proofErr w:type="spellEnd"/>
      <w:r w:rsidR="000C405B" w:rsidRPr="000C405B">
        <w:rPr>
          <w:rFonts w:ascii="Garamond" w:hAnsi="Garamond"/>
          <w:sz w:val="21"/>
          <w:szCs w:val="21"/>
        </w:rPr>
        <w:t>-Agroalimentari; Scienze Biomediche; Scienze Chimiche e Tecnologie dei Materiali; Scienze Fisiche e Tecnologie della Materia; Scienze del Sistema Terra e Tecnologie per l’Ambiente, Dipartimento Scienze Umane e</w:t>
      </w:r>
      <w:r w:rsidR="00AB1412">
        <w:rPr>
          <w:rFonts w:ascii="Garamond" w:hAnsi="Garamond"/>
          <w:sz w:val="21"/>
          <w:szCs w:val="21"/>
        </w:rPr>
        <w:t xml:space="preserve"> Sociali, Patrimonio Culturale)</w:t>
      </w:r>
      <w:r w:rsidR="000C405B" w:rsidRPr="000C405B">
        <w:rPr>
          <w:rFonts w:ascii="Garamond" w:hAnsi="Garamond"/>
          <w:sz w:val="21"/>
          <w:szCs w:val="21"/>
        </w:rPr>
        <w:t xml:space="preserve">. </w:t>
      </w:r>
      <w:r w:rsidR="00AB1412">
        <w:rPr>
          <w:rFonts w:ascii="Garamond" w:hAnsi="Garamond"/>
          <w:sz w:val="21"/>
          <w:szCs w:val="21"/>
        </w:rPr>
        <w:t xml:space="preserve">L’obiettivo è realizzare </w:t>
      </w:r>
      <w:r w:rsidR="00DC4817" w:rsidRPr="00DC4817">
        <w:rPr>
          <w:rFonts w:ascii="Garamond" w:hAnsi="Garamond"/>
          <w:sz w:val="21"/>
          <w:szCs w:val="21"/>
        </w:rPr>
        <w:t xml:space="preserve">una società inclusiva, aperta, plurale, innovativa, cosciente e sicura, capace di far fronte all’emergenza migrazioni, che richiede interventi integrati su più fronti e in diversi ambiti, includendo anche la responsabilità di salvaguardare il patrimonio di culture, </w:t>
      </w:r>
      <w:proofErr w:type="spellStart"/>
      <w:r w:rsidR="00DC4817" w:rsidRPr="00DC4817">
        <w:rPr>
          <w:rFonts w:ascii="Garamond" w:hAnsi="Garamond"/>
          <w:sz w:val="21"/>
          <w:szCs w:val="21"/>
        </w:rPr>
        <w:t>saperi</w:t>
      </w:r>
      <w:proofErr w:type="spellEnd"/>
      <w:r w:rsidR="00DC4817" w:rsidRPr="00DC4817">
        <w:rPr>
          <w:rFonts w:ascii="Garamond" w:hAnsi="Garamond"/>
          <w:sz w:val="21"/>
          <w:szCs w:val="21"/>
        </w:rPr>
        <w:t xml:space="preserve"> tramandati, diversità e biodiversità. </w:t>
      </w:r>
    </w:p>
    <w:p w14:paraId="2BD123E6" w14:textId="77777777" w:rsidR="00DC4817" w:rsidRPr="00DC4817" w:rsidRDefault="00DC4817" w:rsidP="00DC4817">
      <w:pPr>
        <w:spacing w:before="120"/>
        <w:ind w:right="284"/>
        <w:jc w:val="both"/>
        <w:rPr>
          <w:rFonts w:ascii="Garamond" w:hAnsi="Garamond"/>
          <w:sz w:val="21"/>
          <w:szCs w:val="21"/>
        </w:rPr>
      </w:pPr>
      <w:r w:rsidRPr="00DC4817">
        <w:rPr>
          <w:rFonts w:ascii="Garamond" w:hAnsi="Garamond"/>
          <w:sz w:val="21"/>
          <w:szCs w:val="21"/>
        </w:rPr>
        <w:t xml:space="preserve">La scienza del ventunesimo secolo è globale, </w:t>
      </w:r>
      <w:proofErr w:type="gramStart"/>
      <w:r w:rsidRPr="00DC4817">
        <w:rPr>
          <w:rFonts w:ascii="Garamond" w:hAnsi="Garamond"/>
          <w:sz w:val="21"/>
          <w:szCs w:val="21"/>
        </w:rPr>
        <w:t>interdisciplinare</w:t>
      </w:r>
      <w:proofErr w:type="gramEnd"/>
      <w:r w:rsidRPr="00DC4817">
        <w:rPr>
          <w:rFonts w:ascii="Garamond" w:hAnsi="Garamond"/>
          <w:sz w:val="21"/>
          <w:szCs w:val="21"/>
        </w:rPr>
        <w:t xml:space="preserve"> e data-</w:t>
      </w:r>
      <w:proofErr w:type="spellStart"/>
      <w:r w:rsidRPr="00DC4817">
        <w:rPr>
          <w:rFonts w:ascii="Garamond" w:hAnsi="Garamond"/>
          <w:sz w:val="21"/>
          <w:szCs w:val="21"/>
        </w:rPr>
        <w:t>driven</w:t>
      </w:r>
      <w:proofErr w:type="spellEnd"/>
      <w:r w:rsidRPr="00DC4817">
        <w:rPr>
          <w:rFonts w:ascii="Garamond" w:hAnsi="Garamond"/>
          <w:sz w:val="21"/>
          <w:szCs w:val="21"/>
        </w:rPr>
        <w:t xml:space="preserve">. Si presuppone che i Big Data siano connessi per lo più alle scienze dure e al commercio, ma le scienze umane e sociali sono altrettanto esposte ai problemi e alle opportunità offerte dalla crescita </w:t>
      </w:r>
      <w:proofErr w:type="gramStart"/>
      <w:r w:rsidRPr="00DC4817">
        <w:rPr>
          <w:rFonts w:ascii="Garamond" w:hAnsi="Garamond"/>
          <w:sz w:val="21"/>
          <w:szCs w:val="21"/>
        </w:rPr>
        <w:t>esponenziale</w:t>
      </w:r>
      <w:proofErr w:type="gramEnd"/>
      <w:r w:rsidRPr="00DC4817">
        <w:rPr>
          <w:rFonts w:ascii="Garamond" w:hAnsi="Garamond"/>
          <w:sz w:val="21"/>
          <w:szCs w:val="21"/>
        </w:rPr>
        <w:t xml:space="preserve"> di dati digitali, </w:t>
      </w:r>
      <w:proofErr w:type="spellStart"/>
      <w:r w:rsidRPr="00DC4817">
        <w:rPr>
          <w:rFonts w:ascii="Garamond" w:hAnsi="Garamond"/>
          <w:sz w:val="21"/>
          <w:szCs w:val="21"/>
        </w:rPr>
        <w:t>asset</w:t>
      </w:r>
      <w:proofErr w:type="spellEnd"/>
      <w:r w:rsidRPr="00DC4817">
        <w:rPr>
          <w:rFonts w:ascii="Garamond" w:hAnsi="Garamond"/>
          <w:sz w:val="21"/>
          <w:szCs w:val="21"/>
        </w:rPr>
        <w:t xml:space="preserve"> ad alta velocità, alto volume e alta varietà di informazioni, che richiedono nuove forme di analisi per osservare, misurare e anche prevedere fenomeni sociali a scale spazio temporali inaccessibili con i metodi di raccolta dati classici. </w:t>
      </w:r>
    </w:p>
    <w:p w14:paraId="115AFC7C" w14:textId="77777777" w:rsidR="00DC4817" w:rsidRPr="00DC4817" w:rsidRDefault="00DC4817" w:rsidP="00DC4817">
      <w:pPr>
        <w:spacing w:before="120"/>
        <w:ind w:right="284"/>
        <w:jc w:val="both"/>
        <w:rPr>
          <w:rFonts w:ascii="Garamond" w:hAnsi="Garamond"/>
          <w:sz w:val="21"/>
          <w:szCs w:val="21"/>
        </w:rPr>
      </w:pPr>
      <w:r>
        <w:rPr>
          <w:rFonts w:ascii="Garamond" w:hAnsi="Garamond"/>
          <w:sz w:val="21"/>
          <w:szCs w:val="21"/>
        </w:rPr>
        <w:lastRenderedPageBreak/>
        <w:t>Il CNR</w:t>
      </w:r>
      <w:r w:rsidRPr="00DC4817">
        <w:rPr>
          <w:rFonts w:ascii="Garamond" w:hAnsi="Garamond"/>
          <w:sz w:val="21"/>
          <w:szCs w:val="21"/>
        </w:rPr>
        <w:t xml:space="preserve"> accoglie la nuova sfida scientifica della creazione di una Data Science per la </w:t>
      </w:r>
      <w:proofErr w:type="spellStart"/>
      <w:r w:rsidRPr="00DC4817">
        <w:rPr>
          <w:rFonts w:ascii="Garamond" w:hAnsi="Garamond"/>
          <w:sz w:val="21"/>
          <w:szCs w:val="21"/>
        </w:rPr>
        <w:t>Computational</w:t>
      </w:r>
      <w:proofErr w:type="spellEnd"/>
      <w:r w:rsidRPr="00DC4817">
        <w:rPr>
          <w:rFonts w:ascii="Garamond" w:hAnsi="Garamond"/>
          <w:sz w:val="21"/>
          <w:szCs w:val="21"/>
        </w:rPr>
        <w:t xml:space="preserve"> Social Science e per le Data </w:t>
      </w:r>
      <w:proofErr w:type="spellStart"/>
      <w:r w:rsidRPr="00DC4817">
        <w:rPr>
          <w:rFonts w:ascii="Garamond" w:hAnsi="Garamond"/>
          <w:sz w:val="21"/>
          <w:szCs w:val="21"/>
        </w:rPr>
        <w:t>Humanities</w:t>
      </w:r>
      <w:proofErr w:type="spellEnd"/>
      <w:r w:rsidRPr="00DC4817">
        <w:rPr>
          <w:rFonts w:ascii="Garamond" w:hAnsi="Garamond"/>
          <w:sz w:val="21"/>
          <w:szCs w:val="21"/>
        </w:rPr>
        <w:t xml:space="preserve">. La prospettiva è un cambio di paradigma che investa tutte le discipline spingendo verso un approccio scientifico ibrido in cui la modellizzazione top-down dei fenomeni trova una nuova sintesi con la scoperta di conoscenze bottom-up, che emergono dalle grandi masse di dati disponibili. </w:t>
      </w:r>
      <w:r>
        <w:rPr>
          <w:rFonts w:ascii="Garamond" w:hAnsi="Garamond"/>
          <w:sz w:val="21"/>
          <w:szCs w:val="21"/>
        </w:rPr>
        <w:t>Il CNR</w:t>
      </w:r>
      <w:r w:rsidRPr="00DC4817">
        <w:rPr>
          <w:rFonts w:ascii="Garamond" w:hAnsi="Garamond"/>
          <w:sz w:val="21"/>
          <w:szCs w:val="21"/>
        </w:rPr>
        <w:t xml:space="preserve"> propone esperimenti sui dati visti non solo come validazione di teorie preconfezionate, ma anche come scoperta di pattern emergenti che possono suggerire agli scienziati nuove teorie e </w:t>
      </w:r>
      <w:proofErr w:type="gramStart"/>
      <w:r w:rsidRPr="00DC4817">
        <w:rPr>
          <w:rFonts w:ascii="Garamond" w:hAnsi="Garamond"/>
          <w:sz w:val="21"/>
          <w:szCs w:val="21"/>
        </w:rPr>
        <w:t>nuovi</w:t>
      </w:r>
      <w:proofErr w:type="gramEnd"/>
      <w:r w:rsidRPr="00DC4817">
        <w:rPr>
          <w:rFonts w:ascii="Garamond" w:hAnsi="Garamond"/>
          <w:sz w:val="21"/>
          <w:szCs w:val="21"/>
        </w:rPr>
        <w:t xml:space="preserve"> modelli, in grado di spiegare più a fondo la complessità dei fenomeni sociali, economici, biologici, tecnologici, culturali. </w:t>
      </w:r>
      <w:r>
        <w:rPr>
          <w:rFonts w:ascii="Garamond" w:hAnsi="Garamond"/>
          <w:sz w:val="21"/>
          <w:szCs w:val="21"/>
        </w:rPr>
        <w:t>Il CNR</w:t>
      </w:r>
      <w:r w:rsidRPr="00DC4817">
        <w:rPr>
          <w:rFonts w:ascii="Garamond" w:hAnsi="Garamond"/>
          <w:sz w:val="21"/>
          <w:szCs w:val="21"/>
        </w:rPr>
        <w:t xml:space="preserve"> segue un approccio olistico che tocca simultaneamente i quattro domini della sostenibilità: culturale, sociale, ambientale, economica. </w:t>
      </w:r>
    </w:p>
    <w:p w14:paraId="6A94D0EC" w14:textId="77777777" w:rsidR="00DC4817" w:rsidRPr="00DC4817" w:rsidRDefault="007F0D35" w:rsidP="00DC4817">
      <w:pPr>
        <w:spacing w:before="120"/>
        <w:ind w:right="284"/>
        <w:jc w:val="both"/>
        <w:rPr>
          <w:rFonts w:ascii="Garamond" w:hAnsi="Garamond"/>
          <w:sz w:val="21"/>
          <w:szCs w:val="21"/>
        </w:rPr>
      </w:pPr>
      <w:proofErr w:type="gramStart"/>
      <w:r w:rsidRPr="007F0D35">
        <w:rPr>
          <w:rFonts w:ascii="Garamond" w:hAnsi="Garamond"/>
          <w:sz w:val="21"/>
          <w:szCs w:val="21"/>
        </w:rPr>
        <w:t>(a</w:t>
      </w:r>
      <w:proofErr w:type="gramEnd"/>
      <w:r w:rsidRPr="007F0D35">
        <w:rPr>
          <w:rFonts w:ascii="Garamond" w:hAnsi="Garamond"/>
          <w:sz w:val="21"/>
          <w:szCs w:val="21"/>
        </w:rPr>
        <w:t xml:space="preserve">) </w:t>
      </w:r>
      <w:r w:rsidR="00DC4817" w:rsidRPr="007F0D35">
        <w:rPr>
          <w:rFonts w:ascii="Garamond" w:hAnsi="Garamond"/>
          <w:i/>
          <w:sz w:val="21"/>
          <w:szCs w:val="21"/>
        </w:rPr>
        <w:t>Sostenibilità culturale</w:t>
      </w:r>
      <w:r w:rsidR="00DC4817" w:rsidRPr="00DC4817">
        <w:rPr>
          <w:rFonts w:ascii="Garamond" w:hAnsi="Garamond"/>
          <w:sz w:val="21"/>
          <w:szCs w:val="21"/>
        </w:rPr>
        <w:t xml:space="preserve">. Le migrazioni costituiscono il fulcro del dialogo interculturale e interregionale, in particolare nella dimensione della </w:t>
      </w:r>
      <w:proofErr w:type="spellStart"/>
      <w:r w:rsidR="00DC4817" w:rsidRPr="00DC4817">
        <w:rPr>
          <w:rFonts w:ascii="Garamond" w:hAnsi="Garamond"/>
          <w:i/>
          <w:sz w:val="21"/>
          <w:szCs w:val="21"/>
        </w:rPr>
        <w:t>translatio</w:t>
      </w:r>
      <w:proofErr w:type="spellEnd"/>
      <w:r w:rsidR="00DC4817" w:rsidRPr="00DC4817">
        <w:rPr>
          <w:rFonts w:ascii="Garamond" w:hAnsi="Garamond"/>
          <w:i/>
          <w:sz w:val="21"/>
          <w:szCs w:val="21"/>
        </w:rPr>
        <w:t xml:space="preserve"> </w:t>
      </w:r>
      <w:proofErr w:type="spellStart"/>
      <w:r w:rsidR="00DC4817" w:rsidRPr="00DC4817">
        <w:rPr>
          <w:rFonts w:ascii="Garamond" w:hAnsi="Garamond"/>
          <w:i/>
          <w:sz w:val="21"/>
          <w:szCs w:val="21"/>
        </w:rPr>
        <w:t>studiorum</w:t>
      </w:r>
      <w:proofErr w:type="spellEnd"/>
      <w:r w:rsidR="00DC4817" w:rsidRPr="00DC4817">
        <w:rPr>
          <w:rFonts w:ascii="Garamond" w:hAnsi="Garamond"/>
          <w:sz w:val="21"/>
          <w:szCs w:val="21"/>
        </w:rPr>
        <w:t xml:space="preserve"> mediterranea, che proprio intorno al passaggio delle culture attraverso e attorno al mare ha costruito un vero e proprio </w:t>
      </w:r>
      <w:r w:rsidR="00DC4817" w:rsidRPr="00DC4817">
        <w:rPr>
          <w:rFonts w:ascii="Garamond" w:hAnsi="Garamond"/>
          <w:i/>
          <w:sz w:val="21"/>
          <w:szCs w:val="21"/>
        </w:rPr>
        <w:t>modus vivendi</w:t>
      </w:r>
      <w:r w:rsidR="00DC4817" w:rsidRPr="00DC4817">
        <w:rPr>
          <w:rFonts w:ascii="Garamond" w:hAnsi="Garamond"/>
          <w:sz w:val="21"/>
          <w:szCs w:val="21"/>
        </w:rPr>
        <w:t xml:space="preserve">. Attorno a esse sono germogliati inoltre variegati fenomeni di </w:t>
      </w:r>
      <w:proofErr w:type="gramStart"/>
      <w:r w:rsidR="00DC4817" w:rsidRPr="00DC4817">
        <w:rPr>
          <w:rFonts w:ascii="Garamond" w:hAnsi="Garamond"/>
          <w:sz w:val="21"/>
          <w:szCs w:val="21"/>
        </w:rPr>
        <w:t>aggregazione</w:t>
      </w:r>
      <w:proofErr w:type="gramEnd"/>
      <w:r w:rsidR="00DC4817" w:rsidRPr="00DC4817">
        <w:rPr>
          <w:rFonts w:ascii="Garamond" w:hAnsi="Garamond"/>
          <w:sz w:val="21"/>
          <w:szCs w:val="21"/>
        </w:rPr>
        <w:t xml:space="preserve"> sociale finalizzati a conferire valore alla diversità culturale, religiosa e politica sia a livello di sistemi sia a livello di convinzioni personali. L’educazione rivolta ai migranti, agli operatori sociali e all’intera società di accoglienza svolge un </w:t>
      </w:r>
      <w:proofErr w:type="gramStart"/>
      <w:r w:rsidR="00DC4817" w:rsidRPr="00DC4817">
        <w:rPr>
          <w:rFonts w:ascii="Garamond" w:hAnsi="Garamond"/>
          <w:sz w:val="21"/>
          <w:szCs w:val="21"/>
        </w:rPr>
        <w:t>ulteriore</w:t>
      </w:r>
      <w:proofErr w:type="gramEnd"/>
      <w:r w:rsidR="00DC4817" w:rsidRPr="00DC4817">
        <w:rPr>
          <w:rFonts w:ascii="Garamond" w:hAnsi="Garamond"/>
          <w:sz w:val="21"/>
          <w:szCs w:val="21"/>
        </w:rPr>
        <w:t xml:space="preserve"> ruolo in questo poliedrico panorama e costituisce il primo strumento per prevenire o limitare effetti indesiderati di un’integrazione pensata senza il ricorso al sapere, prima tra tutte la xenofobia. I disagi legati alla mancata integrazione </w:t>
      </w:r>
      <w:r w:rsidR="00DC4817" w:rsidRPr="00DC4817">
        <w:rPr>
          <w:rFonts w:ascii="Garamond" w:hAnsi="Garamond"/>
          <w:iCs/>
          <w:sz w:val="21"/>
          <w:szCs w:val="21"/>
        </w:rPr>
        <w:t xml:space="preserve">hanno costi molto </w:t>
      </w:r>
      <w:proofErr w:type="gramStart"/>
      <w:r w:rsidR="00DC4817" w:rsidRPr="00DC4817">
        <w:rPr>
          <w:rFonts w:ascii="Garamond" w:hAnsi="Garamond"/>
          <w:iCs/>
          <w:sz w:val="21"/>
          <w:szCs w:val="21"/>
        </w:rPr>
        <w:t>elevati</w:t>
      </w:r>
      <w:proofErr w:type="gramEnd"/>
      <w:r w:rsidR="00DC4817" w:rsidRPr="00DC4817">
        <w:rPr>
          <w:rFonts w:ascii="Garamond" w:hAnsi="Garamond"/>
          <w:iCs/>
          <w:sz w:val="21"/>
          <w:szCs w:val="21"/>
        </w:rPr>
        <w:t xml:space="preserve"> sul piano fisico, psichico ed economico sia per i soggetti migranti sia per le società riceventi</w:t>
      </w:r>
      <w:r w:rsidR="00DC4817" w:rsidRPr="00DC4817">
        <w:rPr>
          <w:rFonts w:ascii="Garamond" w:hAnsi="Garamond"/>
          <w:i/>
          <w:sz w:val="21"/>
          <w:szCs w:val="21"/>
        </w:rPr>
        <w:t>.</w:t>
      </w:r>
      <w:r w:rsidR="00DC4817" w:rsidRPr="00DC4817">
        <w:rPr>
          <w:rFonts w:ascii="Garamond" w:hAnsi="Garamond"/>
          <w:sz w:val="21"/>
          <w:szCs w:val="21"/>
        </w:rPr>
        <w:t xml:space="preserve"> Una problematica di questa importanza e gravità non può essere affrontata con strumenti esclusivamente informativi, ma con progetti e programmi di portata nazionale che abbiano una valenza sperimentale strategica e strutturale. Per questo motivo i governi nazionali e l’UE stanno allocando notevoli risorse per scoprire come contrastare la xenofobia e la violenza estremista, </w:t>
      </w:r>
      <w:proofErr w:type="gramStart"/>
      <w:r w:rsidR="00DC4817" w:rsidRPr="00DC4817">
        <w:rPr>
          <w:rFonts w:ascii="Garamond" w:hAnsi="Garamond"/>
          <w:sz w:val="21"/>
          <w:szCs w:val="21"/>
        </w:rPr>
        <w:t>nel quadro del</w:t>
      </w:r>
      <w:proofErr w:type="gramEnd"/>
      <w:r w:rsidR="00DC4817" w:rsidRPr="00DC4817">
        <w:rPr>
          <w:rFonts w:ascii="Garamond" w:hAnsi="Garamond"/>
          <w:sz w:val="21"/>
          <w:szCs w:val="21"/>
        </w:rPr>
        <w:t xml:space="preserve"> piano di </w:t>
      </w:r>
      <w:r w:rsidR="00DC4817" w:rsidRPr="00DC4817">
        <w:rPr>
          <w:rFonts w:ascii="Garamond" w:hAnsi="Garamond"/>
          <w:sz w:val="21"/>
          <w:szCs w:val="21"/>
          <w:lang w:val="en-GB"/>
        </w:rPr>
        <w:t xml:space="preserve">Countering Violent Extremism </w:t>
      </w:r>
      <w:r w:rsidR="00DC4817" w:rsidRPr="00DC4817">
        <w:rPr>
          <w:rFonts w:ascii="Garamond" w:hAnsi="Garamond"/>
          <w:sz w:val="21"/>
          <w:szCs w:val="21"/>
        </w:rPr>
        <w:t>sostenuto dall’Italia. Di conseguenza, molteplici sono le domande e le offerte da parte di soggetti, pubblici e privati che aderiscono a iniziative per l’accoglienza e l’integrazione dei migranti. Nella società italiana ed europea, le migrazioni nel Mediterraneo chiedono una riflessione storica, filosofica, giuridica e religiosa che valorizzi e rivitalizzi le esperienze di convivenza e i sistemi di pacificazione del rapporto fra culture.</w:t>
      </w:r>
    </w:p>
    <w:p w14:paraId="6A1FF08F" w14:textId="77777777" w:rsidR="00DC4817" w:rsidRPr="00DC4817" w:rsidRDefault="007F0D35" w:rsidP="00DC4817">
      <w:pPr>
        <w:spacing w:before="120"/>
        <w:ind w:right="284"/>
        <w:jc w:val="both"/>
        <w:rPr>
          <w:rFonts w:ascii="Garamond" w:hAnsi="Garamond"/>
          <w:sz w:val="21"/>
          <w:szCs w:val="21"/>
        </w:rPr>
      </w:pPr>
      <w:proofErr w:type="gramStart"/>
      <w:r w:rsidRPr="007F0D35">
        <w:rPr>
          <w:rFonts w:ascii="Garamond" w:hAnsi="Garamond"/>
          <w:sz w:val="21"/>
          <w:szCs w:val="21"/>
        </w:rPr>
        <w:t>(b</w:t>
      </w:r>
      <w:proofErr w:type="gramEnd"/>
      <w:r w:rsidRPr="007F0D35">
        <w:rPr>
          <w:rFonts w:ascii="Garamond" w:hAnsi="Garamond"/>
          <w:sz w:val="21"/>
          <w:szCs w:val="21"/>
        </w:rPr>
        <w:t xml:space="preserve">) </w:t>
      </w:r>
      <w:r w:rsidR="00DC4817" w:rsidRPr="007F0D35">
        <w:rPr>
          <w:rFonts w:ascii="Garamond" w:hAnsi="Garamond"/>
          <w:i/>
          <w:sz w:val="21"/>
          <w:szCs w:val="21"/>
        </w:rPr>
        <w:t>Sostenibilità sociale</w:t>
      </w:r>
      <w:r w:rsidR="00DC4817" w:rsidRPr="00DC4817">
        <w:rPr>
          <w:rFonts w:ascii="Garamond" w:hAnsi="Garamond"/>
          <w:sz w:val="21"/>
          <w:szCs w:val="21"/>
        </w:rPr>
        <w:t xml:space="preserve">. Alle migrazioni è legato il tema del welfare e del suo uso efficiente: in un mondo sempre più popolato la risorsa </w:t>
      </w:r>
      <w:proofErr w:type="gramStart"/>
      <w:r w:rsidR="00DC4817" w:rsidRPr="00DC4817">
        <w:rPr>
          <w:rFonts w:ascii="Garamond" w:hAnsi="Garamond"/>
          <w:sz w:val="21"/>
          <w:szCs w:val="21"/>
        </w:rPr>
        <w:t>welfare</w:t>
      </w:r>
      <w:proofErr w:type="gramEnd"/>
      <w:r w:rsidR="00DC4817" w:rsidRPr="00DC4817">
        <w:rPr>
          <w:rFonts w:ascii="Garamond" w:hAnsi="Garamond"/>
          <w:sz w:val="21"/>
          <w:szCs w:val="21"/>
        </w:rPr>
        <w:t xml:space="preserve"> gioca un ruolo fondamentale. Se da un lato serve a soddisfare bisogni della popolazione, dall’altro la sua realizzazione implica effetti sulla sostenibilità del sistema, in termini di produzione di dispositivi legislativi, bilanci degli stati, sistema educativo, distribuzione disomogenea tra gli utilizzatori, problemi di salute per patologie rare, </w:t>
      </w:r>
      <w:proofErr w:type="gramStart"/>
      <w:r w:rsidR="00DC4817" w:rsidRPr="00DC4817">
        <w:rPr>
          <w:rFonts w:ascii="Garamond" w:hAnsi="Garamond"/>
          <w:sz w:val="21"/>
          <w:szCs w:val="21"/>
        </w:rPr>
        <w:t>problemi</w:t>
      </w:r>
      <w:proofErr w:type="gramEnd"/>
      <w:r w:rsidR="00DC4817" w:rsidRPr="00DC4817">
        <w:rPr>
          <w:rFonts w:ascii="Garamond" w:hAnsi="Garamond"/>
          <w:sz w:val="21"/>
          <w:szCs w:val="21"/>
        </w:rPr>
        <w:t xml:space="preserve"> di sicurezza. </w:t>
      </w:r>
    </w:p>
    <w:p w14:paraId="665C7D55" w14:textId="77777777" w:rsidR="00DC4817" w:rsidRPr="00DC4817" w:rsidRDefault="007F0D35" w:rsidP="00DC4817">
      <w:pPr>
        <w:spacing w:before="120"/>
        <w:ind w:right="284"/>
        <w:jc w:val="both"/>
        <w:rPr>
          <w:rFonts w:ascii="Garamond" w:hAnsi="Garamond"/>
          <w:sz w:val="21"/>
          <w:szCs w:val="21"/>
        </w:rPr>
      </w:pPr>
      <w:proofErr w:type="gramStart"/>
      <w:r w:rsidRPr="007F0D35">
        <w:rPr>
          <w:rFonts w:ascii="Garamond" w:hAnsi="Garamond"/>
          <w:sz w:val="21"/>
          <w:szCs w:val="21"/>
        </w:rPr>
        <w:t>(c</w:t>
      </w:r>
      <w:proofErr w:type="gramEnd"/>
      <w:r w:rsidRPr="007F0D35">
        <w:rPr>
          <w:rFonts w:ascii="Garamond" w:hAnsi="Garamond"/>
          <w:sz w:val="21"/>
          <w:szCs w:val="21"/>
        </w:rPr>
        <w:t xml:space="preserve">) </w:t>
      </w:r>
      <w:r w:rsidR="00DC4817" w:rsidRPr="007F0D35">
        <w:rPr>
          <w:rFonts w:ascii="Garamond" w:hAnsi="Garamond"/>
          <w:i/>
          <w:sz w:val="21"/>
          <w:szCs w:val="21"/>
        </w:rPr>
        <w:t>Sostenibilità ambientale</w:t>
      </w:r>
      <w:r w:rsidR="00DC4817" w:rsidRPr="00DC4817">
        <w:rPr>
          <w:rFonts w:ascii="Garamond" w:hAnsi="Garamond"/>
          <w:sz w:val="21"/>
          <w:szCs w:val="21"/>
        </w:rPr>
        <w:t xml:space="preserve">. La scelta migratoria è dovuta ai cambiamenti in atto nell’ecosistema terrestre, oppure indotta da situazioni politiche, demografiche ed economiche, in cui l’ambiente gioca solo il ruolo di amplificatore del deterioramento </w:t>
      </w:r>
      <w:proofErr w:type="gramStart"/>
      <w:r w:rsidR="00DC4817" w:rsidRPr="00DC4817">
        <w:rPr>
          <w:rFonts w:ascii="Garamond" w:hAnsi="Garamond"/>
          <w:sz w:val="21"/>
          <w:szCs w:val="21"/>
        </w:rPr>
        <w:t>delle</w:t>
      </w:r>
      <w:proofErr w:type="gramEnd"/>
      <w:r w:rsidR="00DC4817" w:rsidRPr="00DC4817">
        <w:rPr>
          <w:rFonts w:ascii="Garamond" w:hAnsi="Garamond"/>
          <w:sz w:val="21"/>
          <w:szCs w:val="21"/>
        </w:rPr>
        <w:t xml:space="preserve"> condizioni di vita. I diversi fattori di pressione sull’uomo e sull’ambiente sono collegati tra di loro.</w:t>
      </w:r>
    </w:p>
    <w:p w14:paraId="0541087D" w14:textId="77777777" w:rsidR="00DC4817" w:rsidRPr="007F0D35" w:rsidRDefault="007F0D35" w:rsidP="007F0D35">
      <w:pPr>
        <w:spacing w:before="120"/>
        <w:ind w:right="284"/>
        <w:jc w:val="both"/>
        <w:rPr>
          <w:rFonts w:ascii="Garamond" w:hAnsi="Garamond"/>
          <w:sz w:val="21"/>
          <w:szCs w:val="21"/>
        </w:rPr>
      </w:pPr>
      <w:proofErr w:type="gramStart"/>
      <w:r w:rsidRPr="007F0D35">
        <w:rPr>
          <w:rFonts w:ascii="Garamond" w:hAnsi="Garamond"/>
          <w:sz w:val="21"/>
          <w:szCs w:val="21"/>
        </w:rPr>
        <w:t>(d</w:t>
      </w:r>
      <w:proofErr w:type="gramEnd"/>
      <w:r w:rsidRPr="007F0D35">
        <w:rPr>
          <w:rFonts w:ascii="Garamond" w:hAnsi="Garamond"/>
          <w:sz w:val="21"/>
          <w:szCs w:val="21"/>
        </w:rPr>
        <w:t xml:space="preserve">) </w:t>
      </w:r>
      <w:r w:rsidR="00DC4817" w:rsidRPr="007F0D35">
        <w:rPr>
          <w:rFonts w:ascii="Garamond" w:hAnsi="Garamond"/>
          <w:i/>
          <w:sz w:val="21"/>
          <w:szCs w:val="21"/>
        </w:rPr>
        <w:t>Sostenibilità economica</w:t>
      </w:r>
      <w:r w:rsidR="00DC4817" w:rsidRPr="007F0D35">
        <w:rPr>
          <w:rFonts w:ascii="Garamond" w:hAnsi="Garamond"/>
          <w:sz w:val="21"/>
          <w:szCs w:val="21"/>
        </w:rPr>
        <w:t>.</w:t>
      </w:r>
      <w:r w:rsidR="00DC4817" w:rsidRPr="00DC4817">
        <w:rPr>
          <w:rFonts w:ascii="Garamond" w:hAnsi="Garamond"/>
          <w:sz w:val="21"/>
          <w:szCs w:val="21"/>
        </w:rPr>
        <w:t xml:space="preserve"> Nella società italiana ed europea, le migrazioni nel Mediterraneo sono </w:t>
      </w:r>
      <w:proofErr w:type="gramStart"/>
      <w:r w:rsidR="00DC4817" w:rsidRPr="00DC4817">
        <w:rPr>
          <w:rFonts w:ascii="Garamond" w:hAnsi="Garamond"/>
          <w:sz w:val="21"/>
          <w:szCs w:val="21"/>
        </w:rPr>
        <w:t>attualmente</w:t>
      </w:r>
      <w:proofErr w:type="gramEnd"/>
      <w:r w:rsidR="00DC4817" w:rsidRPr="00DC4817">
        <w:rPr>
          <w:rFonts w:ascii="Garamond" w:hAnsi="Garamond"/>
          <w:sz w:val="21"/>
          <w:szCs w:val="21"/>
        </w:rPr>
        <w:t xml:space="preserve"> un’emergenza e una spesa sociale, ma in prospettiva un considerevole fattore di sviluppo a partire da una efficace gestione delle filiere dell’accoglienza e dell’integrazione. </w:t>
      </w:r>
    </w:p>
    <w:p w14:paraId="651BDD7D" w14:textId="45D0098F" w:rsidR="00DC4817" w:rsidRPr="00D67105" w:rsidRDefault="00DC4817" w:rsidP="00DC4817">
      <w:pPr>
        <w:spacing w:before="120"/>
        <w:ind w:right="284"/>
        <w:jc w:val="both"/>
        <w:rPr>
          <w:rFonts w:ascii="Garamond" w:hAnsi="Garamond"/>
          <w:b/>
          <w:bCs/>
          <w:sz w:val="21"/>
          <w:szCs w:val="21"/>
          <w:lang w:val="en-US"/>
        </w:rPr>
      </w:pPr>
      <w:r w:rsidRPr="00DC4817">
        <w:rPr>
          <w:rFonts w:ascii="Garamond" w:hAnsi="Garamond"/>
          <w:sz w:val="21"/>
          <w:szCs w:val="21"/>
        </w:rPr>
        <w:t xml:space="preserve">L’Italia si presenta come capofila per progetti </w:t>
      </w:r>
      <w:r w:rsidR="007F0D35">
        <w:rPr>
          <w:rFonts w:ascii="Garamond" w:hAnsi="Garamond"/>
          <w:sz w:val="21"/>
          <w:szCs w:val="21"/>
        </w:rPr>
        <w:t xml:space="preserve">di ricerca </w:t>
      </w:r>
      <w:r w:rsidR="008C5BED">
        <w:rPr>
          <w:rFonts w:ascii="Garamond" w:hAnsi="Garamond"/>
          <w:sz w:val="21"/>
          <w:szCs w:val="21"/>
        </w:rPr>
        <w:t xml:space="preserve">europei interdisciplinari </w:t>
      </w:r>
      <w:r w:rsidR="007F0D35">
        <w:rPr>
          <w:rFonts w:ascii="Garamond" w:hAnsi="Garamond"/>
          <w:sz w:val="21"/>
          <w:szCs w:val="21"/>
        </w:rPr>
        <w:t xml:space="preserve">sulle migrazioni nel Mediterraneo </w:t>
      </w:r>
      <w:r w:rsidRPr="00DC4817">
        <w:rPr>
          <w:rFonts w:ascii="Garamond" w:hAnsi="Garamond"/>
          <w:sz w:val="21"/>
          <w:szCs w:val="21"/>
        </w:rPr>
        <w:t>soprattutto per la drammatica evidenza dell’emergenza nei suoi mari e sulle sue coste</w:t>
      </w:r>
      <w:proofErr w:type="gramStart"/>
      <w:r w:rsidR="008C5BED" w:rsidRPr="00D67105">
        <w:rPr>
          <w:rStyle w:val="Rimandonotaapidipagina"/>
          <w:rFonts w:ascii="Garamond" w:hAnsi="Garamond"/>
          <w:lang w:val="en-GB"/>
        </w:rPr>
        <w:footnoteReference w:id="9"/>
      </w:r>
      <w:r w:rsidRPr="00DC4817">
        <w:rPr>
          <w:rFonts w:ascii="Garamond" w:hAnsi="Garamond"/>
          <w:sz w:val="21"/>
          <w:szCs w:val="21"/>
        </w:rPr>
        <w:t>.</w:t>
      </w:r>
      <w:proofErr w:type="gramEnd"/>
      <w:r w:rsidRPr="00DC4817">
        <w:rPr>
          <w:rFonts w:ascii="Garamond" w:hAnsi="Garamond"/>
          <w:sz w:val="21"/>
          <w:szCs w:val="21"/>
        </w:rPr>
        <w:t xml:space="preserve"> Del resto, è noto che i tradizionali </w:t>
      </w:r>
      <w:r w:rsidRPr="008C5BED">
        <w:rPr>
          <w:rFonts w:ascii="Garamond" w:hAnsi="Garamond"/>
          <w:i/>
          <w:sz w:val="21"/>
          <w:szCs w:val="21"/>
        </w:rPr>
        <w:t xml:space="preserve">Migration </w:t>
      </w:r>
      <w:proofErr w:type="spellStart"/>
      <w:r w:rsidRPr="008C5BED">
        <w:rPr>
          <w:rFonts w:ascii="Garamond" w:hAnsi="Garamond"/>
          <w:i/>
          <w:sz w:val="21"/>
          <w:szCs w:val="21"/>
        </w:rPr>
        <w:t>Studies</w:t>
      </w:r>
      <w:proofErr w:type="spellEnd"/>
      <w:r w:rsidRPr="00DC4817">
        <w:rPr>
          <w:rFonts w:ascii="Garamond" w:hAnsi="Garamond"/>
          <w:sz w:val="21"/>
          <w:szCs w:val="21"/>
        </w:rPr>
        <w:t xml:space="preserve"> anglofoni </w:t>
      </w:r>
      <w:proofErr w:type="gramStart"/>
      <w:r w:rsidRPr="00DC4817">
        <w:rPr>
          <w:rFonts w:ascii="Garamond" w:hAnsi="Garamond"/>
          <w:sz w:val="21"/>
          <w:szCs w:val="21"/>
        </w:rPr>
        <w:t>hanno</w:t>
      </w:r>
      <w:proofErr w:type="gramEnd"/>
      <w:r w:rsidRPr="00DC4817">
        <w:rPr>
          <w:rFonts w:ascii="Garamond" w:hAnsi="Garamond"/>
          <w:sz w:val="21"/>
          <w:szCs w:val="21"/>
        </w:rPr>
        <w:t xml:space="preserve"> un approccio limitato alle sole scienze sociali e in questo specifico ambito difficilmente applicabile.</w:t>
      </w:r>
      <w:r w:rsidR="00D67105">
        <w:rPr>
          <w:rFonts w:ascii="Garamond" w:hAnsi="Garamond"/>
          <w:b/>
          <w:bCs/>
          <w:sz w:val="21"/>
          <w:szCs w:val="21"/>
          <w:lang w:val="en-US"/>
        </w:rPr>
        <w:t xml:space="preserve"> </w:t>
      </w:r>
      <w:r w:rsidRPr="000C405B">
        <w:rPr>
          <w:rFonts w:ascii="Garamond" w:hAnsi="Garamond"/>
          <w:sz w:val="21"/>
          <w:szCs w:val="21"/>
        </w:rPr>
        <w:t xml:space="preserve">Il dossier statistico sull’immigrazione del 2015 curato dal Centro Studi e Ricerche IDOS registra 5.014.437 stranieri residenti in Italia, pari </w:t>
      </w:r>
      <w:proofErr w:type="gramStart"/>
      <w:r w:rsidRPr="000C405B">
        <w:rPr>
          <w:rFonts w:ascii="Garamond" w:hAnsi="Garamond"/>
          <w:sz w:val="21"/>
          <w:szCs w:val="21"/>
        </w:rPr>
        <w:t>all’8,2%</w:t>
      </w:r>
      <w:proofErr w:type="gramEnd"/>
      <w:r w:rsidRPr="000C405B">
        <w:rPr>
          <w:rFonts w:ascii="Garamond" w:hAnsi="Garamond"/>
          <w:sz w:val="21"/>
          <w:szCs w:val="21"/>
        </w:rPr>
        <w:t xml:space="preserve"> della popolazione, e stima in 5.421.000 gli stranieri regolarmente presenti nel nostro Paese. Un dato in crescita rispetto al 2013, quando la presenza straniera in Italia era di 4.900.000 persone pari </w:t>
      </w:r>
      <w:proofErr w:type="gramStart"/>
      <w:r w:rsidRPr="000C405B">
        <w:rPr>
          <w:rFonts w:ascii="Garamond" w:hAnsi="Garamond"/>
          <w:sz w:val="21"/>
          <w:szCs w:val="21"/>
        </w:rPr>
        <w:t>all’8,1%</w:t>
      </w:r>
      <w:proofErr w:type="gramEnd"/>
      <w:r w:rsidRPr="000C405B">
        <w:rPr>
          <w:rFonts w:ascii="Garamond" w:hAnsi="Garamond"/>
          <w:sz w:val="21"/>
          <w:szCs w:val="21"/>
        </w:rPr>
        <w:t xml:space="preserve"> </w:t>
      </w:r>
      <w:r w:rsidR="00DD212C">
        <w:rPr>
          <w:rFonts w:ascii="Garamond" w:hAnsi="Garamond"/>
          <w:sz w:val="21"/>
          <w:szCs w:val="21"/>
        </w:rPr>
        <w:t xml:space="preserve">della popolazione. La drammatica </w:t>
      </w:r>
      <w:bookmarkStart w:id="0" w:name="_GoBack"/>
      <w:bookmarkEnd w:id="0"/>
      <w:r w:rsidRPr="000C405B">
        <w:rPr>
          <w:rFonts w:ascii="Garamond" w:hAnsi="Garamond"/>
          <w:sz w:val="21"/>
          <w:szCs w:val="21"/>
        </w:rPr>
        <w:t xml:space="preserve">situazione del teatro mediterraneo e del vicino oriente lascia presagire che questa tendenza rimanga costante nel medio periodo, rendendo le </w:t>
      </w:r>
      <w:proofErr w:type="gramStart"/>
      <w:r w:rsidRPr="000C405B">
        <w:rPr>
          <w:rFonts w:ascii="Garamond" w:hAnsi="Garamond"/>
          <w:sz w:val="21"/>
          <w:szCs w:val="21"/>
        </w:rPr>
        <w:t>migrazioni un</w:t>
      </w:r>
      <w:proofErr w:type="gramEnd"/>
      <w:r w:rsidRPr="000C405B">
        <w:rPr>
          <w:rFonts w:ascii="Garamond" w:hAnsi="Garamond"/>
          <w:sz w:val="21"/>
          <w:szCs w:val="21"/>
        </w:rPr>
        <w:t xml:space="preserve"> fenomeno sempre più importante. L’idea è di aggregare le esperienze CNR, degli enti di ricerca, delle università, delle infrastrutture di ricerca e delle istituzioni culturali (</w:t>
      </w:r>
      <w:proofErr w:type="gramStart"/>
      <w:r w:rsidRPr="000C405B">
        <w:rPr>
          <w:rFonts w:ascii="Garamond" w:hAnsi="Garamond"/>
          <w:sz w:val="21"/>
          <w:szCs w:val="21"/>
        </w:rPr>
        <w:t>inclusi associazioni</w:t>
      </w:r>
      <w:proofErr w:type="gramEnd"/>
      <w:r w:rsidRPr="000C405B">
        <w:rPr>
          <w:rFonts w:ascii="Garamond" w:hAnsi="Garamond"/>
          <w:sz w:val="21"/>
          <w:szCs w:val="21"/>
        </w:rPr>
        <w:t xml:space="preserve">, centri, biblioteche e musei) su </w:t>
      </w:r>
      <w:r w:rsidRPr="000C405B">
        <w:rPr>
          <w:rFonts w:ascii="Garamond" w:hAnsi="Garamond"/>
          <w:sz w:val="21"/>
          <w:szCs w:val="21"/>
        </w:rPr>
        <w:lastRenderedPageBreak/>
        <w:t>migrazioni, patrimonio culturale, dialogo interreligioso, sicurezza, agroalimentare, salute con riferimento all’area del Mediterraneo.</w:t>
      </w:r>
    </w:p>
    <w:p w14:paraId="790CE524" w14:textId="64CBEE1F" w:rsidR="00DC4817" w:rsidRDefault="00DC4817" w:rsidP="00DC4817">
      <w:pPr>
        <w:spacing w:before="120"/>
        <w:ind w:right="284"/>
        <w:jc w:val="both"/>
        <w:rPr>
          <w:rFonts w:ascii="Garamond" w:hAnsi="Garamond"/>
          <w:sz w:val="21"/>
          <w:szCs w:val="21"/>
        </w:rPr>
      </w:pPr>
      <w:r w:rsidRPr="000C405B">
        <w:rPr>
          <w:rFonts w:ascii="Garamond" w:hAnsi="Garamond"/>
          <w:sz w:val="21"/>
          <w:szCs w:val="21"/>
        </w:rPr>
        <w:t>Le politiche italiane sulla crisi dei migranti anticipano e fanno da stimolo agli orientamenti strategici individuati a livello comunitario. Possono declinarsi attraverso l’attuazione di programmi che indirizzano la realizzazione di progetti integrati per il raggiungimento di precisi</w:t>
      </w:r>
      <w:r>
        <w:rPr>
          <w:rFonts w:ascii="Garamond" w:hAnsi="Garamond"/>
          <w:sz w:val="21"/>
          <w:szCs w:val="21"/>
        </w:rPr>
        <w:t xml:space="preserve"> obiettivi, vista </w:t>
      </w:r>
      <w:r w:rsidRPr="000C405B">
        <w:rPr>
          <w:rFonts w:ascii="Garamond" w:hAnsi="Garamond"/>
          <w:sz w:val="21"/>
          <w:szCs w:val="21"/>
        </w:rPr>
        <w:t xml:space="preserve">l’estrema urgenza della materia, tenendo conto, specialmente, </w:t>
      </w:r>
      <w:proofErr w:type="gramStart"/>
      <w:r w:rsidRPr="000C405B">
        <w:rPr>
          <w:rFonts w:ascii="Garamond" w:hAnsi="Garamond"/>
          <w:sz w:val="21"/>
          <w:szCs w:val="21"/>
        </w:rPr>
        <w:t xml:space="preserve">della </w:t>
      </w:r>
      <w:proofErr w:type="spellStart"/>
      <w:proofErr w:type="gramEnd"/>
      <w:r w:rsidRPr="000C405B">
        <w:rPr>
          <w:rFonts w:ascii="Garamond" w:hAnsi="Garamond"/>
          <w:i/>
          <w:sz w:val="21"/>
          <w:szCs w:val="21"/>
        </w:rPr>
        <w:t>European</w:t>
      </w:r>
      <w:proofErr w:type="spellEnd"/>
      <w:r w:rsidRPr="000C405B">
        <w:rPr>
          <w:rFonts w:ascii="Garamond" w:hAnsi="Garamond"/>
          <w:i/>
          <w:sz w:val="21"/>
          <w:szCs w:val="21"/>
        </w:rPr>
        <w:t xml:space="preserve"> Agenda on Migration</w:t>
      </w:r>
      <w:r w:rsidRPr="000C405B">
        <w:rPr>
          <w:rFonts w:ascii="Garamond" w:hAnsi="Garamond"/>
          <w:sz w:val="21"/>
          <w:szCs w:val="21"/>
        </w:rPr>
        <w:t xml:space="preserve"> e nella prospettiva della </w:t>
      </w:r>
      <w:r w:rsidRPr="000C405B">
        <w:rPr>
          <w:rFonts w:ascii="Garamond" w:hAnsi="Garamond"/>
          <w:i/>
          <w:sz w:val="21"/>
          <w:szCs w:val="21"/>
        </w:rPr>
        <w:t xml:space="preserve">2030 Agenda for </w:t>
      </w:r>
      <w:proofErr w:type="spellStart"/>
      <w:r w:rsidRPr="000C405B">
        <w:rPr>
          <w:rFonts w:ascii="Garamond" w:hAnsi="Garamond"/>
          <w:i/>
          <w:sz w:val="21"/>
          <w:szCs w:val="21"/>
        </w:rPr>
        <w:t>Sustainable</w:t>
      </w:r>
      <w:proofErr w:type="spellEnd"/>
      <w:r w:rsidRPr="000C405B">
        <w:rPr>
          <w:rFonts w:ascii="Garamond" w:hAnsi="Garamond"/>
          <w:i/>
          <w:sz w:val="21"/>
          <w:szCs w:val="21"/>
        </w:rPr>
        <w:t xml:space="preserve"> Development</w:t>
      </w:r>
      <w:r w:rsidR="00D67105" w:rsidRPr="00D67105">
        <w:rPr>
          <w:rStyle w:val="Rimandonotaapidipagina"/>
          <w:rFonts w:ascii="Garamond" w:hAnsi="Garamond"/>
          <w:sz w:val="21"/>
          <w:szCs w:val="21"/>
        </w:rPr>
        <w:footnoteReference w:id="10"/>
      </w:r>
      <w:r w:rsidRPr="000C405B">
        <w:rPr>
          <w:rFonts w:ascii="Garamond" w:hAnsi="Garamond"/>
          <w:i/>
          <w:sz w:val="21"/>
          <w:szCs w:val="21"/>
        </w:rPr>
        <w:t xml:space="preserve"> </w:t>
      </w:r>
      <w:r w:rsidRPr="000C405B">
        <w:rPr>
          <w:rFonts w:ascii="Garamond" w:hAnsi="Garamond"/>
          <w:sz w:val="21"/>
          <w:szCs w:val="21"/>
        </w:rPr>
        <w:t>delle</w:t>
      </w:r>
      <w:r w:rsidRPr="000C405B">
        <w:rPr>
          <w:rFonts w:ascii="Garamond" w:hAnsi="Garamond"/>
          <w:i/>
          <w:sz w:val="21"/>
          <w:szCs w:val="21"/>
        </w:rPr>
        <w:t xml:space="preserve"> </w:t>
      </w:r>
      <w:r w:rsidRPr="000C405B">
        <w:rPr>
          <w:rFonts w:ascii="Garamond" w:hAnsi="Garamond"/>
          <w:sz w:val="21"/>
          <w:szCs w:val="21"/>
        </w:rPr>
        <w:t>Nazioni Unite.</w:t>
      </w:r>
    </w:p>
    <w:p w14:paraId="7EBF8305" w14:textId="77777777" w:rsidR="00DC4817" w:rsidRDefault="000C405B" w:rsidP="00DC4817">
      <w:pPr>
        <w:spacing w:before="120"/>
        <w:ind w:right="284"/>
        <w:jc w:val="both"/>
        <w:rPr>
          <w:rFonts w:ascii="Garamond" w:hAnsi="Garamond"/>
          <w:sz w:val="21"/>
          <w:szCs w:val="21"/>
        </w:rPr>
      </w:pPr>
      <w:r w:rsidRPr="000C405B">
        <w:rPr>
          <w:rFonts w:ascii="Garamond" w:hAnsi="Garamond"/>
          <w:sz w:val="21"/>
          <w:szCs w:val="21"/>
        </w:rPr>
        <w:t xml:space="preserve">Tutte le azioni di ricerca proposte </w:t>
      </w:r>
      <w:r w:rsidR="007F0D35">
        <w:rPr>
          <w:rFonts w:ascii="Garamond" w:hAnsi="Garamond"/>
          <w:sz w:val="21"/>
          <w:szCs w:val="21"/>
        </w:rPr>
        <w:t xml:space="preserve">dal CNR </w:t>
      </w:r>
      <w:r w:rsidRPr="000C405B">
        <w:rPr>
          <w:rFonts w:ascii="Garamond" w:hAnsi="Garamond"/>
          <w:sz w:val="21"/>
          <w:szCs w:val="21"/>
        </w:rPr>
        <w:t>sono finalizzate alla creazione di soluzioni innovative per far fronte all’emergenza dei migranti nel breve periodo e creare sviluppo sociale, culturale ed economico nel medio e lungo periodo. La maggiore comprensione del fenomeno, risultato degli studi di settore, sarà di supporto alle decisioni politiche dell’Italia e dell’Unione Europea.</w:t>
      </w:r>
    </w:p>
    <w:p w14:paraId="14125B38" w14:textId="77777777" w:rsidR="000C405B" w:rsidRPr="000C405B" w:rsidRDefault="000C405B" w:rsidP="000C405B">
      <w:pPr>
        <w:autoSpaceDE w:val="0"/>
        <w:autoSpaceDN w:val="0"/>
        <w:adjustRightInd w:val="0"/>
        <w:spacing w:after="0"/>
        <w:jc w:val="both"/>
        <w:rPr>
          <w:rFonts w:ascii="Garamond" w:hAnsi="Garamond"/>
          <w:b/>
          <w:i/>
          <w:sz w:val="20"/>
          <w:szCs w:val="20"/>
          <w:lang w:val="en-US"/>
        </w:rPr>
      </w:pPr>
    </w:p>
    <w:p w14:paraId="1F422553" w14:textId="77777777" w:rsidR="000C405B" w:rsidRPr="000C405B" w:rsidRDefault="000C405B" w:rsidP="003F392F">
      <w:pPr>
        <w:autoSpaceDE w:val="0"/>
        <w:autoSpaceDN w:val="0"/>
        <w:adjustRightInd w:val="0"/>
        <w:spacing w:after="0"/>
        <w:jc w:val="both"/>
        <w:rPr>
          <w:rFonts w:ascii="Garamond" w:hAnsi="Garamond"/>
          <w:sz w:val="21"/>
          <w:szCs w:val="21"/>
        </w:rPr>
      </w:pPr>
    </w:p>
    <w:p w14:paraId="479E9A8C" w14:textId="77777777" w:rsidR="000C405B" w:rsidRDefault="000C405B" w:rsidP="003F392F">
      <w:pPr>
        <w:autoSpaceDE w:val="0"/>
        <w:autoSpaceDN w:val="0"/>
        <w:adjustRightInd w:val="0"/>
        <w:spacing w:after="0"/>
        <w:jc w:val="both"/>
        <w:rPr>
          <w:rFonts w:ascii="Garamond" w:hAnsi="Garamond"/>
          <w:i/>
          <w:sz w:val="21"/>
          <w:szCs w:val="21"/>
        </w:rPr>
      </w:pPr>
    </w:p>
    <w:p w14:paraId="2A9BCBF2" w14:textId="77777777" w:rsidR="003F392F" w:rsidRPr="003F392F" w:rsidRDefault="000C405B" w:rsidP="003F392F">
      <w:pPr>
        <w:autoSpaceDE w:val="0"/>
        <w:autoSpaceDN w:val="0"/>
        <w:adjustRightInd w:val="0"/>
        <w:spacing w:after="0"/>
        <w:jc w:val="both"/>
        <w:rPr>
          <w:rFonts w:ascii="Garamond" w:hAnsi="Garamond"/>
          <w:i/>
          <w:sz w:val="21"/>
          <w:szCs w:val="21"/>
        </w:rPr>
      </w:pPr>
      <w:r>
        <w:rPr>
          <w:rFonts w:ascii="Garamond" w:hAnsi="Garamond"/>
          <w:i/>
          <w:sz w:val="21"/>
          <w:szCs w:val="21"/>
        </w:rPr>
        <w:t>Riccardo Pozzo</w:t>
      </w:r>
    </w:p>
    <w:p w14:paraId="35EBC9A6" w14:textId="77777777" w:rsidR="0046692A" w:rsidRPr="000C405B" w:rsidRDefault="003F392F" w:rsidP="000C405B">
      <w:pPr>
        <w:autoSpaceDE w:val="0"/>
        <w:autoSpaceDN w:val="0"/>
        <w:adjustRightInd w:val="0"/>
        <w:spacing w:after="0"/>
        <w:jc w:val="both"/>
        <w:rPr>
          <w:rFonts w:ascii="Garamond" w:hAnsi="Garamond"/>
          <w:sz w:val="21"/>
          <w:szCs w:val="21"/>
        </w:rPr>
      </w:pPr>
      <w:r w:rsidRPr="003F392F">
        <w:rPr>
          <w:rFonts w:ascii="Garamond" w:hAnsi="Garamond"/>
          <w:i/>
          <w:sz w:val="21"/>
          <w:szCs w:val="21"/>
        </w:rPr>
        <w:t xml:space="preserve">Direttore </w:t>
      </w:r>
      <w:r w:rsidR="000C405B">
        <w:rPr>
          <w:rFonts w:ascii="Garamond" w:hAnsi="Garamond"/>
          <w:i/>
          <w:sz w:val="21"/>
          <w:szCs w:val="21"/>
        </w:rPr>
        <w:t>DSU-CNR</w:t>
      </w:r>
    </w:p>
    <w:sectPr w:rsidR="0046692A" w:rsidRPr="000C405B" w:rsidSect="00357E8C">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294A68" w14:textId="77777777" w:rsidR="00AB1412" w:rsidRDefault="00AB1412" w:rsidP="00767135">
      <w:pPr>
        <w:spacing w:after="0" w:line="240" w:lineRule="auto"/>
      </w:pPr>
      <w:r>
        <w:separator/>
      </w:r>
    </w:p>
  </w:endnote>
  <w:endnote w:type="continuationSeparator" w:id="0">
    <w:p w14:paraId="1798000E" w14:textId="77777777" w:rsidR="00AB1412" w:rsidRDefault="00AB1412" w:rsidP="007671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Mangal">
    <w:panose1 w:val="00000000000000000000"/>
    <w:charset w:val="01"/>
    <w:family w:val="roman"/>
    <w:notTrueType/>
    <w:pitch w:val="variable"/>
    <w:sig w:usb0="00002000" w:usb1="00000000" w:usb2="00000000" w:usb3="00000000" w:csb0="00000000" w:csb1="00000000"/>
  </w:font>
  <w:font w:name="Tahoma">
    <w:panose1 w:val="020B060403050404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A3AAC4" w14:textId="77777777" w:rsidR="00AB1412" w:rsidRDefault="00AB1412" w:rsidP="00767135">
      <w:pPr>
        <w:spacing w:after="0" w:line="240" w:lineRule="auto"/>
      </w:pPr>
      <w:r>
        <w:separator/>
      </w:r>
    </w:p>
  </w:footnote>
  <w:footnote w:type="continuationSeparator" w:id="0">
    <w:p w14:paraId="5E4E6FAA" w14:textId="77777777" w:rsidR="00AB1412" w:rsidRDefault="00AB1412" w:rsidP="00767135">
      <w:pPr>
        <w:spacing w:after="0" w:line="240" w:lineRule="auto"/>
      </w:pPr>
      <w:r>
        <w:continuationSeparator/>
      </w:r>
    </w:p>
  </w:footnote>
  <w:footnote w:id="1">
    <w:p w14:paraId="438CD707"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1" w:history="1">
        <w:r w:rsidRPr="00D67105">
          <w:rPr>
            <w:rStyle w:val="Collegamentoipertestuale"/>
            <w:rFonts w:ascii="Garamond" w:hAnsi="Garamond" w:cs="Times New Roman"/>
            <w:sz w:val="18"/>
            <w:szCs w:val="18"/>
          </w:rPr>
          <w:t>https://ec.europa.eu/research/conferences/2012/euro-mediterranean/index_en.cfm?pg=about</w:t>
        </w:r>
      </w:hyperlink>
      <w:r w:rsidRPr="00D67105">
        <w:rPr>
          <w:rFonts w:ascii="Garamond" w:hAnsi="Garamond" w:cs="Times New Roman"/>
          <w:sz w:val="18"/>
          <w:szCs w:val="18"/>
        </w:rPr>
        <w:t xml:space="preserve"> </w:t>
      </w:r>
    </w:p>
  </w:footnote>
  <w:footnote w:id="2">
    <w:p w14:paraId="0A80D76F"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2" w:history="1">
        <w:r w:rsidRPr="00D67105">
          <w:rPr>
            <w:rStyle w:val="Collegamentoipertestuale"/>
            <w:rFonts w:ascii="Garamond" w:hAnsi="Garamond" w:cs="Times New Roman"/>
            <w:sz w:val="18"/>
            <w:szCs w:val="18"/>
            <w:lang w:eastAsia="it-IT"/>
          </w:rPr>
          <w:t>http://www.unisi.it/programma-prima</w:t>
        </w:r>
      </w:hyperlink>
    </w:p>
  </w:footnote>
  <w:footnote w:id="3">
    <w:p w14:paraId="6C2EA32F"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3" w:history="1">
        <w:r w:rsidRPr="00D67105">
          <w:rPr>
            <w:rStyle w:val="Collegamentoipertestuale"/>
            <w:rFonts w:ascii="Garamond" w:hAnsi="Garamond" w:cs="Times New Roman"/>
            <w:sz w:val="18"/>
            <w:szCs w:val="18"/>
            <w:lang w:eastAsia="it-IT"/>
          </w:rPr>
          <w:t>http://www.eranetmed.eu</w:t>
        </w:r>
      </w:hyperlink>
    </w:p>
  </w:footnote>
  <w:footnote w:id="4">
    <w:p w14:paraId="543744F9"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4" w:history="1">
        <w:r w:rsidRPr="00D67105">
          <w:rPr>
            <w:rStyle w:val="Collegamentoipertestuale"/>
            <w:rFonts w:ascii="Garamond" w:hAnsi="Garamond" w:cs="Times New Roman"/>
            <w:sz w:val="18"/>
            <w:szCs w:val="18"/>
            <w:lang w:eastAsia="it-IT"/>
          </w:rPr>
          <w:t>http://www.bo.cnr.it/events/Evento%20mare%208giu2015/FabioFava_8.6.2015.pdf</w:t>
        </w:r>
      </w:hyperlink>
    </w:p>
  </w:footnote>
  <w:footnote w:id="5">
    <w:p w14:paraId="1908C58F" w14:textId="77777777" w:rsidR="00AB1412" w:rsidRPr="00D67105" w:rsidRDefault="00AB1412" w:rsidP="00AB1412">
      <w:pPr>
        <w:pStyle w:val="Testonotaapidipagina"/>
        <w:jc w:val="left"/>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5" w:history="1">
        <w:r w:rsidRPr="00D67105">
          <w:rPr>
            <w:rStyle w:val="Collegamentoipertestuale"/>
            <w:rFonts w:ascii="Garamond" w:hAnsi="Garamond" w:cs="Times New Roman"/>
            <w:sz w:val="18"/>
            <w:szCs w:val="18"/>
          </w:rPr>
          <w:t>http://ec.europa.eu/dgs/home-affairs/what-we-do/policies/european-agenda-migration/background-information/docs/eam_state_of_play_20151014_migration_priority_en.pdf</w:t>
        </w:r>
      </w:hyperlink>
      <w:r w:rsidRPr="00D67105">
        <w:rPr>
          <w:rFonts w:ascii="Garamond" w:hAnsi="Garamond" w:cs="Times New Roman"/>
          <w:sz w:val="18"/>
          <w:szCs w:val="18"/>
        </w:rPr>
        <w:t xml:space="preserve"> </w:t>
      </w:r>
    </w:p>
  </w:footnote>
  <w:footnote w:id="6">
    <w:p w14:paraId="008FB02E"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6" w:history="1">
        <w:r w:rsidRPr="00D67105">
          <w:rPr>
            <w:rStyle w:val="Collegamentoipertestuale"/>
            <w:rFonts w:ascii="Garamond" w:hAnsi="Garamond" w:cs="Times New Roman"/>
            <w:sz w:val="18"/>
            <w:szCs w:val="18"/>
          </w:rPr>
          <w:t>http://www.europarl.europa.eu/RegData/etudes/STUD/2015/552298/IPOL_STU(2015)552298_EN.pdf</w:t>
        </w:r>
      </w:hyperlink>
      <w:r w:rsidRPr="00D67105">
        <w:rPr>
          <w:rFonts w:ascii="Garamond" w:hAnsi="Garamond" w:cs="Times New Roman"/>
          <w:sz w:val="18"/>
          <w:szCs w:val="18"/>
        </w:rPr>
        <w:t xml:space="preserve"> </w:t>
      </w:r>
    </w:p>
  </w:footnote>
  <w:footnote w:id="7">
    <w:p w14:paraId="23669527" w14:textId="77777777" w:rsidR="00AB1412" w:rsidRPr="00D67105" w:rsidRDefault="00AB1412" w:rsidP="00AB1412">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7" w:history="1">
        <w:r w:rsidRPr="00D67105">
          <w:rPr>
            <w:rStyle w:val="Collegamentoipertestuale"/>
            <w:rFonts w:ascii="Garamond" w:hAnsi="Garamond" w:cs="Times New Roman"/>
            <w:sz w:val="18"/>
            <w:szCs w:val="18"/>
          </w:rPr>
          <w:t>http://www.consilium.europa.eu/en/press/press-releases/2015/04/23-special-euco-statement/</w:t>
        </w:r>
      </w:hyperlink>
      <w:r w:rsidRPr="00D67105">
        <w:rPr>
          <w:rFonts w:ascii="Garamond" w:hAnsi="Garamond" w:cs="Times New Roman"/>
          <w:sz w:val="18"/>
          <w:szCs w:val="18"/>
        </w:rPr>
        <w:t xml:space="preserve"> </w:t>
      </w:r>
    </w:p>
  </w:footnote>
  <w:footnote w:id="8">
    <w:p w14:paraId="3174B4BD" w14:textId="77777777" w:rsidR="00AB1412" w:rsidRPr="00D67105" w:rsidRDefault="00AB1412" w:rsidP="00AB1412">
      <w:pPr>
        <w:pStyle w:val="Testonotaapidipagina"/>
        <w:rPr>
          <w:rFonts w:ascii="Garamond" w:hAnsi="Garamond"/>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8" w:history="1">
        <w:r w:rsidRPr="00D67105">
          <w:rPr>
            <w:rStyle w:val="Collegamentoipertestuale"/>
            <w:rFonts w:ascii="Garamond" w:hAnsi="Garamond" w:cs="Times New Roman"/>
            <w:sz w:val="18"/>
            <w:szCs w:val="18"/>
          </w:rPr>
          <w:t>http://www.europarl.europa.eu/sides/getDoc.do?pubRef=-//EP//TEXT+TA+P8-TA-2015-0317+0+DOC+XML+V0//EN</w:t>
        </w:r>
      </w:hyperlink>
      <w:r w:rsidRPr="00D67105">
        <w:rPr>
          <w:rFonts w:ascii="Garamond" w:hAnsi="Garamond"/>
          <w:sz w:val="18"/>
          <w:szCs w:val="18"/>
        </w:rPr>
        <w:t xml:space="preserve"> </w:t>
      </w:r>
    </w:p>
  </w:footnote>
  <w:footnote w:id="9">
    <w:p w14:paraId="1D4585C9" w14:textId="77777777" w:rsidR="00AB1412" w:rsidRPr="00D67105" w:rsidRDefault="00AB1412" w:rsidP="008C5BED">
      <w:pPr>
        <w:pStyle w:val="Testonotaapidipagina"/>
        <w:rPr>
          <w:rFonts w:ascii="Garamond" w:hAnsi="Garamond" w:cs="Times New Roman"/>
          <w:sz w:val="18"/>
          <w:szCs w:val="18"/>
        </w:rPr>
      </w:pPr>
      <w:r w:rsidRPr="00D67105">
        <w:rPr>
          <w:rStyle w:val="Rimandonotaapidipagina"/>
          <w:rFonts w:ascii="Garamond" w:hAnsi="Garamond"/>
          <w:sz w:val="18"/>
          <w:szCs w:val="18"/>
        </w:rPr>
        <w:footnoteRef/>
      </w:r>
      <w:r w:rsidRPr="00D67105">
        <w:rPr>
          <w:rFonts w:ascii="Garamond" w:hAnsi="Garamond" w:cs="Times New Roman"/>
          <w:sz w:val="18"/>
          <w:szCs w:val="18"/>
        </w:rPr>
        <w:t xml:space="preserve"> </w:t>
      </w:r>
      <w:hyperlink r:id="rId9" w:history="1">
        <w:r w:rsidRPr="00D67105">
          <w:rPr>
            <w:rStyle w:val="Collegamentoipertestuale"/>
            <w:rFonts w:ascii="Garamond" w:hAnsi="Garamond" w:cs="Times New Roman"/>
            <w:sz w:val="18"/>
            <w:szCs w:val="18"/>
          </w:rPr>
          <w:t>http://www.ec.europa.eu/research/participants/.../h2020-wp1617-societies_en.pdf</w:t>
        </w:r>
      </w:hyperlink>
    </w:p>
  </w:footnote>
  <w:footnote w:id="10">
    <w:p w14:paraId="7E7B19BD" w14:textId="01D89582" w:rsidR="00AB1412" w:rsidRPr="00D67105" w:rsidRDefault="00AB1412">
      <w:pPr>
        <w:pStyle w:val="Testonotaapidipagina"/>
        <w:rPr>
          <w:rFonts w:ascii="Garamond" w:hAnsi="Garamond"/>
          <w:sz w:val="18"/>
          <w:szCs w:val="18"/>
        </w:rPr>
      </w:pPr>
      <w:r w:rsidRPr="00D67105">
        <w:rPr>
          <w:rStyle w:val="Rimandonotaapidipagina"/>
          <w:rFonts w:ascii="Garamond" w:hAnsi="Garamond"/>
          <w:sz w:val="18"/>
          <w:szCs w:val="18"/>
        </w:rPr>
        <w:footnoteRef/>
      </w:r>
      <w:r w:rsidRPr="00D67105">
        <w:rPr>
          <w:rFonts w:ascii="Garamond" w:hAnsi="Garamond"/>
          <w:sz w:val="18"/>
          <w:szCs w:val="18"/>
        </w:rPr>
        <w:t xml:space="preserve"> </w:t>
      </w:r>
      <w:hyperlink r:id="rId10" w:history="1">
        <w:r w:rsidRPr="00D67105">
          <w:rPr>
            <w:rStyle w:val="Collegamentoipertestuale"/>
            <w:rFonts w:ascii="Garamond" w:hAnsi="Garamond"/>
            <w:sz w:val="18"/>
            <w:szCs w:val="18"/>
          </w:rPr>
          <w:t>https://sustainabledevelopment.un.org/post2015/transformingourworld</w:t>
        </w:r>
      </w:hyperlink>
      <w:r w:rsidRPr="00D67105">
        <w:rPr>
          <w:rFonts w:ascii="Garamond" w:hAnsi="Garamond"/>
          <w:sz w:val="18"/>
          <w:szCs w:val="18"/>
        </w:rPr>
        <w:t xml:space="preserve">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D003F7"/>
    <w:multiLevelType w:val="hybridMultilevel"/>
    <w:tmpl w:val="B61CFB94"/>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2D2818F3"/>
    <w:multiLevelType w:val="hybridMultilevel"/>
    <w:tmpl w:val="A68E0716"/>
    <w:lvl w:ilvl="0" w:tplc="14B843B0">
      <w:start w:val="1"/>
      <w:numFmt w:val="bullet"/>
      <w:lvlText w:val=""/>
      <w:lvlJc w:val="left"/>
      <w:pPr>
        <w:ind w:left="420" w:hanging="360"/>
      </w:pPr>
      <w:rPr>
        <w:rFonts w:ascii="Symbol" w:hAnsi="Symbol" w:hint="default"/>
        <w:color w:val="4A442A" w:themeColor="background2" w:themeShade="40"/>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2">
    <w:nsid w:val="60BD7479"/>
    <w:multiLevelType w:val="hybridMultilevel"/>
    <w:tmpl w:val="22B860C0"/>
    <w:lvl w:ilvl="0" w:tplc="C3149324">
      <w:start w:val="1"/>
      <w:numFmt w:val="bullet"/>
      <w:lvlText w:val=""/>
      <w:lvlJc w:val="left"/>
      <w:pPr>
        <w:ind w:left="720" w:hanging="360"/>
      </w:pPr>
      <w:rPr>
        <w:rFonts w:ascii="Wingdings" w:hAnsi="Wingdings" w:hint="default"/>
        <w:color w:val="808080" w:themeColor="background1" w:themeShade="8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3"/>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2C78"/>
    <w:rsid w:val="0001129C"/>
    <w:rsid w:val="00012F08"/>
    <w:rsid w:val="00086C05"/>
    <w:rsid w:val="000B04DC"/>
    <w:rsid w:val="000C2266"/>
    <w:rsid w:val="000C405B"/>
    <w:rsid w:val="00102BC7"/>
    <w:rsid w:val="00102CED"/>
    <w:rsid w:val="001316D4"/>
    <w:rsid w:val="00150511"/>
    <w:rsid w:val="0019000D"/>
    <w:rsid w:val="00202370"/>
    <w:rsid w:val="00211428"/>
    <w:rsid w:val="00220967"/>
    <w:rsid w:val="00244BFE"/>
    <w:rsid w:val="00255105"/>
    <w:rsid w:val="0032107E"/>
    <w:rsid w:val="00350BB1"/>
    <w:rsid w:val="00357E8C"/>
    <w:rsid w:val="00392C44"/>
    <w:rsid w:val="003A7251"/>
    <w:rsid w:val="003D08D3"/>
    <w:rsid w:val="003F392F"/>
    <w:rsid w:val="00422FB9"/>
    <w:rsid w:val="0046692A"/>
    <w:rsid w:val="005A4B42"/>
    <w:rsid w:val="005B55DC"/>
    <w:rsid w:val="00656DC0"/>
    <w:rsid w:val="006610AB"/>
    <w:rsid w:val="006A123D"/>
    <w:rsid w:val="006E0A4D"/>
    <w:rsid w:val="00767135"/>
    <w:rsid w:val="007F0D35"/>
    <w:rsid w:val="00812D11"/>
    <w:rsid w:val="00853425"/>
    <w:rsid w:val="008A11E3"/>
    <w:rsid w:val="008B5513"/>
    <w:rsid w:val="008C5BED"/>
    <w:rsid w:val="00A4621E"/>
    <w:rsid w:val="00A71EF1"/>
    <w:rsid w:val="00AB1412"/>
    <w:rsid w:val="00B44315"/>
    <w:rsid w:val="00B63823"/>
    <w:rsid w:val="00B9102A"/>
    <w:rsid w:val="00BC09FD"/>
    <w:rsid w:val="00BD2D86"/>
    <w:rsid w:val="00C12C78"/>
    <w:rsid w:val="00D6028B"/>
    <w:rsid w:val="00D67105"/>
    <w:rsid w:val="00D95A9E"/>
    <w:rsid w:val="00DC4817"/>
    <w:rsid w:val="00DC5793"/>
    <w:rsid w:val="00DD212C"/>
    <w:rsid w:val="00E40462"/>
    <w:rsid w:val="00EC5D05"/>
    <w:rsid w:val="00EE7894"/>
    <w:rsid w:val="00F063EC"/>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1764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57E8C"/>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aliases w:val="Footnote Text Char Char,Footnote Text Char,Testo nota a piè di pagina cespi,stile 1,Footnote,Footnote1,Footnote2,Footnote3,Footnote4,Footnote5,Footnote6,Footnote7,Footnote8,Footnote9,Footnote10,Footnote11,Footnote21,Footnote31"/>
    <w:basedOn w:val="Normale"/>
    <w:link w:val="TestonotaapidipaginaCarattere"/>
    <w:unhideWhenUsed/>
    <w:qFormat/>
    <w:rsid w:val="00767135"/>
    <w:pPr>
      <w:widowControl w:val="0"/>
      <w:suppressAutoHyphens/>
      <w:spacing w:after="0" w:line="240" w:lineRule="auto"/>
      <w:jc w:val="both"/>
    </w:pPr>
    <w:rPr>
      <w:rFonts w:ascii="Times New Roman" w:eastAsia="SimSun" w:hAnsi="Times New Roman" w:cs="Mangal"/>
      <w:kern w:val="2"/>
      <w:sz w:val="20"/>
      <w:szCs w:val="20"/>
      <w:lang w:eastAsia="hi-IN" w:bidi="hi-IN"/>
    </w:rPr>
  </w:style>
  <w:style w:type="character" w:customStyle="1" w:styleId="TestonotaapidipaginaCarattere">
    <w:name w:val="Testo nota a piè di pagina Carattere"/>
    <w:aliases w:val="Footnote Text Char Char Carattere,Footnote Text Char Carattere,Testo nota a piè di pagina cespi Carattere,stile 1 Carattere,Footnote Carattere,Footnote1 Carattere,Footnote2 Carattere,Footnote3 Carattere"/>
    <w:basedOn w:val="Caratterepredefinitoparagrafo"/>
    <w:link w:val="Testonotaapidipagina"/>
    <w:qFormat/>
    <w:rsid w:val="00767135"/>
    <w:rPr>
      <w:rFonts w:ascii="Times New Roman" w:eastAsia="SimSun" w:hAnsi="Times New Roman" w:cs="Mangal"/>
      <w:kern w:val="2"/>
      <w:sz w:val="20"/>
      <w:szCs w:val="20"/>
      <w:lang w:eastAsia="hi-IN" w:bidi="hi-IN"/>
    </w:rPr>
  </w:style>
  <w:style w:type="character" w:styleId="Rimandonotaapidipagina">
    <w:name w:val="footnote reference"/>
    <w:aliases w:val="Footnote symbol,Voetnootverwijzing,Rimando nota a piè di pagina-IMONT,(Footnote Reference),SUPERS,Footnote reference number,Times 10 Point,Exposant 3 Point,EN Footnote Reference,note TESI"/>
    <w:basedOn w:val="Caratterepredefinitoparagrafo"/>
    <w:uiPriority w:val="99"/>
    <w:unhideWhenUsed/>
    <w:qFormat/>
    <w:rsid w:val="00767135"/>
    <w:rPr>
      <w:vertAlign w:val="superscript"/>
    </w:rPr>
  </w:style>
  <w:style w:type="table" w:styleId="Grigliatabella">
    <w:name w:val="Table Grid"/>
    <w:basedOn w:val="Tabellanormale"/>
    <w:uiPriority w:val="59"/>
    <w:rsid w:val="00012F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012F08"/>
    <w:pPr>
      <w:spacing w:after="0"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012F08"/>
    <w:rPr>
      <w:rFonts w:ascii="Tahoma" w:hAnsi="Tahoma" w:cs="Tahoma"/>
      <w:sz w:val="16"/>
      <w:szCs w:val="16"/>
    </w:rPr>
  </w:style>
  <w:style w:type="paragraph" w:styleId="Paragrafoelenco">
    <w:name w:val="List Paragraph"/>
    <w:basedOn w:val="Normale"/>
    <w:uiPriority w:val="34"/>
    <w:qFormat/>
    <w:rsid w:val="0046692A"/>
    <w:pPr>
      <w:spacing w:after="0" w:line="240" w:lineRule="auto"/>
      <w:ind w:left="720"/>
      <w:contextualSpacing/>
    </w:pPr>
    <w:rPr>
      <w:rFonts w:ascii="Times New Roman" w:hAnsi="Times New Roman" w:cstheme="minorHAnsi"/>
      <w:sz w:val="24"/>
      <w:szCs w:val="24"/>
      <w:lang w:eastAsia="it-IT"/>
    </w:rPr>
  </w:style>
  <w:style w:type="character" w:styleId="Collegamentoipertestuale">
    <w:name w:val="Hyperlink"/>
    <w:basedOn w:val="Caratterepredefinitoparagrafo"/>
    <w:uiPriority w:val="99"/>
    <w:unhideWhenUsed/>
    <w:rsid w:val="00150511"/>
    <w:rPr>
      <w:color w:val="0000FF" w:themeColor="hyperlink"/>
      <w:u w:val="single"/>
    </w:rPr>
  </w:style>
  <w:style w:type="paragraph" w:customStyle="1" w:styleId="Titolofrontespizio">
    <w:name w:val="Titolo frontespizio"/>
    <w:basedOn w:val="Normale"/>
    <w:next w:val="Normale"/>
    <w:rsid w:val="000C405B"/>
    <w:pPr>
      <w:keepNext/>
      <w:keepLines/>
      <w:spacing w:after="240" w:line="720" w:lineRule="atLeast"/>
      <w:jc w:val="center"/>
    </w:pPr>
    <w:rPr>
      <w:rFonts w:ascii="Garamond" w:eastAsia="Times New Roman" w:hAnsi="Garamond" w:cs="Garamond"/>
      <w:caps/>
      <w:spacing w:val="65"/>
      <w:kern w:val="20"/>
      <w:sz w:val="64"/>
      <w:szCs w:val="64"/>
      <w:lang w:eastAsia="it-IT" w:bidi="it-IT"/>
    </w:rPr>
  </w:style>
  <w:style w:type="character" w:styleId="Collegamentovisitato">
    <w:name w:val="FollowedHyperlink"/>
    <w:basedOn w:val="Caratterepredefinitoparagrafo"/>
    <w:uiPriority w:val="99"/>
    <w:semiHidden/>
    <w:unhideWhenUsed/>
    <w:rsid w:val="00D67105"/>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57E8C"/>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aliases w:val="Footnote Text Char Char,Footnote Text Char,Testo nota a piè di pagina cespi,stile 1,Footnote,Footnote1,Footnote2,Footnote3,Footnote4,Footnote5,Footnote6,Footnote7,Footnote8,Footnote9,Footnote10,Footnote11,Footnote21,Footnote31"/>
    <w:basedOn w:val="Normale"/>
    <w:link w:val="TestonotaapidipaginaCarattere"/>
    <w:unhideWhenUsed/>
    <w:qFormat/>
    <w:rsid w:val="00767135"/>
    <w:pPr>
      <w:widowControl w:val="0"/>
      <w:suppressAutoHyphens/>
      <w:spacing w:after="0" w:line="240" w:lineRule="auto"/>
      <w:jc w:val="both"/>
    </w:pPr>
    <w:rPr>
      <w:rFonts w:ascii="Times New Roman" w:eastAsia="SimSun" w:hAnsi="Times New Roman" w:cs="Mangal"/>
      <w:kern w:val="2"/>
      <w:sz w:val="20"/>
      <w:szCs w:val="20"/>
      <w:lang w:eastAsia="hi-IN" w:bidi="hi-IN"/>
    </w:rPr>
  </w:style>
  <w:style w:type="character" w:customStyle="1" w:styleId="TestonotaapidipaginaCarattere">
    <w:name w:val="Testo nota a piè di pagina Carattere"/>
    <w:aliases w:val="Footnote Text Char Char Carattere,Footnote Text Char Carattere,Testo nota a piè di pagina cespi Carattere,stile 1 Carattere,Footnote Carattere,Footnote1 Carattere,Footnote2 Carattere,Footnote3 Carattere"/>
    <w:basedOn w:val="Caratterepredefinitoparagrafo"/>
    <w:link w:val="Testonotaapidipagina"/>
    <w:qFormat/>
    <w:rsid w:val="00767135"/>
    <w:rPr>
      <w:rFonts w:ascii="Times New Roman" w:eastAsia="SimSun" w:hAnsi="Times New Roman" w:cs="Mangal"/>
      <w:kern w:val="2"/>
      <w:sz w:val="20"/>
      <w:szCs w:val="20"/>
      <w:lang w:eastAsia="hi-IN" w:bidi="hi-IN"/>
    </w:rPr>
  </w:style>
  <w:style w:type="character" w:styleId="Rimandonotaapidipagina">
    <w:name w:val="footnote reference"/>
    <w:aliases w:val="Footnote symbol,Voetnootverwijzing,Rimando nota a piè di pagina-IMONT,(Footnote Reference),SUPERS,Footnote reference number,Times 10 Point,Exposant 3 Point,EN Footnote Reference,note TESI"/>
    <w:basedOn w:val="Caratterepredefinitoparagrafo"/>
    <w:uiPriority w:val="99"/>
    <w:unhideWhenUsed/>
    <w:qFormat/>
    <w:rsid w:val="00767135"/>
    <w:rPr>
      <w:vertAlign w:val="superscript"/>
    </w:rPr>
  </w:style>
  <w:style w:type="table" w:styleId="Grigliatabella">
    <w:name w:val="Table Grid"/>
    <w:basedOn w:val="Tabellanormale"/>
    <w:uiPriority w:val="59"/>
    <w:rsid w:val="00012F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012F08"/>
    <w:pPr>
      <w:spacing w:after="0"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012F08"/>
    <w:rPr>
      <w:rFonts w:ascii="Tahoma" w:hAnsi="Tahoma" w:cs="Tahoma"/>
      <w:sz w:val="16"/>
      <w:szCs w:val="16"/>
    </w:rPr>
  </w:style>
  <w:style w:type="paragraph" w:styleId="Paragrafoelenco">
    <w:name w:val="List Paragraph"/>
    <w:basedOn w:val="Normale"/>
    <w:uiPriority w:val="34"/>
    <w:qFormat/>
    <w:rsid w:val="0046692A"/>
    <w:pPr>
      <w:spacing w:after="0" w:line="240" w:lineRule="auto"/>
      <w:ind w:left="720"/>
      <w:contextualSpacing/>
    </w:pPr>
    <w:rPr>
      <w:rFonts w:ascii="Times New Roman" w:hAnsi="Times New Roman" w:cstheme="minorHAnsi"/>
      <w:sz w:val="24"/>
      <w:szCs w:val="24"/>
      <w:lang w:eastAsia="it-IT"/>
    </w:rPr>
  </w:style>
  <w:style w:type="character" w:styleId="Collegamentoipertestuale">
    <w:name w:val="Hyperlink"/>
    <w:basedOn w:val="Caratterepredefinitoparagrafo"/>
    <w:uiPriority w:val="99"/>
    <w:unhideWhenUsed/>
    <w:rsid w:val="00150511"/>
    <w:rPr>
      <w:color w:val="0000FF" w:themeColor="hyperlink"/>
      <w:u w:val="single"/>
    </w:rPr>
  </w:style>
  <w:style w:type="paragraph" w:customStyle="1" w:styleId="Titolofrontespizio">
    <w:name w:val="Titolo frontespizio"/>
    <w:basedOn w:val="Normale"/>
    <w:next w:val="Normale"/>
    <w:rsid w:val="000C405B"/>
    <w:pPr>
      <w:keepNext/>
      <w:keepLines/>
      <w:spacing w:after="240" w:line="720" w:lineRule="atLeast"/>
      <w:jc w:val="center"/>
    </w:pPr>
    <w:rPr>
      <w:rFonts w:ascii="Garamond" w:eastAsia="Times New Roman" w:hAnsi="Garamond" w:cs="Garamond"/>
      <w:caps/>
      <w:spacing w:val="65"/>
      <w:kern w:val="20"/>
      <w:sz w:val="64"/>
      <w:szCs w:val="64"/>
      <w:lang w:eastAsia="it-IT" w:bidi="it-IT"/>
    </w:rPr>
  </w:style>
  <w:style w:type="character" w:styleId="Collegamentovisitato">
    <w:name w:val="FollowedHyperlink"/>
    <w:basedOn w:val="Caratterepredefinitoparagrafo"/>
    <w:uiPriority w:val="99"/>
    <w:semiHidden/>
    <w:unhideWhenUsed/>
    <w:rsid w:val="00D671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footnotes.xml.rels><?xml version="1.0" encoding="UTF-8" standalone="yes"?>
<Relationships xmlns="http://schemas.openxmlformats.org/package/2006/relationships"><Relationship Id="rId3" Type="http://schemas.openxmlformats.org/officeDocument/2006/relationships/hyperlink" Target="http://www.eranetmed.eu" TargetMode="External"/><Relationship Id="rId4" Type="http://schemas.openxmlformats.org/officeDocument/2006/relationships/hyperlink" Target="http://www.bo.cnr.it/events/Evento%20mare%208giu2015/FabioFava_8.6.2015.pdf" TargetMode="External"/><Relationship Id="rId5" Type="http://schemas.openxmlformats.org/officeDocument/2006/relationships/hyperlink" Target="http://ec.europa.eu/dgs/home-affairs/what-we-do/policies/european-agenda-migration/background-information/docs/eam_state_of_play_20151014_migration_priority_en.pdf" TargetMode="External"/><Relationship Id="rId6" Type="http://schemas.openxmlformats.org/officeDocument/2006/relationships/hyperlink" Target="http://www.europarl.europa.eu/RegData/etudes/STUD/2015/552298/IPOL_STU(2015)552298_EN.pdf" TargetMode="External"/><Relationship Id="rId7" Type="http://schemas.openxmlformats.org/officeDocument/2006/relationships/hyperlink" Target="http://www.consilium.europa.eu/en/press/press-releases/2015/04/23-special-euco-statement/" TargetMode="External"/><Relationship Id="rId8" Type="http://schemas.openxmlformats.org/officeDocument/2006/relationships/hyperlink" Target="http://www.europarl.europa.eu/sides/getDoc.do?pubRef=-//EP//TEXT+TA+P8-TA-2015-0317+0+DOC+XML+V0//EN" TargetMode="External"/><Relationship Id="rId9" Type="http://schemas.openxmlformats.org/officeDocument/2006/relationships/hyperlink" Target="http://www.ec.europa.eu/research/participants/.../h2020-wp1617-societies_en.pdf" TargetMode="External"/><Relationship Id="rId10" Type="http://schemas.openxmlformats.org/officeDocument/2006/relationships/hyperlink" Target="https://sustainabledevelopment.un.org/post2015/transformingourworld" TargetMode="External"/><Relationship Id="rId1" Type="http://schemas.openxmlformats.org/officeDocument/2006/relationships/hyperlink" Target="https://ec.europa.eu/research/conferences/2012/euro-mediterranean/index_en.cfm?pg=about" TargetMode="External"/><Relationship Id="rId2" Type="http://schemas.openxmlformats.org/officeDocument/2006/relationships/hyperlink" Target="http://www.unisi.it/programma-prim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6B831E-56B5-174C-865E-1B0A5BF91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4</Pages>
  <Words>2231</Words>
  <Characters>12718</Characters>
  <Application>Microsoft Macintosh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14920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Daniele Frigeri</dc:creator>
  <cp:lastModifiedBy>usanet</cp:lastModifiedBy>
  <cp:revision>7</cp:revision>
  <dcterms:created xsi:type="dcterms:W3CDTF">2016-01-02T09:27:00Z</dcterms:created>
  <dcterms:modified xsi:type="dcterms:W3CDTF">2016-01-02T10:31:00Z</dcterms:modified>
</cp:coreProperties>
</file>