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DFF98B" w14:textId="77777777" w:rsidR="00A97A73" w:rsidRPr="00A97A73" w:rsidRDefault="00A97A73" w:rsidP="00A97A73">
      <w:pPr>
        <w:pStyle w:val="Default"/>
        <w:rPr>
          <w:sz w:val="23"/>
          <w:szCs w:val="23"/>
          <w:lang w:val="en-GB"/>
        </w:rPr>
      </w:pPr>
      <w:r w:rsidRPr="00A97A73">
        <w:rPr>
          <w:b/>
          <w:bCs/>
          <w:sz w:val="23"/>
          <w:szCs w:val="23"/>
          <w:lang w:val="en-GB"/>
        </w:rPr>
        <w:t xml:space="preserve">Abstracts (5000 characters limit) of a 15-minute oral presentation are structured: </w:t>
      </w:r>
    </w:p>
    <w:p w14:paraId="31751E17" w14:textId="39E3862A" w:rsidR="00A97A73" w:rsidRDefault="00A97A73" w:rsidP="00F44DAC">
      <w:pPr>
        <w:pStyle w:val="Default"/>
        <w:numPr>
          <w:ilvl w:val="0"/>
          <w:numId w:val="1"/>
        </w:numPr>
        <w:spacing w:after="13"/>
        <w:rPr>
          <w:color w:val="auto"/>
          <w:sz w:val="20"/>
          <w:szCs w:val="20"/>
          <w:highlight w:val="yellow"/>
          <w:lang w:val="en-GB"/>
        </w:rPr>
      </w:pPr>
      <w:r w:rsidRPr="00402FA1">
        <w:rPr>
          <w:color w:val="auto"/>
          <w:sz w:val="20"/>
          <w:szCs w:val="20"/>
          <w:highlight w:val="yellow"/>
          <w:lang w:val="en-GB"/>
        </w:rPr>
        <w:t xml:space="preserve">Title of oral presentation </w:t>
      </w:r>
    </w:p>
    <w:p w14:paraId="58FC3BDD" w14:textId="77777777" w:rsidR="00A71C73" w:rsidRDefault="00A71C73" w:rsidP="00C10B14">
      <w:pPr>
        <w:pStyle w:val="Default"/>
        <w:spacing w:after="13"/>
        <w:ind w:left="720"/>
        <w:rPr>
          <w:b/>
          <w:bCs/>
          <w:color w:val="auto"/>
          <w:sz w:val="20"/>
          <w:szCs w:val="20"/>
          <w:lang w:val="en-US"/>
        </w:rPr>
      </w:pPr>
      <w:r w:rsidRPr="00A71C73">
        <w:rPr>
          <w:rFonts w:hint="eastAsia"/>
          <w:b/>
          <w:bCs/>
          <w:color w:val="auto"/>
          <w:sz w:val="20"/>
          <w:szCs w:val="20"/>
          <w:lang w:val="en-US"/>
        </w:rPr>
        <w:t>Cross-cultural validation and measurement invariance of the Short Grit scale (Grit-S): preliminary results</w:t>
      </w:r>
    </w:p>
    <w:p w14:paraId="2F33E81C" w14:textId="2B54382F" w:rsidR="00C10B14" w:rsidRPr="00837533" w:rsidRDefault="00837533" w:rsidP="00C10B14">
      <w:pPr>
        <w:pStyle w:val="Default"/>
        <w:spacing w:after="13"/>
        <w:ind w:left="720"/>
        <w:rPr>
          <w:b/>
          <w:bCs/>
          <w:color w:val="auto"/>
          <w:sz w:val="20"/>
          <w:szCs w:val="20"/>
        </w:rPr>
      </w:pPr>
      <w:r w:rsidRPr="00837533">
        <w:rPr>
          <w:b/>
          <w:bCs/>
          <w:color w:val="auto"/>
          <w:sz w:val="20"/>
          <w:szCs w:val="20"/>
        </w:rPr>
        <w:t>F. Abu Hamam,</w:t>
      </w:r>
      <w:r w:rsidR="00B34D2C">
        <w:rPr>
          <w:b/>
          <w:bCs/>
          <w:color w:val="auto"/>
          <w:sz w:val="20"/>
          <w:szCs w:val="20"/>
        </w:rPr>
        <w:t xml:space="preserve"> A. Ceschi,</w:t>
      </w:r>
      <w:r w:rsidRPr="00837533">
        <w:rPr>
          <w:b/>
          <w:bCs/>
          <w:color w:val="auto"/>
          <w:sz w:val="20"/>
          <w:szCs w:val="20"/>
        </w:rPr>
        <w:t xml:space="preserve"> </w:t>
      </w:r>
      <w:r w:rsidR="00B34D2C">
        <w:rPr>
          <w:b/>
          <w:bCs/>
          <w:color w:val="auto"/>
          <w:sz w:val="20"/>
          <w:szCs w:val="20"/>
        </w:rPr>
        <w:t xml:space="preserve">F. </w:t>
      </w:r>
      <w:r w:rsidRPr="00837533">
        <w:rPr>
          <w:b/>
          <w:bCs/>
          <w:color w:val="auto"/>
          <w:sz w:val="20"/>
          <w:szCs w:val="20"/>
        </w:rPr>
        <w:t>Tommasi</w:t>
      </w:r>
      <w:r w:rsidR="00C10B14">
        <w:rPr>
          <w:b/>
          <w:bCs/>
          <w:color w:val="auto"/>
          <w:sz w:val="20"/>
          <w:szCs w:val="20"/>
        </w:rPr>
        <w:t>, R. Sartori</w:t>
      </w:r>
    </w:p>
    <w:p w14:paraId="71F8535F" w14:textId="77777777" w:rsidR="00B34D2C" w:rsidRPr="00C10B14" w:rsidRDefault="00B34D2C" w:rsidP="00A97A73">
      <w:pPr>
        <w:pStyle w:val="Default"/>
        <w:spacing w:after="13"/>
        <w:rPr>
          <w:color w:val="auto"/>
          <w:sz w:val="20"/>
          <w:szCs w:val="20"/>
          <w:highlight w:val="yellow"/>
        </w:rPr>
      </w:pPr>
    </w:p>
    <w:p w14:paraId="593282AD" w14:textId="7609D333" w:rsidR="00E530F6" w:rsidRDefault="00A97A73" w:rsidP="00A97A73">
      <w:pPr>
        <w:pStyle w:val="Default"/>
        <w:spacing w:after="13"/>
        <w:rPr>
          <w:color w:val="auto"/>
          <w:sz w:val="20"/>
          <w:szCs w:val="20"/>
          <w:lang w:val="en-GB"/>
        </w:rPr>
      </w:pPr>
      <w:r w:rsidRPr="00402FA1">
        <w:rPr>
          <w:color w:val="auto"/>
          <w:sz w:val="20"/>
          <w:szCs w:val="20"/>
          <w:highlight w:val="yellow"/>
          <w:lang w:val="en-GB"/>
        </w:rPr>
        <w:t>2. Research goals and why the work was worth doing</w:t>
      </w:r>
    </w:p>
    <w:p w14:paraId="751034F7" w14:textId="51D7BAAF" w:rsidR="00A97A73" w:rsidRPr="000237DF" w:rsidRDefault="00E530F6" w:rsidP="00A97A73">
      <w:pPr>
        <w:pStyle w:val="Default"/>
        <w:spacing w:after="13"/>
        <w:rPr>
          <w:color w:val="auto"/>
          <w:sz w:val="20"/>
          <w:szCs w:val="20"/>
          <w:lang w:val="en-GB"/>
        </w:rPr>
      </w:pPr>
      <w:r w:rsidRPr="001F7149">
        <w:rPr>
          <w:color w:val="auto"/>
          <w:sz w:val="20"/>
          <w:szCs w:val="20"/>
          <w:lang w:val="en-GB"/>
        </w:rPr>
        <w:t xml:space="preserve">The purpose of this study is to determine whether the </w:t>
      </w:r>
      <w:r w:rsidRPr="001F7149">
        <w:rPr>
          <w:i/>
          <w:iCs/>
          <w:color w:val="auto"/>
          <w:sz w:val="20"/>
          <w:szCs w:val="20"/>
          <w:lang w:val="en-GB"/>
        </w:rPr>
        <w:t>Short Grit Scale (Grit-S)</w:t>
      </w:r>
      <w:r w:rsidRPr="001F7149">
        <w:rPr>
          <w:color w:val="auto"/>
          <w:sz w:val="20"/>
          <w:szCs w:val="20"/>
          <w:lang w:val="en-GB"/>
        </w:rPr>
        <w:t xml:space="preserve">, could be used as a valid and reliable measure to compare grit across different countries. Specifically, the aim is to investigate the factorial validity, </w:t>
      </w:r>
      <w:r w:rsidR="00B34D2C">
        <w:rPr>
          <w:color w:val="auto"/>
          <w:sz w:val="20"/>
          <w:szCs w:val="20"/>
          <w:lang w:val="en-GB"/>
        </w:rPr>
        <w:t xml:space="preserve">and </w:t>
      </w:r>
      <w:r w:rsidRPr="001F7149">
        <w:rPr>
          <w:color w:val="auto"/>
          <w:sz w:val="20"/>
          <w:szCs w:val="20"/>
          <w:lang w:val="en-GB"/>
        </w:rPr>
        <w:t xml:space="preserve">reliability of the </w:t>
      </w:r>
      <w:r w:rsidRPr="001F7149">
        <w:rPr>
          <w:i/>
          <w:iCs/>
          <w:color w:val="auto"/>
          <w:sz w:val="20"/>
          <w:szCs w:val="20"/>
          <w:lang w:val="en-GB"/>
        </w:rPr>
        <w:t>Short Grit Scale (Grit-S)</w:t>
      </w:r>
      <w:r w:rsidRPr="001F7149">
        <w:rPr>
          <w:color w:val="auto"/>
          <w:sz w:val="20"/>
          <w:szCs w:val="20"/>
          <w:lang w:val="en-GB"/>
        </w:rPr>
        <w:t>,</w:t>
      </w:r>
      <w:r w:rsidRPr="002863F9">
        <w:rPr>
          <w:color w:val="auto"/>
          <w:sz w:val="20"/>
          <w:szCs w:val="20"/>
          <w:lang w:val="en-GB"/>
        </w:rPr>
        <w:t xml:space="preserve"> </w:t>
      </w:r>
      <w:r w:rsidRPr="001F7149">
        <w:rPr>
          <w:color w:val="auto"/>
          <w:sz w:val="20"/>
          <w:szCs w:val="20"/>
          <w:lang w:val="en-GB"/>
        </w:rPr>
        <w:t xml:space="preserve">and </w:t>
      </w:r>
      <w:r w:rsidRPr="00B34D2C">
        <w:rPr>
          <w:color w:val="auto"/>
          <w:sz w:val="20"/>
          <w:szCs w:val="20"/>
          <w:lang w:val="en-GB"/>
        </w:rPr>
        <w:t>to determine</w:t>
      </w:r>
      <w:r w:rsidRPr="001F7149">
        <w:rPr>
          <w:color w:val="auto"/>
          <w:sz w:val="20"/>
          <w:szCs w:val="20"/>
          <w:lang w:val="en-GB"/>
        </w:rPr>
        <w:t xml:space="preserve"> measurement invariance across five European nations.</w:t>
      </w:r>
      <w:r>
        <w:rPr>
          <w:lang w:val="en-GB"/>
        </w:rPr>
        <w:t xml:space="preserve"> </w:t>
      </w:r>
    </w:p>
    <w:p w14:paraId="44AE83F9" w14:textId="77777777" w:rsidR="00B34D2C" w:rsidRDefault="00B34D2C" w:rsidP="00A97A73">
      <w:pPr>
        <w:pStyle w:val="Default"/>
        <w:spacing w:after="13"/>
        <w:rPr>
          <w:color w:val="auto"/>
          <w:sz w:val="20"/>
          <w:szCs w:val="20"/>
          <w:lang w:val="en-GB"/>
        </w:rPr>
      </w:pPr>
    </w:p>
    <w:p w14:paraId="6917A854" w14:textId="427CB167" w:rsidR="00E530F6" w:rsidRDefault="00A97A73" w:rsidP="00A97A73">
      <w:pPr>
        <w:pStyle w:val="Default"/>
        <w:spacing w:after="13"/>
        <w:rPr>
          <w:color w:val="auto"/>
          <w:sz w:val="20"/>
          <w:szCs w:val="20"/>
          <w:lang w:val="en-GB"/>
        </w:rPr>
      </w:pPr>
      <w:r w:rsidRPr="000237DF">
        <w:rPr>
          <w:color w:val="auto"/>
          <w:sz w:val="20"/>
          <w:szCs w:val="20"/>
          <w:lang w:val="en-GB"/>
        </w:rPr>
        <w:t xml:space="preserve">3. </w:t>
      </w:r>
      <w:r w:rsidRPr="00402FA1">
        <w:rPr>
          <w:color w:val="auto"/>
          <w:sz w:val="20"/>
          <w:szCs w:val="20"/>
          <w:highlight w:val="yellow"/>
          <w:lang w:val="en-GB"/>
        </w:rPr>
        <w:t>Theoretical background</w:t>
      </w:r>
    </w:p>
    <w:p w14:paraId="75B6A0E0" w14:textId="39450F9B" w:rsidR="005E48A8" w:rsidRPr="005E48A8" w:rsidRDefault="005E48A8" w:rsidP="00A97A73">
      <w:pPr>
        <w:pStyle w:val="Default"/>
        <w:spacing w:after="13"/>
        <w:rPr>
          <w:color w:val="auto"/>
          <w:sz w:val="20"/>
          <w:szCs w:val="20"/>
          <w:lang w:val="en-GB"/>
        </w:rPr>
      </w:pPr>
      <w:r>
        <w:rPr>
          <w:color w:val="auto"/>
          <w:sz w:val="20"/>
          <w:szCs w:val="20"/>
          <w:lang w:val="en-GB"/>
        </w:rPr>
        <w:t xml:space="preserve">In 2007 Duckworth and colleagues elaborated the </w:t>
      </w:r>
      <w:r w:rsidRPr="00B34D2C">
        <w:rPr>
          <w:i/>
          <w:iCs/>
          <w:color w:val="auto"/>
          <w:sz w:val="20"/>
          <w:szCs w:val="20"/>
          <w:lang w:val="en-GB"/>
        </w:rPr>
        <w:t>Grit-Original scale (Grit-O)</w:t>
      </w:r>
      <w:r>
        <w:rPr>
          <w:color w:val="auto"/>
          <w:sz w:val="20"/>
          <w:szCs w:val="20"/>
          <w:lang w:val="en-GB"/>
        </w:rPr>
        <w:t xml:space="preserve"> aiming at measuring the construct of Grit. </w:t>
      </w:r>
      <w:r w:rsidR="00650B59">
        <w:rPr>
          <w:color w:val="auto"/>
          <w:sz w:val="20"/>
          <w:szCs w:val="20"/>
          <w:lang w:val="en-GB"/>
        </w:rPr>
        <w:t>According to the authors,</w:t>
      </w:r>
      <w:r>
        <w:rPr>
          <w:color w:val="auto"/>
          <w:sz w:val="20"/>
          <w:szCs w:val="20"/>
          <w:lang w:val="en-GB"/>
        </w:rPr>
        <w:t xml:space="preserve"> </w:t>
      </w:r>
      <w:r w:rsidRPr="005E48A8">
        <w:rPr>
          <w:color w:val="auto"/>
          <w:sz w:val="20"/>
          <w:szCs w:val="20"/>
          <w:lang w:val="en-GB"/>
        </w:rPr>
        <w:t>grit is comprised of two separate, yet related dimensions: (a) perseverance of effort and (b) consistency of interest</w:t>
      </w:r>
      <w:r w:rsidR="00650B59">
        <w:rPr>
          <w:color w:val="auto"/>
          <w:sz w:val="20"/>
          <w:szCs w:val="20"/>
          <w:lang w:val="en-GB"/>
        </w:rPr>
        <w:t xml:space="preserve">. </w:t>
      </w:r>
      <w:r w:rsidRPr="005E48A8">
        <w:rPr>
          <w:color w:val="auto"/>
          <w:sz w:val="20"/>
          <w:szCs w:val="20"/>
          <w:lang w:val="en-GB"/>
        </w:rPr>
        <w:t xml:space="preserve">Perseverance of effort refers to an individual’s ability to exert high levels of </w:t>
      </w:r>
      <w:r w:rsidR="00B34D2C">
        <w:rPr>
          <w:color w:val="auto"/>
          <w:sz w:val="20"/>
          <w:szCs w:val="20"/>
          <w:lang w:val="en-GB"/>
        </w:rPr>
        <w:t xml:space="preserve">a </w:t>
      </w:r>
      <w:r w:rsidRPr="005E48A8">
        <w:rPr>
          <w:color w:val="auto"/>
          <w:sz w:val="20"/>
          <w:szCs w:val="20"/>
          <w:lang w:val="en-GB"/>
        </w:rPr>
        <w:t xml:space="preserve">sustained or enduring long-term effort to pursue a personal or professional goal despite </w:t>
      </w:r>
      <w:r w:rsidR="00650B59">
        <w:rPr>
          <w:color w:val="auto"/>
          <w:sz w:val="20"/>
          <w:szCs w:val="20"/>
          <w:lang w:val="en-GB"/>
        </w:rPr>
        <w:t>having to face</w:t>
      </w:r>
      <w:r w:rsidRPr="005E48A8">
        <w:rPr>
          <w:color w:val="auto"/>
          <w:sz w:val="20"/>
          <w:szCs w:val="20"/>
          <w:lang w:val="en-GB"/>
        </w:rPr>
        <w:t xml:space="preserve"> setbacks or failures</w:t>
      </w:r>
      <w:r w:rsidR="00650B59">
        <w:rPr>
          <w:color w:val="auto"/>
          <w:sz w:val="20"/>
          <w:szCs w:val="20"/>
          <w:lang w:val="en-GB"/>
        </w:rPr>
        <w:t xml:space="preserve">. </w:t>
      </w:r>
      <w:r w:rsidRPr="005E48A8">
        <w:rPr>
          <w:color w:val="auto"/>
          <w:sz w:val="20"/>
          <w:szCs w:val="20"/>
          <w:lang w:val="en-GB"/>
        </w:rPr>
        <w:t>Consistency of interest, on the other hand, refers to an individual’s tendency to maintain interest in a personal or professional goal</w:t>
      </w:r>
      <w:r w:rsidR="00650B59">
        <w:rPr>
          <w:color w:val="auto"/>
          <w:sz w:val="20"/>
          <w:szCs w:val="20"/>
          <w:lang w:val="en-GB"/>
        </w:rPr>
        <w:t xml:space="preserve"> even </w:t>
      </w:r>
      <w:r w:rsidR="00B34D2C">
        <w:rPr>
          <w:color w:val="auto"/>
          <w:sz w:val="20"/>
          <w:szCs w:val="20"/>
          <w:lang w:val="en-GB"/>
        </w:rPr>
        <w:t>for</w:t>
      </w:r>
      <w:r w:rsidR="00650B59">
        <w:rPr>
          <w:color w:val="auto"/>
          <w:sz w:val="20"/>
          <w:szCs w:val="20"/>
          <w:lang w:val="en-GB"/>
        </w:rPr>
        <w:t xml:space="preserve"> long period</w:t>
      </w:r>
      <w:r w:rsidR="00B34D2C">
        <w:rPr>
          <w:color w:val="auto"/>
          <w:sz w:val="20"/>
          <w:szCs w:val="20"/>
          <w:lang w:val="en-GB"/>
        </w:rPr>
        <w:t>s</w:t>
      </w:r>
      <w:r w:rsidRPr="005E48A8">
        <w:rPr>
          <w:color w:val="auto"/>
          <w:sz w:val="20"/>
          <w:szCs w:val="20"/>
          <w:lang w:val="en-GB"/>
        </w:rPr>
        <w:t xml:space="preserve"> (</w:t>
      </w:r>
      <w:r w:rsidR="00000000">
        <w:fldChar w:fldCharType="begin"/>
      </w:r>
      <w:r w:rsidR="00000000" w:rsidRPr="00A71C73">
        <w:rPr>
          <w:lang w:val="en-GB"/>
        </w:rPr>
        <w:instrText>HYPERLINK "https://www.frontiersin.org/articles/10.3389/fpsyg.2020.00796/full" \l "B25"</w:instrText>
      </w:r>
      <w:r w:rsidR="00000000">
        <w:fldChar w:fldCharType="separate"/>
      </w:r>
      <w:r w:rsidRPr="005E48A8">
        <w:rPr>
          <w:color w:val="auto"/>
          <w:sz w:val="20"/>
          <w:szCs w:val="20"/>
          <w:lang w:val="en-GB"/>
        </w:rPr>
        <w:t>Duckworth et al., 2007</w:t>
      </w:r>
      <w:r w:rsidR="00000000">
        <w:rPr>
          <w:color w:val="auto"/>
          <w:sz w:val="20"/>
          <w:szCs w:val="20"/>
          <w:lang w:val="en-GB"/>
        </w:rPr>
        <w:fldChar w:fldCharType="end"/>
      </w:r>
      <w:r w:rsidRPr="005E48A8">
        <w:rPr>
          <w:color w:val="auto"/>
          <w:sz w:val="20"/>
          <w:szCs w:val="20"/>
          <w:lang w:val="en-GB"/>
        </w:rPr>
        <w:t>).</w:t>
      </w:r>
      <w:r w:rsidR="00650B59">
        <w:rPr>
          <w:color w:val="auto"/>
          <w:sz w:val="20"/>
          <w:szCs w:val="20"/>
          <w:lang w:val="en-GB"/>
        </w:rPr>
        <w:t xml:space="preserve"> The </w:t>
      </w:r>
      <w:r w:rsidR="00650B59" w:rsidRPr="00B34D2C">
        <w:rPr>
          <w:i/>
          <w:iCs/>
          <w:color w:val="auto"/>
          <w:sz w:val="20"/>
          <w:szCs w:val="20"/>
          <w:lang w:val="en-GB"/>
        </w:rPr>
        <w:t>Grit-Original scale (Grit-O)</w:t>
      </w:r>
      <w:r w:rsidR="00650B59">
        <w:rPr>
          <w:color w:val="auto"/>
          <w:sz w:val="20"/>
          <w:szCs w:val="20"/>
          <w:lang w:val="en-GB"/>
        </w:rPr>
        <w:t xml:space="preserve"> is a self-report </w:t>
      </w:r>
      <w:r w:rsidR="00C10B14">
        <w:rPr>
          <w:color w:val="auto"/>
          <w:sz w:val="20"/>
          <w:szCs w:val="20"/>
          <w:lang w:val="en-GB"/>
        </w:rPr>
        <w:t>scale,</w:t>
      </w:r>
      <w:r w:rsidR="00650B59">
        <w:rPr>
          <w:color w:val="auto"/>
          <w:sz w:val="20"/>
          <w:szCs w:val="20"/>
          <w:lang w:val="en-GB"/>
        </w:rPr>
        <w:t xml:space="preserve"> and </w:t>
      </w:r>
      <w:r w:rsidR="00C10B14">
        <w:rPr>
          <w:color w:val="auto"/>
          <w:sz w:val="20"/>
          <w:szCs w:val="20"/>
          <w:lang w:val="en-GB"/>
        </w:rPr>
        <w:t xml:space="preserve">it </w:t>
      </w:r>
      <w:r w:rsidR="00650B59">
        <w:rPr>
          <w:color w:val="auto"/>
          <w:sz w:val="20"/>
          <w:szCs w:val="20"/>
          <w:lang w:val="en-GB"/>
        </w:rPr>
        <w:t xml:space="preserve">is composed </w:t>
      </w:r>
      <w:r w:rsidR="00B34D2C">
        <w:rPr>
          <w:color w:val="auto"/>
          <w:sz w:val="20"/>
          <w:szCs w:val="20"/>
          <w:lang w:val="en-GB"/>
        </w:rPr>
        <w:t>of</w:t>
      </w:r>
      <w:r w:rsidR="00650B59">
        <w:rPr>
          <w:color w:val="auto"/>
          <w:sz w:val="20"/>
          <w:szCs w:val="20"/>
          <w:lang w:val="en-GB"/>
        </w:rPr>
        <w:t xml:space="preserve"> a total of 12 items, 6 of which aiming at measuring dimension</w:t>
      </w:r>
      <w:r w:rsidR="00B34D2C">
        <w:rPr>
          <w:color w:val="auto"/>
          <w:sz w:val="20"/>
          <w:szCs w:val="20"/>
          <w:lang w:val="en-GB"/>
        </w:rPr>
        <w:t xml:space="preserve"> </w:t>
      </w:r>
      <w:r w:rsidR="00650B59">
        <w:rPr>
          <w:color w:val="auto"/>
          <w:sz w:val="20"/>
          <w:szCs w:val="20"/>
          <w:lang w:val="en-GB"/>
        </w:rPr>
        <w:t>(a) perseverance of effort</w:t>
      </w:r>
      <w:r w:rsidR="00B34D2C">
        <w:rPr>
          <w:color w:val="auto"/>
          <w:sz w:val="20"/>
          <w:szCs w:val="20"/>
          <w:lang w:val="en-GB"/>
        </w:rPr>
        <w:t>,</w:t>
      </w:r>
      <w:r w:rsidR="00650B59">
        <w:rPr>
          <w:color w:val="auto"/>
          <w:sz w:val="20"/>
          <w:szCs w:val="20"/>
          <w:lang w:val="en-GB"/>
        </w:rPr>
        <w:t xml:space="preserve"> and the remaining 6 aiming at measuring dimensions (b) consistency of interest.  </w:t>
      </w:r>
    </w:p>
    <w:p w14:paraId="7703D3F4" w14:textId="589A56E1" w:rsidR="00B34D2C" w:rsidRDefault="00B34D2C" w:rsidP="00A97A73">
      <w:pPr>
        <w:pStyle w:val="Default"/>
        <w:spacing w:after="13"/>
        <w:rPr>
          <w:color w:val="auto"/>
          <w:sz w:val="20"/>
          <w:szCs w:val="20"/>
          <w:lang w:val="en-GB"/>
        </w:rPr>
      </w:pPr>
      <w:r>
        <w:rPr>
          <w:color w:val="auto"/>
          <w:sz w:val="20"/>
          <w:szCs w:val="20"/>
          <w:lang w:val="en-GB"/>
        </w:rPr>
        <w:t>H</w:t>
      </w:r>
      <w:r w:rsidR="00650B59">
        <w:rPr>
          <w:color w:val="auto"/>
          <w:sz w:val="20"/>
          <w:szCs w:val="20"/>
          <w:lang w:val="en-GB"/>
        </w:rPr>
        <w:t>owever</w:t>
      </w:r>
      <w:r>
        <w:rPr>
          <w:color w:val="auto"/>
          <w:sz w:val="20"/>
          <w:szCs w:val="20"/>
          <w:lang w:val="en-GB"/>
        </w:rPr>
        <w:t xml:space="preserve">, </w:t>
      </w:r>
      <w:r w:rsidRPr="00B34D2C">
        <w:rPr>
          <w:color w:val="auto"/>
          <w:sz w:val="20"/>
          <w:szCs w:val="20"/>
          <w:lang w:val="en-GB"/>
        </w:rPr>
        <w:t xml:space="preserve">the differential predictive validity of these two </w:t>
      </w:r>
      <w:r>
        <w:rPr>
          <w:color w:val="auto"/>
          <w:sz w:val="20"/>
          <w:szCs w:val="20"/>
          <w:lang w:val="en-GB"/>
        </w:rPr>
        <w:t>dimensions</w:t>
      </w:r>
      <w:r w:rsidRPr="00B34D2C">
        <w:rPr>
          <w:color w:val="auto"/>
          <w:sz w:val="20"/>
          <w:szCs w:val="20"/>
          <w:lang w:val="en-GB"/>
        </w:rPr>
        <w:t xml:space="preserve"> for various outcomes was not explored</w:t>
      </w:r>
      <w:r>
        <w:rPr>
          <w:color w:val="auto"/>
          <w:sz w:val="20"/>
          <w:szCs w:val="20"/>
          <w:lang w:val="en-GB"/>
        </w:rPr>
        <w:t xml:space="preserve"> and m</w:t>
      </w:r>
      <w:r w:rsidRPr="00B34D2C">
        <w:rPr>
          <w:color w:val="auto"/>
          <w:sz w:val="20"/>
          <w:szCs w:val="20"/>
          <w:lang w:val="en-GB"/>
        </w:rPr>
        <w:t>oreover, the model fit of the Grit–O root mean square error of approximation</w:t>
      </w:r>
      <w:r>
        <w:rPr>
          <w:color w:val="auto"/>
          <w:sz w:val="20"/>
          <w:szCs w:val="20"/>
          <w:lang w:val="en-GB"/>
        </w:rPr>
        <w:t xml:space="preserve"> </w:t>
      </w:r>
      <w:r w:rsidRPr="00B34D2C">
        <w:rPr>
          <w:color w:val="auto"/>
          <w:sz w:val="20"/>
          <w:szCs w:val="20"/>
          <w:lang w:val="en-GB"/>
        </w:rPr>
        <w:t>suggested room for improvement.</w:t>
      </w:r>
    </w:p>
    <w:p w14:paraId="3403D9EB" w14:textId="77777777" w:rsidR="00B34D2C" w:rsidRPr="00B34D2C" w:rsidRDefault="00B34D2C" w:rsidP="00A97A73">
      <w:pPr>
        <w:pStyle w:val="Default"/>
        <w:spacing w:after="13"/>
        <w:rPr>
          <w:color w:val="auto"/>
          <w:sz w:val="20"/>
          <w:szCs w:val="20"/>
          <w:lang w:val="en-GB"/>
        </w:rPr>
      </w:pPr>
    </w:p>
    <w:p w14:paraId="09CCD50E" w14:textId="576F074E" w:rsidR="00A97A73" w:rsidRDefault="00B34D2C" w:rsidP="00A97A73">
      <w:pPr>
        <w:pStyle w:val="Default"/>
        <w:spacing w:after="13"/>
        <w:rPr>
          <w:color w:val="auto"/>
          <w:sz w:val="20"/>
          <w:szCs w:val="20"/>
          <w:lang w:val="en-GB"/>
        </w:rPr>
      </w:pPr>
      <w:r>
        <w:rPr>
          <w:color w:val="auto"/>
          <w:sz w:val="20"/>
          <w:szCs w:val="20"/>
          <w:lang w:val="en-GB"/>
        </w:rPr>
        <w:t xml:space="preserve">Therefore, </w:t>
      </w:r>
      <w:r w:rsidR="00E530F6" w:rsidRPr="001F7149">
        <w:rPr>
          <w:color w:val="auto"/>
          <w:sz w:val="20"/>
          <w:szCs w:val="20"/>
          <w:lang w:val="en-GB"/>
        </w:rPr>
        <w:t>in 2009 Duckworth and Quinn</w:t>
      </w:r>
      <w:r>
        <w:rPr>
          <w:color w:val="auto"/>
          <w:sz w:val="20"/>
          <w:szCs w:val="20"/>
          <w:lang w:val="en-GB"/>
        </w:rPr>
        <w:t xml:space="preserve">, with the intent of validating a more </w:t>
      </w:r>
      <w:r w:rsidRPr="00B34D2C">
        <w:rPr>
          <w:color w:val="auto"/>
          <w:sz w:val="20"/>
          <w:szCs w:val="20"/>
          <w:lang w:val="en-GB"/>
        </w:rPr>
        <w:t>efficient measure of grit</w:t>
      </w:r>
      <w:r>
        <w:rPr>
          <w:color w:val="auto"/>
          <w:sz w:val="20"/>
          <w:szCs w:val="20"/>
          <w:lang w:val="en-GB"/>
        </w:rPr>
        <w:t xml:space="preserve">, elaborated </w:t>
      </w:r>
      <w:r w:rsidR="00E530F6" w:rsidRPr="001F7149">
        <w:rPr>
          <w:color w:val="auto"/>
          <w:sz w:val="20"/>
          <w:szCs w:val="20"/>
          <w:lang w:val="en-GB"/>
        </w:rPr>
        <w:t xml:space="preserve">The </w:t>
      </w:r>
      <w:r w:rsidR="00E530F6" w:rsidRPr="00B34D2C">
        <w:rPr>
          <w:i/>
          <w:iCs/>
          <w:color w:val="auto"/>
          <w:sz w:val="20"/>
          <w:szCs w:val="20"/>
          <w:lang w:val="en-GB"/>
        </w:rPr>
        <w:t>Short Grit Scale (Grit-S)</w:t>
      </w:r>
      <w:r>
        <w:rPr>
          <w:color w:val="auto"/>
          <w:sz w:val="20"/>
          <w:szCs w:val="20"/>
          <w:lang w:val="en-GB"/>
        </w:rPr>
        <w:t>. This measure</w:t>
      </w:r>
      <w:r w:rsidR="00E530F6" w:rsidRPr="002863F9">
        <w:rPr>
          <w:color w:val="auto"/>
          <w:sz w:val="20"/>
          <w:szCs w:val="20"/>
          <w:lang w:val="en-GB"/>
        </w:rPr>
        <w:t xml:space="preserve"> is</w:t>
      </w:r>
      <w:r w:rsidRPr="00B34D2C">
        <w:rPr>
          <w:color w:val="auto"/>
          <w:sz w:val="20"/>
          <w:szCs w:val="20"/>
          <w:lang w:val="en-GB"/>
        </w:rPr>
        <w:t xml:space="preserve"> </w:t>
      </w:r>
      <w:r>
        <w:rPr>
          <w:color w:val="auto"/>
          <w:sz w:val="20"/>
          <w:szCs w:val="20"/>
          <w:lang w:val="en-GB"/>
        </w:rPr>
        <w:t>a short self-report</w:t>
      </w:r>
      <w:r w:rsidR="00E530F6" w:rsidRPr="002863F9">
        <w:rPr>
          <w:color w:val="auto"/>
          <w:sz w:val="20"/>
          <w:szCs w:val="20"/>
          <w:lang w:val="en-GB"/>
        </w:rPr>
        <w:t xml:space="preserve"> </w:t>
      </w:r>
      <w:r>
        <w:rPr>
          <w:color w:val="auto"/>
          <w:sz w:val="20"/>
          <w:szCs w:val="20"/>
          <w:lang w:val="en-GB"/>
        </w:rPr>
        <w:t xml:space="preserve">scale that relies on the two-dimension (perseverance of effort and consistency of interest) theory, and it considers only </w:t>
      </w:r>
      <w:r w:rsidR="00E530F6" w:rsidRPr="002863F9">
        <w:rPr>
          <w:color w:val="auto"/>
          <w:sz w:val="20"/>
          <w:szCs w:val="20"/>
          <w:lang w:val="en-GB"/>
        </w:rPr>
        <w:t>8</w:t>
      </w:r>
      <w:r>
        <w:rPr>
          <w:color w:val="auto"/>
          <w:sz w:val="20"/>
          <w:szCs w:val="20"/>
          <w:lang w:val="en-GB"/>
        </w:rPr>
        <w:t xml:space="preserve"> out of the 12 items that, in the Duckworth et al., 2007 study, appeared to have </w:t>
      </w:r>
      <w:r w:rsidRPr="00B34D2C">
        <w:rPr>
          <w:color w:val="auto"/>
          <w:sz w:val="20"/>
          <w:szCs w:val="20"/>
          <w:lang w:val="en-GB"/>
        </w:rPr>
        <w:t xml:space="preserve">the best overall predictive validity. The validation of the scale reported that the </w:t>
      </w:r>
      <w:r w:rsidRPr="00B34D2C">
        <w:rPr>
          <w:i/>
          <w:iCs/>
          <w:color w:val="auto"/>
          <w:sz w:val="20"/>
          <w:szCs w:val="20"/>
          <w:lang w:val="en-GB"/>
        </w:rPr>
        <w:t>Short Grit Scale (Grit-S)</w:t>
      </w:r>
      <w:r w:rsidRPr="00B34D2C">
        <w:rPr>
          <w:color w:val="auto"/>
          <w:sz w:val="20"/>
          <w:szCs w:val="20"/>
          <w:lang w:val="en-GB"/>
        </w:rPr>
        <w:t xml:space="preserve"> improved psychometric properties if compared to the first original version (</w:t>
      </w:r>
      <w:r w:rsidRPr="005E48A8">
        <w:rPr>
          <w:color w:val="auto"/>
          <w:sz w:val="20"/>
          <w:szCs w:val="20"/>
          <w:lang w:val="en-GB"/>
        </w:rPr>
        <w:t>Grit-Original scale</w:t>
      </w:r>
      <w:r w:rsidRPr="00B34D2C">
        <w:rPr>
          <w:color w:val="auto"/>
          <w:sz w:val="20"/>
          <w:szCs w:val="20"/>
          <w:lang w:val="en-GB"/>
        </w:rPr>
        <w:t xml:space="preserve">), specifically higher levels of internal consistency, test-retest stability, and predictive validity.  </w:t>
      </w:r>
      <w:r>
        <w:rPr>
          <w:color w:val="auto"/>
          <w:sz w:val="20"/>
          <w:szCs w:val="20"/>
          <w:lang w:val="en-GB"/>
        </w:rPr>
        <w:t xml:space="preserve"> </w:t>
      </w:r>
    </w:p>
    <w:p w14:paraId="65928EC9" w14:textId="77777777" w:rsidR="00B34D2C" w:rsidRDefault="00B34D2C" w:rsidP="00A97A73">
      <w:pPr>
        <w:pStyle w:val="Default"/>
        <w:spacing w:after="13"/>
        <w:rPr>
          <w:color w:val="auto"/>
          <w:sz w:val="20"/>
          <w:szCs w:val="20"/>
          <w:highlight w:val="yellow"/>
          <w:lang w:val="en-GB"/>
        </w:rPr>
      </w:pPr>
    </w:p>
    <w:p w14:paraId="12162E2A" w14:textId="093F89B5" w:rsidR="00A97A73" w:rsidRDefault="00A97A73" w:rsidP="00A97A73">
      <w:pPr>
        <w:pStyle w:val="Default"/>
        <w:spacing w:after="13"/>
        <w:rPr>
          <w:color w:val="auto"/>
          <w:sz w:val="20"/>
          <w:szCs w:val="20"/>
          <w:lang w:val="en-GB"/>
        </w:rPr>
      </w:pPr>
      <w:r w:rsidRPr="00B34D2C">
        <w:rPr>
          <w:color w:val="auto"/>
          <w:sz w:val="20"/>
          <w:szCs w:val="20"/>
          <w:highlight w:val="yellow"/>
          <w:lang w:val="en-GB"/>
        </w:rPr>
        <w:t>4. Design/Methodology/Approach/Intervention</w:t>
      </w:r>
      <w:r w:rsidRPr="000237DF">
        <w:rPr>
          <w:color w:val="auto"/>
          <w:sz w:val="20"/>
          <w:szCs w:val="20"/>
          <w:lang w:val="en-GB"/>
        </w:rPr>
        <w:t xml:space="preserve"> </w:t>
      </w:r>
    </w:p>
    <w:p w14:paraId="43B3FA30" w14:textId="55B8CDF8" w:rsidR="00E530F6" w:rsidRPr="000237DF" w:rsidRDefault="00402FA1" w:rsidP="00A97A73">
      <w:pPr>
        <w:pStyle w:val="Default"/>
        <w:spacing w:after="13"/>
        <w:rPr>
          <w:color w:val="auto"/>
          <w:sz w:val="20"/>
          <w:szCs w:val="20"/>
          <w:lang w:val="en-GB"/>
        </w:rPr>
      </w:pPr>
      <w:r w:rsidRPr="001F7149">
        <w:rPr>
          <w:color w:val="auto"/>
          <w:sz w:val="20"/>
          <w:szCs w:val="20"/>
          <w:lang w:val="en-GB"/>
        </w:rPr>
        <w:t xml:space="preserve">Data </w:t>
      </w:r>
      <w:r w:rsidR="00837533">
        <w:rPr>
          <w:color w:val="auto"/>
          <w:sz w:val="20"/>
          <w:szCs w:val="20"/>
          <w:lang w:val="en-GB"/>
        </w:rPr>
        <w:t>were</w:t>
      </w:r>
      <w:r w:rsidRPr="001F7149">
        <w:rPr>
          <w:color w:val="auto"/>
          <w:sz w:val="20"/>
          <w:szCs w:val="20"/>
          <w:lang w:val="en-GB"/>
        </w:rPr>
        <w:t xml:space="preserve"> </w:t>
      </w:r>
      <w:r w:rsidR="00837533">
        <w:rPr>
          <w:color w:val="auto"/>
          <w:sz w:val="20"/>
          <w:szCs w:val="20"/>
          <w:lang w:val="en-GB"/>
        </w:rPr>
        <w:t>requested and then gathered</w:t>
      </w:r>
      <w:r w:rsidRPr="001F7149">
        <w:rPr>
          <w:color w:val="auto"/>
          <w:sz w:val="20"/>
          <w:szCs w:val="20"/>
          <w:lang w:val="en-GB"/>
        </w:rPr>
        <w:t xml:space="preserve"> from </w:t>
      </w:r>
      <w:r w:rsidR="00837533">
        <w:rPr>
          <w:color w:val="auto"/>
          <w:sz w:val="20"/>
          <w:szCs w:val="20"/>
          <w:lang w:val="en-GB"/>
        </w:rPr>
        <w:t>previous</w:t>
      </w:r>
      <w:r w:rsidR="00C10B14">
        <w:rPr>
          <w:color w:val="auto"/>
          <w:sz w:val="20"/>
          <w:szCs w:val="20"/>
          <w:lang w:val="en-GB"/>
        </w:rPr>
        <w:t xml:space="preserve"> international</w:t>
      </w:r>
      <w:r w:rsidR="00837533">
        <w:rPr>
          <w:color w:val="auto"/>
          <w:sz w:val="20"/>
          <w:szCs w:val="20"/>
          <w:lang w:val="en-GB"/>
        </w:rPr>
        <w:t xml:space="preserve"> validations of the scale. Specifically, we</w:t>
      </w:r>
      <w:r w:rsidR="00C10B14">
        <w:rPr>
          <w:color w:val="auto"/>
          <w:sz w:val="20"/>
          <w:szCs w:val="20"/>
          <w:lang w:val="en-GB"/>
        </w:rPr>
        <w:t xml:space="preserve"> considered</w:t>
      </w:r>
      <w:r w:rsidR="00837533">
        <w:rPr>
          <w:color w:val="auto"/>
          <w:sz w:val="20"/>
          <w:szCs w:val="20"/>
          <w:lang w:val="en-GB"/>
        </w:rPr>
        <w:t xml:space="preserve"> data </w:t>
      </w:r>
      <w:r w:rsidR="00916AF9">
        <w:rPr>
          <w:color w:val="auto"/>
          <w:sz w:val="20"/>
          <w:szCs w:val="20"/>
          <w:lang w:val="en-GB"/>
        </w:rPr>
        <w:t xml:space="preserve">of </w:t>
      </w:r>
      <w:r w:rsidR="00837533">
        <w:rPr>
          <w:color w:val="auto"/>
          <w:sz w:val="20"/>
          <w:szCs w:val="20"/>
          <w:lang w:val="en-GB"/>
        </w:rPr>
        <w:t xml:space="preserve">respondents </w:t>
      </w:r>
      <w:r w:rsidRPr="001F7149">
        <w:rPr>
          <w:color w:val="auto"/>
          <w:sz w:val="20"/>
          <w:szCs w:val="20"/>
          <w:lang w:val="en-GB"/>
        </w:rPr>
        <w:t>f</w:t>
      </w:r>
      <w:r w:rsidR="00B34D2C">
        <w:rPr>
          <w:color w:val="auto"/>
          <w:sz w:val="20"/>
          <w:szCs w:val="20"/>
          <w:lang w:val="en-GB"/>
        </w:rPr>
        <w:t>ro</w:t>
      </w:r>
      <w:r w:rsidRPr="001F7149">
        <w:rPr>
          <w:color w:val="auto"/>
          <w:sz w:val="20"/>
          <w:szCs w:val="20"/>
          <w:lang w:val="en-GB"/>
        </w:rPr>
        <w:t>m Italy (n=235), Germany (n=350), Poland (n=570), Spain (n=1826), and the UK (n=264).</w:t>
      </w:r>
      <w:r w:rsidR="001F7149">
        <w:rPr>
          <w:color w:val="auto"/>
          <w:sz w:val="20"/>
          <w:szCs w:val="20"/>
          <w:lang w:val="en-GB"/>
        </w:rPr>
        <w:t xml:space="preserve"> </w:t>
      </w:r>
      <w:r w:rsidRPr="001F7149">
        <w:rPr>
          <w:color w:val="auto"/>
          <w:sz w:val="20"/>
          <w:szCs w:val="20"/>
          <w:lang w:val="en-GB"/>
        </w:rPr>
        <w:t xml:space="preserve">A series of traditional </w:t>
      </w:r>
      <w:r w:rsidR="00916AF9" w:rsidRPr="00916AF9">
        <w:rPr>
          <w:color w:val="auto"/>
          <w:sz w:val="20"/>
          <w:szCs w:val="20"/>
          <w:lang w:val="en-GB"/>
        </w:rPr>
        <w:t>confirmatory factor analyses</w:t>
      </w:r>
      <w:r w:rsidR="00916AF9">
        <w:rPr>
          <w:color w:val="auto"/>
          <w:sz w:val="20"/>
          <w:szCs w:val="20"/>
          <w:lang w:val="en-GB"/>
        </w:rPr>
        <w:t xml:space="preserve"> (</w:t>
      </w:r>
      <w:r w:rsidRPr="001F7149">
        <w:rPr>
          <w:color w:val="auto"/>
          <w:sz w:val="20"/>
          <w:szCs w:val="20"/>
          <w:lang w:val="en-GB"/>
        </w:rPr>
        <w:t>CFA</w:t>
      </w:r>
      <w:r w:rsidR="00916AF9">
        <w:rPr>
          <w:color w:val="auto"/>
          <w:sz w:val="20"/>
          <w:szCs w:val="20"/>
          <w:lang w:val="en-GB"/>
        </w:rPr>
        <w:t>)</w:t>
      </w:r>
      <w:r w:rsidRPr="001F7149">
        <w:rPr>
          <w:color w:val="auto"/>
          <w:sz w:val="20"/>
          <w:szCs w:val="20"/>
          <w:lang w:val="en-GB"/>
        </w:rPr>
        <w:t xml:space="preserve"> and less restrictive</w:t>
      </w:r>
      <w:r w:rsidR="00916AF9">
        <w:rPr>
          <w:color w:val="auto"/>
          <w:sz w:val="20"/>
          <w:szCs w:val="20"/>
          <w:lang w:val="en-GB"/>
        </w:rPr>
        <w:t xml:space="preserve"> </w:t>
      </w:r>
      <w:r w:rsidR="00916AF9" w:rsidRPr="00916AF9">
        <w:rPr>
          <w:color w:val="auto"/>
          <w:sz w:val="20"/>
          <w:szCs w:val="20"/>
          <w:lang w:val="en-GB"/>
        </w:rPr>
        <w:t xml:space="preserve">exploratory structural equation </w:t>
      </w:r>
      <w:proofErr w:type="spellStart"/>
      <w:r w:rsidR="00916AF9" w:rsidRPr="00916AF9">
        <w:rPr>
          <w:color w:val="auto"/>
          <w:sz w:val="20"/>
          <w:szCs w:val="20"/>
          <w:lang w:val="en-GB"/>
        </w:rPr>
        <w:t>modeling</w:t>
      </w:r>
      <w:proofErr w:type="spellEnd"/>
      <w:r w:rsidRPr="001F7149">
        <w:rPr>
          <w:color w:val="auto"/>
          <w:sz w:val="20"/>
          <w:szCs w:val="20"/>
          <w:lang w:val="en-GB"/>
        </w:rPr>
        <w:t xml:space="preserve"> </w:t>
      </w:r>
      <w:r w:rsidR="00916AF9">
        <w:rPr>
          <w:color w:val="auto"/>
          <w:sz w:val="20"/>
          <w:szCs w:val="20"/>
          <w:lang w:val="en-GB"/>
        </w:rPr>
        <w:t>(</w:t>
      </w:r>
      <w:r w:rsidRPr="001F7149">
        <w:rPr>
          <w:color w:val="auto"/>
          <w:sz w:val="20"/>
          <w:szCs w:val="20"/>
          <w:lang w:val="en-GB"/>
        </w:rPr>
        <w:t>ESEM</w:t>
      </w:r>
      <w:r w:rsidR="00916AF9">
        <w:rPr>
          <w:color w:val="auto"/>
          <w:sz w:val="20"/>
          <w:szCs w:val="20"/>
          <w:lang w:val="en-GB"/>
        </w:rPr>
        <w:t>)</w:t>
      </w:r>
      <w:r w:rsidRPr="001F7149">
        <w:rPr>
          <w:color w:val="auto"/>
          <w:sz w:val="20"/>
          <w:szCs w:val="20"/>
          <w:lang w:val="en-GB"/>
        </w:rPr>
        <w:t xml:space="preserve"> models will be estimated and systematically compared</w:t>
      </w:r>
      <w:r w:rsidR="00B34D2C">
        <w:rPr>
          <w:color w:val="auto"/>
          <w:sz w:val="20"/>
          <w:szCs w:val="20"/>
          <w:lang w:val="en-GB"/>
        </w:rPr>
        <w:t xml:space="preserve"> among countries,</w:t>
      </w:r>
      <w:r w:rsidRPr="001F7149">
        <w:rPr>
          <w:color w:val="auto"/>
          <w:sz w:val="20"/>
          <w:szCs w:val="20"/>
          <w:lang w:val="en-GB"/>
        </w:rPr>
        <w:t xml:space="preserve"> to determine the best factorial form of the Grit-S Scale.</w:t>
      </w:r>
    </w:p>
    <w:p w14:paraId="1AC817A3" w14:textId="77777777" w:rsidR="00B34D2C" w:rsidRDefault="00B34D2C" w:rsidP="00A97A73">
      <w:pPr>
        <w:pStyle w:val="Default"/>
        <w:spacing w:after="13"/>
        <w:rPr>
          <w:color w:val="auto"/>
          <w:sz w:val="20"/>
          <w:szCs w:val="20"/>
          <w:lang w:val="en-GB"/>
        </w:rPr>
      </w:pPr>
    </w:p>
    <w:p w14:paraId="77F5BDF2" w14:textId="2B73F699" w:rsidR="00A97A73" w:rsidRDefault="00A97A73" w:rsidP="00A97A73">
      <w:pPr>
        <w:pStyle w:val="Default"/>
        <w:spacing w:after="13"/>
        <w:rPr>
          <w:color w:val="auto"/>
          <w:sz w:val="20"/>
          <w:szCs w:val="20"/>
          <w:highlight w:val="yellow"/>
          <w:lang w:val="en-GB"/>
        </w:rPr>
      </w:pPr>
      <w:r w:rsidRPr="000237DF">
        <w:rPr>
          <w:color w:val="auto"/>
          <w:sz w:val="20"/>
          <w:szCs w:val="20"/>
          <w:lang w:val="en-GB"/>
        </w:rPr>
        <w:t>5</w:t>
      </w:r>
      <w:r w:rsidRPr="00402FA1">
        <w:rPr>
          <w:color w:val="auto"/>
          <w:sz w:val="20"/>
          <w:szCs w:val="20"/>
          <w:highlight w:val="yellow"/>
          <w:lang w:val="en-GB"/>
        </w:rPr>
        <w:t xml:space="preserve">. Results obtained or expected (if not available, it must be made clear when they will be) </w:t>
      </w:r>
    </w:p>
    <w:p w14:paraId="3B969221" w14:textId="45527FB5" w:rsidR="00B34D2C" w:rsidRPr="001F7149" w:rsidRDefault="00B34D2C" w:rsidP="00B34D2C">
      <w:pPr>
        <w:pStyle w:val="Default"/>
        <w:spacing w:after="13"/>
        <w:rPr>
          <w:color w:val="auto"/>
          <w:sz w:val="20"/>
          <w:szCs w:val="20"/>
          <w:lang w:val="en-GB"/>
        </w:rPr>
      </w:pPr>
      <w:r w:rsidRPr="001F7149">
        <w:rPr>
          <w:color w:val="auto"/>
          <w:sz w:val="20"/>
          <w:szCs w:val="20"/>
          <w:lang w:val="en-GB"/>
        </w:rPr>
        <w:t>We expect</w:t>
      </w:r>
      <w:r>
        <w:rPr>
          <w:color w:val="auto"/>
          <w:sz w:val="20"/>
          <w:szCs w:val="20"/>
          <w:lang w:val="en-GB"/>
        </w:rPr>
        <w:t>, by the end of 2022,</w:t>
      </w:r>
      <w:r w:rsidRPr="001F7149">
        <w:rPr>
          <w:color w:val="auto"/>
          <w:sz w:val="20"/>
          <w:szCs w:val="20"/>
          <w:lang w:val="en-GB"/>
        </w:rPr>
        <w:t xml:space="preserve"> results to s</w:t>
      </w:r>
      <w:r>
        <w:rPr>
          <w:color w:val="auto"/>
          <w:sz w:val="20"/>
          <w:szCs w:val="20"/>
          <w:lang w:val="en-GB"/>
        </w:rPr>
        <w:t>h</w:t>
      </w:r>
      <w:r w:rsidRPr="001F7149">
        <w:rPr>
          <w:color w:val="auto"/>
          <w:sz w:val="20"/>
          <w:szCs w:val="20"/>
          <w:lang w:val="en-GB"/>
        </w:rPr>
        <w:t>ow</w:t>
      </w:r>
      <w:r w:rsidR="00C10B14" w:rsidRPr="00C10B14">
        <w:rPr>
          <w:color w:val="auto"/>
          <w:sz w:val="20"/>
          <w:szCs w:val="20"/>
          <w:lang w:val="en-GB"/>
        </w:rPr>
        <w:t xml:space="preserve"> good reliability and validity indexes</w:t>
      </w:r>
      <w:r w:rsidR="00C10B14">
        <w:rPr>
          <w:color w:val="auto"/>
          <w:sz w:val="20"/>
          <w:szCs w:val="20"/>
          <w:lang w:val="en-GB"/>
        </w:rPr>
        <w:t xml:space="preserve"> of the </w:t>
      </w:r>
      <w:r w:rsidR="00C10B14" w:rsidRPr="00C10B14">
        <w:rPr>
          <w:color w:val="auto"/>
          <w:sz w:val="20"/>
          <w:szCs w:val="20"/>
          <w:lang w:val="en-GB"/>
        </w:rPr>
        <w:t>Short Grit Scale (Grit-S)</w:t>
      </w:r>
      <w:r w:rsidR="00C10B14">
        <w:rPr>
          <w:color w:val="auto"/>
          <w:sz w:val="20"/>
          <w:szCs w:val="20"/>
          <w:lang w:val="en-GB"/>
        </w:rPr>
        <w:t xml:space="preserve"> across the nations we have considered. T</w:t>
      </w:r>
      <w:r>
        <w:rPr>
          <w:color w:val="auto"/>
          <w:sz w:val="20"/>
          <w:szCs w:val="20"/>
          <w:lang w:val="en-GB"/>
        </w:rPr>
        <w:t xml:space="preserve">hat </w:t>
      </w:r>
      <w:r w:rsidR="00C10B14">
        <w:rPr>
          <w:color w:val="auto"/>
          <w:sz w:val="20"/>
          <w:szCs w:val="20"/>
          <w:lang w:val="en-GB"/>
        </w:rPr>
        <w:t xml:space="preserve">through a </w:t>
      </w:r>
      <w:r w:rsidRPr="001F7149">
        <w:rPr>
          <w:color w:val="auto"/>
          <w:sz w:val="20"/>
          <w:szCs w:val="20"/>
          <w:lang w:val="en-GB"/>
        </w:rPr>
        <w:t>bifactor ESEM model, with one general factor of overall grit and two specific factors (</w:t>
      </w:r>
      <w:r>
        <w:rPr>
          <w:color w:val="auto"/>
          <w:sz w:val="20"/>
          <w:szCs w:val="20"/>
          <w:lang w:val="en-GB"/>
        </w:rPr>
        <w:t xml:space="preserve">i.e., </w:t>
      </w:r>
      <w:r w:rsidRPr="001F7149">
        <w:rPr>
          <w:color w:val="auto"/>
          <w:sz w:val="20"/>
          <w:szCs w:val="20"/>
          <w:lang w:val="en-GB"/>
        </w:rPr>
        <w:t>consistency of interest and perseverance of effort</w:t>
      </w:r>
      <w:r w:rsidR="00C10B14" w:rsidRPr="001F7149">
        <w:rPr>
          <w:color w:val="auto"/>
          <w:sz w:val="20"/>
          <w:szCs w:val="20"/>
          <w:lang w:val="en-GB"/>
        </w:rPr>
        <w:t>)</w:t>
      </w:r>
      <w:r w:rsidR="00C10B14">
        <w:rPr>
          <w:color w:val="auto"/>
          <w:sz w:val="20"/>
          <w:szCs w:val="20"/>
          <w:lang w:val="en-GB"/>
        </w:rPr>
        <w:t>.</w:t>
      </w:r>
    </w:p>
    <w:p w14:paraId="729078B7" w14:textId="77777777" w:rsidR="00B34D2C" w:rsidRDefault="00B34D2C" w:rsidP="00A97A73">
      <w:pPr>
        <w:pStyle w:val="Default"/>
        <w:spacing w:after="13"/>
        <w:rPr>
          <w:color w:val="auto"/>
          <w:sz w:val="20"/>
          <w:szCs w:val="20"/>
          <w:highlight w:val="yellow"/>
          <w:lang w:val="en-GB"/>
        </w:rPr>
      </w:pPr>
    </w:p>
    <w:p w14:paraId="1D1E24C9" w14:textId="7AC4FFA6" w:rsidR="00402FA1" w:rsidRDefault="00A97A73" w:rsidP="00A97A73">
      <w:pPr>
        <w:pStyle w:val="Default"/>
        <w:spacing w:after="13"/>
        <w:rPr>
          <w:color w:val="auto"/>
          <w:sz w:val="20"/>
          <w:szCs w:val="20"/>
          <w:highlight w:val="yellow"/>
          <w:lang w:val="en-GB"/>
        </w:rPr>
      </w:pPr>
      <w:r w:rsidRPr="00402FA1">
        <w:rPr>
          <w:color w:val="auto"/>
          <w:sz w:val="20"/>
          <w:szCs w:val="20"/>
          <w:highlight w:val="yellow"/>
          <w:lang w:val="en-GB"/>
        </w:rPr>
        <w:t>6. Limitations</w:t>
      </w:r>
    </w:p>
    <w:p w14:paraId="2984F210" w14:textId="2C4EEFD5" w:rsidR="00A97A73" w:rsidRPr="00402FA1" w:rsidRDefault="00402FA1" w:rsidP="00A97A73">
      <w:pPr>
        <w:pStyle w:val="Default"/>
        <w:spacing w:after="13"/>
        <w:rPr>
          <w:color w:val="auto"/>
          <w:sz w:val="20"/>
          <w:szCs w:val="20"/>
          <w:lang w:val="en-GB"/>
        </w:rPr>
      </w:pPr>
      <w:r w:rsidRPr="00402FA1">
        <w:rPr>
          <w:color w:val="auto"/>
          <w:sz w:val="20"/>
          <w:szCs w:val="20"/>
          <w:lang w:val="en-GB"/>
        </w:rPr>
        <w:t>Limitations of the study can be reconducted to th</w:t>
      </w:r>
      <w:r w:rsidR="00B34D2C">
        <w:rPr>
          <w:color w:val="auto"/>
          <w:sz w:val="20"/>
          <w:szCs w:val="20"/>
          <w:lang w:val="en-GB"/>
        </w:rPr>
        <w:t xml:space="preserve">e fact that this study only includes European countries and therefore cultural differences among participants might be limited. Moreover, the scale was not compared to other scales measuring the same construct, which could have permitted the measurement of the discriminant component validity. In addition, individual differences such as age, gender, and social background had not been explored. </w:t>
      </w:r>
      <w:r w:rsidR="00D804EE">
        <w:rPr>
          <w:color w:val="auto"/>
          <w:sz w:val="20"/>
          <w:szCs w:val="20"/>
          <w:lang w:val="en-GB"/>
        </w:rPr>
        <w:t>It could be interesting, in the future, to investigate cultural differences on a wider range of countries including non-European and to investigate whether demographic differences can have an impact on the validity of the scale. Moreover, it could be useful to use another scale</w:t>
      </w:r>
      <w:r w:rsidR="000773C1">
        <w:rPr>
          <w:color w:val="auto"/>
          <w:sz w:val="20"/>
          <w:szCs w:val="20"/>
          <w:lang w:val="en-GB"/>
        </w:rPr>
        <w:t xml:space="preserve"> to compare the results</w:t>
      </w:r>
      <w:r w:rsidR="00D804EE">
        <w:rPr>
          <w:color w:val="auto"/>
          <w:sz w:val="20"/>
          <w:szCs w:val="20"/>
          <w:lang w:val="en-GB"/>
        </w:rPr>
        <w:t>, such as</w:t>
      </w:r>
      <w:r w:rsidR="000773C1">
        <w:rPr>
          <w:color w:val="auto"/>
          <w:sz w:val="20"/>
          <w:szCs w:val="20"/>
          <w:lang w:val="en-GB"/>
        </w:rPr>
        <w:t>, for example</w:t>
      </w:r>
      <w:r w:rsidR="00D804EE">
        <w:rPr>
          <w:color w:val="auto"/>
          <w:sz w:val="20"/>
          <w:szCs w:val="20"/>
          <w:lang w:val="en-GB"/>
        </w:rPr>
        <w:t xml:space="preserve"> the previous version of the scale</w:t>
      </w:r>
      <w:r w:rsidR="000773C1">
        <w:rPr>
          <w:color w:val="auto"/>
          <w:sz w:val="20"/>
          <w:szCs w:val="20"/>
          <w:lang w:val="en-GB"/>
        </w:rPr>
        <w:t>:</w:t>
      </w:r>
      <w:r w:rsidR="00D804EE">
        <w:rPr>
          <w:color w:val="auto"/>
          <w:sz w:val="20"/>
          <w:szCs w:val="20"/>
          <w:lang w:val="en-GB"/>
        </w:rPr>
        <w:t xml:space="preserve"> the </w:t>
      </w:r>
      <w:r w:rsidR="00D804EE" w:rsidRPr="00D804EE">
        <w:rPr>
          <w:i/>
          <w:iCs/>
          <w:color w:val="auto"/>
          <w:sz w:val="20"/>
          <w:szCs w:val="20"/>
          <w:lang w:val="en-GB"/>
        </w:rPr>
        <w:t>Grit-O Scale</w:t>
      </w:r>
      <w:r w:rsidR="000773C1">
        <w:rPr>
          <w:i/>
          <w:iCs/>
          <w:color w:val="auto"/>
          <w:sz w:val="20"/>
          <w:szCs w:val="20"/>
          <w:lang w:val="en-GB"/>
        </w:rPr>
        <w:t>.</w:t>
      </w:r>
    </w:p>
    <w:p w14:paraId="70F4CF63" w14:textId="77777777" w:rsidR="00B34D2C" w:rsidRDefault="00B34D2C" w:rsidP="00A97A73">
      <w:pPr>
        <w:pStyle w:val="Default"/>
        <w:spacing w:after="13"/>
        <w:rPr>
          <w:color w:val="auto"/>
          <w:sz w:val="20"/>
          <w:szCs w:val="20"/>
          <w:highlight w:val="yellow"/>
          <w:lang w:val="en-GB"/>
        </w:rPr>
      </w:pPr>
    </w:p>
    <w:p w14:paraId="6C47211B" w14:textId="04F2C824" w:rsidR="00A97A73" w:rsidRDefault="00A97A73" w:rsidP="00A97A73">
      <w:pPr>
        <w:pStyle w:val="Default"/>
        <w:spacing w:after="13"/>
        <w:rPr>
          <w:color w:val="auto"/>
          <w:sz w:val="20"/>
          <w:szCs w:val="20"/>
          <w:highlight w:val="yellow"/>
          <w:lang w:val="en-GB"/>
        </w:rPr>
      </w:pPr>
      <w:r w:rsidRPr="00402FA1">
        <w:rPr>
          <w:color w:val="auto"/>
          <w:sz w:val="20"/>
          <w:szCs w:val="20"/>
          <w:highlight w:val="yellow"/>
          <w:lang w:val="en-GB"/>
        </w:rPr>
        <w:t xml:space="preserve">7. Conclusions – research and or practical implications/Originality/Value </w:t>
      </w:r>
    </w:p>
    <w:p w14:paraId="168AA281" w14:textId="33E91E60" w:rsidR="00C10B14" w:rsidRPr="00C10B14" w:rsidRDefault="00C10B14" w:rsidP="00C10B14">
      <w:pPr>
        <w:pStyle w:val="Default"/>
        <w:spacing w:after="13"/>
        <w:rPr>
          <w:color w:val="auto"/>
          <w:sz w:val="20"/>
          <w:szCs w:val="20"/>
          <w:lang w:val="en-GB"/>
        </w:rPr>
      </w:pPr>
      <w:commentRangeStart w:id="0"/>
      <w:r w:rsidRPr="001F7149">
        <w:rPr>
          <w:color w:val="auto"/>
          <w:sz w:val="20"/>
          <w:szCs w:val="20"/>
          <w:lang w:val="en-GB"/>
        </w:rPr>
        <w:t xml:space="preserve">The construct of grit has given proof </w:t>
      </w:r>
      <w:r>
        <w:rPr>
          <w:color w:val="auto"/>
          <w:sz w:val="20"/>
          <w:szCs w:val="20"/>
          <w:lang w:val="en-GB"/>
        </w:rPr>
        <w:t xml:space="preserve">to be a predictor of success in one’s personal, professional, and academic life. </w:t>
      </w:r>
      <w:r w:rsidRPr="001F7149">
        <w:rPr>
          <w:color w:val="auto"/>
          <w:sz w:val="20"/>
          <w:szCs w:val="20"/>
          <w:lang w:val="en-GB"/>
        </w:rPr>
        <w:t xml:space="preserve">Therefore, a valid instrument capable of measuring grit in diverse cultural environments is necessary. </w:t>
      </w:r>
      <w:commentRangeEnd w:id="0"/>
      <w:r>
        <w:rPr>
          <w:rStyle w:val="Rimandocommento"/>
          <w:rFonts w:asciiTheme="minorHAnsi" w:hAnsiTheme="minorHAnsi" w:cstheme="minorBidi"/>
          <w:color w:val="auto"/>
        </w:rPr>
        <w:commentReference w:id="0"/>
      </w:r>
    </w:p>
    <w:p w14:paraId="2761A278" w14:textId="4CF60E2D" w:rsidR="00C10B14" w:rsidRPr="001F7149" w:rsidRDefault="00402FA1" w:rsidP="00C10B14">
      <w:pPr>
        <w:pStyle w:val="Default"/>
        <w:spacing w:after="13"/>
        <w:rPr>
          <w:color w:val="auto"/>
          <w:sz w:val="20"/>
          <w:szCs w:val="20"/>
          <w:lang w:val="en-GB"/>
        </w:rPr>
      </w:pPr>
      <w:r w:rsidRPr="001F7149">
        <w:rPr>
          <w:color w:val="auto"/>
          <w:sz w:val="20"/>
          <w:szCs w:val="20"/>
          <w:lang w:val="en-GB"/>
        </w:rPr>
        <w:t>Finally</w:t>
      </w:r>
      <w:r w:rsidR="001F7149" w:rsidRPr="001F7149">
        <w:rPr>
          <w:color w:val="auto"/>
          <w:sz w:val="20"/>
          <w:szCs w:val="20"/>
          <w:lang w:val="en-GB"/>
        </w:rPr>
        <w:t>,</w:t>
      </w:r>
      <w:r w:rsidRPr="001F7149">
        <w:rPr>
          <w:color w:val="auto"/>
          <w:sz w:val="20"/>
          <w:szCs w:val="20"/>
          <w:lang w:val="en-GB"/>
        </w:rPr>
        <w:t xml:space="preserve"> </w:t>
      </w:r>
      <w:r w:rsidR="001F7149" w:rsidRPr="001F7149">
        <w:rPr>
          <w:color w:val="auto"/>
          <w:sz w:val="20"/>
          <w:szCs w:val="20"/>
          <w:lang w:val="en-GB"/>
        </w:rPr>
        <w:t>th</w:t>
      </w:r>
      <w:r w:rsidR="00B34D2C">
        <w:rPr>
          <w:color w:val="auto"/>
          <w:sz w:val="20"/>
          <w:szCs w:val="20"/>
          <w:lang w:val="en-GB"/>
        </w:rPr>
        <w:t xml:space="preserve">e relevance and originality of this study lies in the fact that it is the first cross cultural validation of the </w:t>
      </w:r>
      <w:r w:rsidR="00B34D2C" w:rsidRPr="00B34D2C">
        <w:rPr>
          <w:i/>
          <w:iCs/>
          <w:color w:val="auto"/>
          <w:sz w:val="20"/>
          <w:szCs w:val="20"/>
          <w:lang w:val="en-GB"/>
        </w:rPr>
        <w:t>Short Grit Scale (Grit-S)</w:t>
      </w:r>
      <w:r w:rsidR="00B34D2C">
        <w:rPr>
          <w:i/>
          <w:iCs/>
          <w:color w:val="auto"/>
          <w:sz w:val="20"/>
          <w:szCs w:val="20"/>
          <w:lang w:val="en-GB"/>
        </w:rPr>
        <w:t xml:space="preserve">. </w:t>
      </w:r>
    </w:p>
    <w:p w14:paraId="7A397EC5" w14:textId="67A290DC" w:rsidR="00402FA1" w:rsidRPr="001F7149" w:rsidRDefault="00402FA1" w:rsidP="00A97A73">
      <w:pPr>
        <w:pStyle w:val="Default"/>
        <w:spacing w:after="13"/>
        <w:rPr>
          <w:color w:val="auto"/>
          <w:sz w:val="20"/>
          <w:szCs w:val="20"/>
          <w:lang w:val="en-GB"/>
        </w:rPr>
      </w:pPr>
    </w:p>
    <w:p w14:paraId="17DC9953" w14:textId="77777777" w:rsidR="00B34D2C" w:rsidRDefault="00B34D2C" w:rsidP="00A97A73">
      <w:pPr>
        <w:pStyle w:val="Default"/>
        <w:spacing w:after="13"/>
        <w:rPr>
          <w:color w:val="auto"/>
          <w:sz w:val="20"/>
          <w:szCs w:val="20"/>
          <w:highlight w:val="yellow"/>
          <w:lang w:val="en-GB"/>
        </w:rPr>
      </w:pPr>
    </w:p>
    <w:p w14:paraId="7FCE0C14" w14:textId="5EFFD6B4" w:rsidR="00A97A73" w:rsidRDefault="00A97A73" w:rsidP="00A97A73">
      <w:pPr>
        <w:pStyle w:val="Default"/>
        <w:spacing w:after="13"/>
        <w:rPr>
          <w:color w:val="auto"/>
          <w:sz w:val="20"/>
          <w:szCs w:val="20"/>
          <w:highlight w:val="yellow"/>
          <w:lang w:val="en-GB"/>
        </w:rPr>
      </w:pPr>
      <w:r w:rsidRPr="00402FA1">
        <w:rPr>
          <w:color w:val="auto"/>
          <w:sz w:val="20"/>
          <w:szCs w:val="20"/>
          <w:highlight w:val="yellow"/>
          <w:lang w:val="en-GB"/>
        </w:rPr>
        <w:t xml:space="preserve">8. Relevance to the Congress Theme </w:t>
      </w:r>
    </w:p>
    <w:p w14:paraId="50BE3D81" w14:textId="77777777" w:rsidR="00B34D2C" w:rsidRPr="00B34D2C" w:rsidRDefault="00B34D2C" w:rsidP="00B34D2C">
      <w:pPr>
        <w:autoSpaceDE w:val="0"/>
        <w:autoSpaceDN w:val="0"/>
        <w:adjustRightInd w:val="0"/>
        <w:spacing w:after="0" w:line="240" w:lineRule="auto"/>
        <w:rPr>
          <w:rFonts w:ascii="Calibri" w:hAnsi="Calibri" w:cs="Calibri"/>
          <w:sz w:val="20"/>
          <w:szCs w:val="20"/>
          <w:lang w:val="en-GB"/>
        </w:rPr>
      </w:pPr>
    </w:p>
    <w:p w14:paraId="752BEA33" w14:textId="1EB77D2A" w:rsidR="00B34D2C" w:rsidRPr="00B34D2C" w:rsidRDefault="00B34D2C" w:rsidP="00B34D2C">
      <w:pPr>
        <w:pStyle w:val="Default"/>
        <w:rPr>
          <w:color w:val="auto"/>
          <w:sz w:val="20"/>
          <w:szCs w:val="20"/>
          <w:lang w:val="en-GB"/>
        </w:rPr>
      </w:pPr>
      <w:r w:rsidRPr="00B34D2C">
        <w:rPr>
          <w:color w:val="auto"/>
          <w:sz w:val="20"/>
          <w:szCs w:val="20"/>
          <w:lang w:val="en-GB"/>
        </w:rPr>
        <w:t xml:space="preserve">Recruitment, assessment, and selection. </w:t>
      </w:r>
    </w:p>
    <w:p w14:paraId="2D4A6A49" w14:textId="36D686D8" w:rsidR="00B34D2C" w:rsidRPr="00B34D2C" w:rsidRDefault="00B34D2C" w:rsidP="00B34D2C">
      <w:pPr>
        <w:autoSpaceDE w:val="0"/>
        <w:autoSpaceDN w:val="0"/>
        <w:adjustRightInd w:val="0"/>
        <w:spacing w:after="0" w:line="240" w:lineRule="auto"/>
        <w:rPr>
          <w:rFonts w:ascii="Calibri" w:hAnsi="Calibri" w:cs="Calibri"/>
          <w:sz w:val="20"/>
          <w:szCs w:val="20"/>
          <w:lang w:val="en-GB"/>
        </w:rPr>
      </w:pPr>
      <w:r w:rsidRPr="00B34D2C">
        <w:rPr>
          <w:rFonts w:ascii="Calibri" w:hAnsi="Calibri" w:cs="Calibri"/>
          <w:sz w:val="20"/>
          <w:szCs w:val="20"/>
          <w:lang w:val="en-GB"/>
        </w:rPr>
        <w:t>Careers and the labour market</w:t>
      </w:r>
      <w:r>
        <w:rPr>
          <w:rFonts w:ascii="Calibri" w:hAnsi="Calibri" w:cs="Calibri"/>
          <w:sz w:val="20"/>
          <w:szCs w:val="20"/>
          <w:lang w:val="en-GB"/>
        </w:rPr>
        <w:t>.</w:t>
      </w:r>
    </w:p>
    <w:p w14:paraId="7E0B8FCD" w14:textId="77777777" w:rsidR="00B34D2C" w:rsidRDefault="00B34D2C" w:rsidP="00A97A73">
      <w:pPr>
        <w:pStyle w:val="Default"/>
        <w:rPr>
          <w:color w:val="auto"/>
          <w:sz w:val="20"/>
          <w:szCs w:val="20"/>
          <w:highlight w:val="yellow"/>
          <w:lang w:val="en-GB"/>
        </w:rPr>
      </w:pPr>
    </w:p>
    <w:p w14:paraId="1EB26476" w14:textId="54EF5E90" w:rsidR="00A97A73" w:rsidRPr="000237DF" w:rsidRDefault="00B34D2C" w:rsidP="00A97A73">
      <w:pPr>
        <w:pStyle w:val="Default"/>
        <w:rPr>
          <w:color w:val="auto"/>
          <w:sz w:val="20"/>
          <w:szCs w:val="20"/>
          <w:lang w:val="en-GB"/>
        </w:rPr>
      </w:pPr>
      <w:r w:rsidRPr="00402FA1">
        <w:rPr>
          <w:color w:val="auto"/>
          <w:sz w:val="20"/>
          <w:szCs w:val="20"/>
          <w:highlight w:val="yellow"/>
          <w:lang w:val="en-GB"/>
        </w:rPr>
        <w:t xml:space="preserve"> </w:t>
      </w:r>
      <w:r w:rsidR="00A97A73" w:rsidRPr="00402FA1">
        <w:rPr>
          <w:color w:val="auto"/>
          <w:sz w:val="20"/>
          <w:szCs w:val="20"/>
          <w:highlight w:val="yellow"/>
          <w:lang w:val="en-GB"/>
        </w:rPr>
        <w:t>9. Relevant UN SDGs</w:t>
      </w:r>
      <w:r w:rsidR="00A97A73" w:rsidRPr="000237DF">
        <w:rPr>
          <w:color w:val="auto"/>
          <w:sz w:val="20"/>
          <w:szCs w:val="20"/>
          <w:lang w:val="en-GB"/>
        </w:rPr>
        <w:t xml:space="preserve"> </w:t>
      </w:r>
    </w:p>
    <w:p w14:paraId="5D8D959A" w14:textId="7581DC9F" w:rsidR="002863F9" w:rsidRPr="002863F9" w:rsidRDefault="002863F9" w:rsidP="002863F9">
      <w:pPr>
        <w:autoSpaceDE w:val="0"/>
        <w:autoSpaceDN w:val="0"/>
        <w:adjustRightInd w:val="0"/>
        <w:spacing w:after="0" w:line="240" w:lineRule="auto"/>
        <w:rPr>
          <w:rFonts w:ascii="Calibri" w:hAnsi="Calibri" w:cs="Calibri"/>
          <w:sz w:val="20"/>
          <w:szCs w:val="20"/>
          <w:lang w:val="en-GB"/>
        </w:rPr>
      </w:pPr>
      <w:r w:rsidRPr="002863F9">
        <w:rPr>
          <w:rFonts w:ascii="Calibri" w:hAnsi="Calibri" w:cs="Calibri"/>
          <w:sz w:val="20"/>
          <w:szCs w:val="20"/>
          <w:lang w:val="en-GB"/>
        </w:rPr>
        <w:t xml:space="preserve">Decent work and economic growth </w:t>
      </w:r>
    </w:p>
    <w:p w14:paraId="20A0A016" w14:textId="33CB26D7" w:rsidR="00A617FA" w:rsidRPr="00A97A73" w:rsidRDefault="00A617FA">
      <w:pPr>
        <w:rPr>
          <w:lang w:val="en-GB"/>
        </w:rPr>
      </w:pPr>
    </w:p>
    <w:p w14:paraId="139DE5F1" w14:textId="2B8B0E3E" w:rsidR="00A97A73" w:rsidRPr="00A97A73" w:rsidRDefault="00A97A73">
      <w:pPr>
        <w:rPr>
          <w:lang w:val="en-GB"/>
        </w:rPr>
      </w:pPr>
    </w:p>
    <w:p w14:paraId="4EFDC2ED" w14:textId="782BDC48" w:rsidR="002B4E82" w:rsidRDefault="002B4E82" w:rsidP="00A97A73">
      <w:pPr>
        <w:rPr>
          <w:lang w:val="en-GB"/>
        </w:rPr>
      </w:pPr>
    </w:p>
    <w:p w14:paraId="59F1A7A4" w14:textId="77777777" w:rsidR="002B4E82" w:rsidRPr="00441BBD" w:rsidRDefault="002B4E82" w:rsidP="002B4E82">
      <w:pPr>
        <w:autoSpaceDE w:val="0"/>
        <w:autoSpaceDN w:val="0"/>
        <w:adjustRightInd w:val="0"/>
        <w:spacing w:after="0" w:line="240" w:lineRule="auto"/>
        <w:rPr>
          <w:lang w:val="en-GB"/>
        </w:rPr>
      </w:pPr>
    </w:p>
    <w:p w14:paraId="4F8E6C11" w14:textId="77777777" w:rsidR="002B4E82" w:rsidRPr="002B4E82" w:rsidRDefault="002B4E82" w:rsidP="002B4E82">
      <w:pPr>
        <w:autoSpaceDE w:val="0"/>
        <w:autoSpaceDN w:val="0"/>
        <w:adjustRightInd w:val="0"/>
        <w:spacing w:after="0" w:line="240" w:lineRule="auto"/>
        <w:rPr>
          <w:rFonts w:ascii="AdvOTab62ddd13" w:hAnsi="AdvOTab62ddd13" w:cs="AdvOTab62ddd13"/>
          <w:sz w:val="20"/>
          <w:szCs w:val="20"/>
          <w:lang w:val="en-GB"/>
        </w:rPr>
      </w:pPr>
    </w:p>
    <w:sectPr w:rsidR="002B4E82" w:rsidRPr="002B4E82" w:rsidSect="002C1E39">
      <w:pgSz w:w="11899" w:h="17340"/>
      <w:pgMar w:top="1883" w:right="1159" w:bottom="648" w:left="1209" w:header="720" w:footer="720"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Francesco Tommasi" w:date="2022-10-27T11:06:00Z" w:initials="FT">
    <w:p w14:paraId="21AAB1EB" w14:textId="77777777" w:rsidR="00C10B14" w:rsidRDefault="00C10B14" w:rsidP="00C10B14">
      <w:pPr>
        <w:pStyle w:val="Testocommento"/>
      </w:pPr>
      <w:r>
        <w:rPr>
          <w:rStyle w:val="Rimandocommento"/>
        </w:rPr>
        <w:annotationRef/>
      </w:r>
      <w:r>
        <w:t>Come ti ho detto per email, devi guardare quello che è indicato nelle indicazioni della call for abstracts.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1AAB1E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704E4B5" w16cex:dateUtc="2022-10-27T09: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1AAB1EB" w16cid:durableId="2704E4B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dvOTab62ddd13">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2296FA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689D2C91"/>
    <w:multiLevelType w:val="hybridMultilevel"/>
    <w:tmpl w:val="14EE72E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01623393">
    <w:abstractNumId w:val="1"/>
  </w:num>
  <w:num w:numId="2" w16cid:durableId="17177226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ancesco Tommasi">
    <w15:presenceInfo w15:providerId="Windows Live" w15:userId="2001afc7d530e4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DAwNjc3MbI0NbOwtDRV0lEKTi0uzszPAykwqwUASxo6OCwAAAA="/>
  </w:docVars>
  <w:rsids>
    <w:rsidRoot w:val="00A97A73"/>
    <w:rsid w:val="000237DF"/>
    <w:rsid w:val="000773C1"/>
    <w:rsid w:val="001F7149"/>
    <w:rsid w:val="002863F9"/>
    <w:rsid w:val="002B4E82"/>
    <w:rsid w:val="00402FA1"/>
    <w:rsid w:val="00441BBD"/>
    <w:rsid w:val="00510149"/>
    <w:rsid w:val="005E48A8"/>
    <w:rsid w:val="00650B59"/>
    <w:rsid w:val="00837533"/>
    <w:rsid w:val="00916AF9"/>
    <w:rsid w:val="00A617FA"/>
    <w:rsid w:val="00A71C73"/>
    <w:rsid w:val="00A97A73"/>
    <w:rsid w:val="00B34D2C"/>
    <w:rsid w:val="00C10B14"/>
    <w:rsid w:val="00D804EE"/>
    <w:rsid w:val="00E530F6"/>
    <w:rsid w:val="00F44D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87E28"/>
  <w15:chartTrackingRefBased/>
  <w15:docId w15:val="{B45A40F3-042A-417E-9BD7-5B280138A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97A73"/>
    <w:pPr>
      <w:autoSpaceDE w:val="0"/>
      <w:autoSpaceDN w:val="0"/>
      <w:adjustRightInd w:val="0"/>
      <w:spacing w:after="0" w:line="240" w:lineRule="auto"/>
    </w:pPr>
    <w:rPr>
      <w:rFonts w:ascii="Calibri" w:hAnsi="Calibri" w:cs="Calibri"/>
      <w:color w:val="000000"/>
      <w:sz w:val="24"/>
      <w:szCs w:val="24"/>
    </w:rPr>
  </w:style>
  <w:style w:type="character" w:styleId="Enfasicorsivo">
    <w:name w:val="Emphasis"/>
    <w:basedOn w:val="Carpredefinitoparagrafo"/>
    <w:uiPriority w:val="20"/>
    <w:qFormat/>
    <w:rsid w:val="00441BBD"/>
    <w:rPr>
      <w:i/>
      <w:iCs/>
    </w:rPr>
  </w:style>
  <w:style w:type="character" w:styleId="Collegamentoipertestuale">
    <w:name w:val="Hyperlink"/>
    <w:basedOn w:val="Carpredefinitoparagrafo"/>
    <w:uiPriority w:val="99"/>
    <w:semiHidden/>
    <w:unhideWhenUsed/>
    <w:rsid w:val="005E48A8"/>
    <w:rPr>
      <w:color w:val="0000FF"/>
      <w:u w:val="single"/>
    </w:rPr>
  </w:style>
  <w:style w:type="character" w:customStyle="1" w:styleId="cf01">
    <w:name w:val="cf01"/>
    <w:basedOn w:val="Carpredefinitoparagrafo"/>
    <w:rsid w:val="00B34D2C"/>
    <w:rPr>
      <w:rFonts w:ascii="Segoe UI" w:hAnsi="Segoe UI" w:cs="Segoe UI" w:hint="default"/>
      <w:sz w:val="18"/>
      <w:szCs w:val="18"/>
    </w:rPr>
  </w:style>
  <w:style w:type="character" w:styleId="Rimandocommento">
    <w:name w:val="annotation reference"/>
    <w:basedOn w:val="Carpredefinitoparagrafo"/>
    <w:uiPriority w:val="99"/>
    <w:semiHidden/>
    <w:unhideWhenUsed/>
    <w:rsid w:val="00B34D2C"/>
    <w:rPr>
      <w:sz w:val="16"/>
      <w:szCs w:val="16"/>
    </w:rPr>
  </w:style>
  <w:style w:type="paragraph" w:styleId="Testocommento">
    <w:name w:val="annotation text"/>
    <w:basedOn w:val="Normale"/>
    <w:link w:val="TestocommentoCarattere"/>
    <w:uiPriority w:val="99"/>
    <w:unhideWhenUsed/>
    <w:rsid w:val="00B34D2C"/>
    <w:pPr>
      <w:spacing w:line="240" w:lineRule="auto"/>
    </w:pPr>
    <w:rPr>
      <w:sz w:val="20"/>
      <w:szCs w:val="20"/>
    </w:rPr>
  </w:style>
  <w:style w:type="character" w:customStyle="1" w:styleId="TestocommentoCarattere">
    <w:name w:val="Testo commento Carattere"/>
    <w:basedOn w:val="Carpredefinitoparagrafo"/>
    <w:link w:val="Testocommento"/>
    <w:uiPriority w:val="99"/>
    <w:rsid w:val="00B34D2C"/>
    <w:rPr>
      <w:sz w:val="20"/>
      <w:szCs w:val="20"/>
    </w:rPr>
  </w:style>
  <w:style w:type="paragraph" w:styleId="Soggettocommento">
    <w:name w:val="annotation subject"/>
    <w:basedOn w:val="Testocommento"/>
    <w:next w:val="Testocommento"/>
    <w:link w:val="SoggettocommentoCarattere"/>
    <w:uiPriority w:val="99"/>
    <w:semiHidden/>
    <w:unhideWhenUsed/>
    <w:rsid w:val="00B34D2C"/>
    <w:rPr>
      <w:b/>
      <w:bCs/>
    </w:rPr>
  </w:style>
  <w:style w:type="character" w:customStyle="1" w:styleId="SoggettocommentoCarattere">
    <w:name w:val="Soggetto commento Carattere"/>
    <w:basedOn w:val="TestocommentoCarattere"/>
    <w:link w:val="Soggettocommento"/>
    <w:uiPriority w:val="99"/>
    <w:semiHidden/>
    <w:rsid w:val="00B34D2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497</TotalTime>
  <Pages>2</Pages>
  <Words>750</Words>
  <Characters>4276</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 Abu Hamam</dc:creator>
  <cp:keywords/>
  <dc:description/>
  <cp:lastModifiedBy>Fatima Abu Hamam</cp:lastModifiedBy>
  <cp:revision>8</cp:revision>
  <dcterms:created xsi:type="dcterms:W3CDTF">2022-10-12T08:42:00Z</dcterms:created>
  <dcterms:modified xsi:type="dcterms:W3CDTF">2023-09-13T11:49:00Z</dcterms:modified>
</cp:coreProperties>
</file>